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278E70" w14:textId="2BBB7CBE" w:rsidR="00AA3A92" w:rsidRPr="001F2881" w:rsidRDefault="00442EE4" w:rsidP="001F2881">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Resisting Temporal Regimes, Imagining Just Temporalities</w:t>
      </w:r>
    </w:p>
    <w:p w14:paraId="2A278E71" w14:textId="77777777" w:rsidR="00AA3A92" w:rsidRDefault="00442EE4" w:rsidP="001F2881">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Collin Bjork and Frida </w:t>
      </w:r>
      <w:proofErr w:type="spellStart"/>
      <w:r>
        <w:rPr>
          <w:rFonts w:ascii="Times New Roman" w:eastAsia="Times New Roman" w:hAnsi="Times New Roman" w:cs="Times New Roman"/>
          <w:i/>
          <w:sz w:val="24"/>
          <w:szCs w:val="24"/>
        </w:rPr>
        <w:t>Buhre</w:t>
      </w:r>
      <w:proofErr w:type="spellEnd"/>
    </w:p>
    <w:p w14:paraId="2A278E72" w14:textId="77777777" w:rsidR="00AA3A92" w:rsidRDefault="00AA3A92" w:rsidP="001F2881">
      <w:pPr>
        <w:spacing w:line="480" w:lineRule="auto"/>
        <w:rPr>
          <w:rFonts w:ascii="Times New Roman" w:eastAsia="Times New Roman" w:hAnsi="Times New Roman" w:cs="Times New Roman"/>
          <w:i/>
          <w:sz w:val="24"/>
          <w:szCs w:val="24"/>
        </w:rPr>
      </w:pPr>
    </w:p>
    <w:p w14:paraId="2A278E74" w14:textId="7C787BE3"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Collin Bjork is a Lecturer in the School of English and Media Studies at Massey University in New Zealand. Email: </w:t>
      </w:r>
      <w:hyperlink r:id="rId7">
        <w:r>
          <w:rPr>
            <w:rFonts w:ascii="Times New Roman" w:eastAsia="Times New Roman" w:hAnsi="Times New Roman" w:cs="Times New Roman"/>
            <w:color w:val="1155CC"/>
            <w:sz w:val="24"/>
            <w:szCs w:val="24"/>
            <w:u w:val="single"/>
          </w:rPr>
          <w:t>c.bjork@massey.ac.nz</w:t>
        </w:r>
      </w:hyperlink>
      <w:r>
        <w:rPr>
          <w:rFonts w:ascii="Times New Roman" w:eastAsia="Times New Roman" w:hAnsi="Times New Roman" w:cs="Times New Roman"/>
          <w:sz w:val="24"/>
          <w:szCs w:val="24"/>
        </w:rPr>
        <w:t xml:space="preserve"> </w:t>
      </w:r>
    </w:p>
    <w:p w14:paraId="2A278E75" w14:textId="77777777"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Frida </w:t>
      </w: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has a dual appointment as a Postdoctoral Fellow in the Departments of Child Studies and Environmental Change at Linköping University in Sweden. Email: </w:t>
      </w:r>
      <w:hyperlink r:id="rId8">
        <w:r>
          <w:rPr>
            <w:rFonts w:ascii="Times New Roman" w:eastAsia="Times New Roman" w:hAnsi="Times New Roman" w:cs="Times New Roman"/>
            <w:color w:val="1155CC"/>
            <w:sz w:val="24"/>
            <w:szCs w:val="24"/>
            <w:u w:val="single"/>
          </w:rPr>
          <w:t>frida.buhre@liu.se</w:t>
        </w:r>
      </w:hyperlink>
    </w:p>
    <w:p w14:paraId="2A278E76" w14:textId="2C7F8F50" w:rsidR="00AA3A92" w:rsidRDefault="00AA3A92" w:rsidP="001F2881">
      <w:pPr>
        <w:spacing w:line="480" w:lineRule="auto"/>
        <w:rPr>
          <w:rFonts w:ascii="Times New Roman" w:eastAsia="Times New Roman" w:hAnsi="Times New Roman" w:cs="Times New Roman"/>
          <w:sz w:val="24"/>
          <w:szCs w:val="24"/>
        </w:rPr>
      </w:pPr>
    </w:p>
    <w:p w14:paraId="34A9B2D3" w14:textId="4E0DD782" w:rsidR="00493BF6" w:rsidRDefault="00493BF6" w:rsidP="001F2881">
      <w:pPr>
        <w:spacing w:line="480" w:lineRule="auto"/>
        <w:rPr>
          <w:rFonts w:ascii="Times New Roman" w:eastAsia="Times New Roman" w:hAnsi="Times New Roman" w:cs="Times New Roman"/>
          <w:sz w:val="24"/>
          <w:szCs w:val="24"/>
        </w:rPr>
      </w:pPr>
      <w:r w:rsidRPr="00493BF6">
        <w:rPr>
          <w:rFonts w:ascii="Times New Roman" w:eastAsia="Times New Roman" w:hAnsi="Times New Roman" w:cs="Times New Roman"/>
          <w:i/>
          <w:iCs/>
          <w:sz w:val="24"/>
          <w:szCs w:val="24"/>
        </w:rPr>
        <w:t>Keywords</w:t>
      </w:r>
      <w:r>
        <w:rPr>
          <w:rFonts w:ascii="Times New Roman" w:eastAsia="Times New Roman" w:hAnsi="Times New Roman" w:cs="Times New Roman"/>
          <w:sz w:val="24"/>
          <w:szCs w:val="24"/>
        </w:rPr>
        <w:t>: politics of time; social justice rhetoric; rhetorical time; kairos; linear time; hegemonic time</w:t>
      </w:r>
    </w:p>
    <w:p w14:paraId="7B05E718" w14:textId="77777777" w:rsidR="00493BF6" w:rsidRDefault="00493BF6" w:rsidP="001F2881">
      <w:pPr>
        <w:spacing w:line="480" w:lineRule="auto"/>
        <w:rPr>
          <w:rFonts w:ascii="Times New Roman" w:eastAsia="Times New Roman" w:hAnsi="Times New Roman" w:cs="Times New Roman"/>
          <w:sz w:val="24"/>
          <w:szCs w:val="24"/>
        </w:rPr>
      </w:pPr>
    </w:p>
    <w:p w14:paraId="2A278E78" w14:textId="5A0F9E8B" w:rsidR="00AA3A92" w:rsidRDefault="00442EE4" w:rsidP="001F2881">
      <w:pPr>
        <w:spacing w:line="480" w:lineRule="auto"/>
        <w:rPr>
          <w:rFonts w:ascii="Times New Roman" w:eastAsia="Times New Roman" w:hAnsi="Times New Roman" w:cs="Times New Roman"/>
          <w:sz w:val="24"/>
          <w:szCs w:val="24"/>
        </w:rPr>
      </w:pPr>
      <w:r w:rsidRPr="000871A5">
        <w:rPr>
          <w:rFonts w:ascii="Times New Roman" w:eastAsia="Times New Roman" w:hAnsi="Times New Roman" w:cs="Times New Roman"/>
          <w:i/>
          <w:iCs/>
          <w:sz w:val="24"/>
          <w:szCs w:val="24"/>
        </w:rPr>
        <w:t>Acknowledgements</w:t>
      </w:r>
      <w:r>
        <w:rPr>
          <w:rFonts w:ascii="Times New Roman" w:eastAsia="Times New Roman" w:hAnsi="Times New Roman" w:cs="Times New Roman"/>
          <w:sz w:val="24"/>
          <w:szCs w:val="24"/>
        </w:rPr>
        <w:t>:</w:t>
      </w:r>
      <w:r w:rsidR="000871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 would like to thank the contributors for their brilliant and dedicated work, the reviewers for their thoughtful feedback, copy editor </w:t>
      </w:r>
      <w:proofErr w:type="spellStart"/>
      <w:r>
        <w:rPr>
          <w:rFonts w:ascii="Times New Roman" w:eastAsia="Times New Roman" w:hAnsi="Times New Roman" w:cs="Times New Roman"/>
          <w:sz w:val="24"/>
          <w:szCs w:val="24"/>
        </w:rPr>
        <w:t>Edrees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Nawabi</w:t>
      </w:r>
      <w:proofErr w:type="spellEnd"/>
      <w:r>
        <w:rPr>
          <w:rFonts w:ascii="Times New Roman" w:eastAsia="Times New Roman" w:hAnsi="Times New Roman" w:cs="Times New Roman"/>
          <w:sz w:val="24"/>
          <w:szCs w:val="24"/>
        </w:rPr>
        <w:t xml:space="preserve"> for his keen eye, and </w:t>
      </w:r>
      <w:proofErr w:type="spellStart"/>
      <w:r>
        <w:rPr>
          <w:rFonts w:ascii="Times New Roman" w:eastAsia="Times New Roman" w:hAnsi="Times New Roman" w:cs="Times New Roman"/>
          <w:i/>
          <w:sz w:val="24"/>
          <w:szCs w:val="24"/>
        </w:rPr>
        <w:t>RSQ</w:t>
      </w:r>
      <w:proofErr w:type="spellEnd"/>
      <w:r>
        <w:rPr>
          <w:rFonts w:ascii="Times New Roman" w:eastAsia="Times New Roman" w:hAnsi="Times New Roman" w:cs="Times New Roman"/>
          <w:sz w:val="24"/>
          <w:szCs w:val="24"/>
        </w:rPr>
        <w:t xml:space="preserve"> Associate Editor for Special Issues Robin Jensen for her guidance, enthusiasm, and tireless support.  </w:t>
      </w:r>
    </w:p>
    <w:p w14:paraId="2A278E79" w14:textId="77777777" w:rsidR="00AA3A92" w:rsidRDefault="00AA3A92" w:rsidP="001F2881">
      <w:pPr>
        <w:spacing w:line="480" w:lineRule="auto"/>
        <w:rPr>
          <w:rFonts w:ascii="Times New Roman" w:eastAsia="Times New Roman" w:hAnsi="Times New Roman" w:cs="Times New Roman"/>
          <w:sz w:val="24"/>
          <w:szCs w:val="24"/>
        </w:rPr>
      </w:pPr>
    </w:p>
    <w:p w14:paraId="2A278E7A" w14:textId="77777777" w:rsidR="00AA3A92" w:rsidRDefault="00442EE4" w:rsidP="001F2881">
      <w:pPr>
        <w:spacing w:line="480" w:lineRule="auto"/>
        <w:rPr>
          <w:rFonts w:ascii="Times New Roman" w:eastAsia="Times New Roman" w:hAnsi="Times New Roman" w:cs="Times New Roman"/>
          <w:b/>
          <w:sz w:val="24"/>
          <w:szCs w:val="24"/>
        </w:rPr>
      </w:pPr>
      <w:r>
        <w:br w:type="page"/>
      </w:r>
    </w:p>
    <w:p w14:paraId="2A278E7B" w14:textId="77777777"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Resisting Temporal Regimes, Imagining Just Temporalities</w:t>
      </w:r>
    </w:p>
    <w:p w14:paraId="2A278E7D" w14:textId="77777777" w:rsidR="00AA3A92" w:rsidRDefault="00AA3A92" w:rsidP="001F2881">
      <w:pPr>
        <w:spacing w:line="480" w:lineRule="auto"/>
        <w:rPr>
          <w:rFonts w:ascii="Times New Roman" w:eastAsia="Times New Roman" w:hAnsi="Times New Roman" w:cs="Times New Roman"/>
          <w:sz w:val="24"/>
          <w:szCs w:val="24"/>
        </w:rPr>
      </w:pPr>
    </w:p>
    <w:p w14:paraId="2A278E7E" w14:textId="4E41B259"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coronavirus pandemic has inundated the globe with discussions of time. Incubation periods, contagion intervals, exponential growth curves, hospitalization timelines, belated government responses, supply chain delays, limited store hours, paused economies, weeks of quarantine, months of isolation, years to develop and distribute the vaccines, decades of consequences, and millions of lives cut tragically short. These temporalities are ubiquitous and alarming</w:t>
      </w:r>
      <w:r w:rsidR="0037455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not distributed or experienced equally</w:t>
      </w:r>
      <w:r w:rsidR="005265EE">
        <w:rPr>
          <w:rFonts w:ascii="Times New Roman" w:eastAsia="Times New Roman" w:hAnsi="Times New Roman" w:cs="Times New Roman"/>
          <w:sz w:val="24"/>
          <w:szCs w:val="24"/>
        </w:rPr>
        <w:t xml:space="preserve"> (</w:t>
      </w:r>
      <w:proofErr w:type="spellStart"/>
      <w:r w:rsidR="005265EE" w:rsidRPr="00820909">
        <w:rPr>
          <w:rFonts w:ascii="Times New Roman" w:hAnsi="Times New Roman" w:cs="Times New Roman"/>
          <w:sz w:val="24"/>
          <w:szCs w:val="24"/>
          <w:lang w:val="en-US"/>
        </w:rPr>
        <w:t>Chirindo</w:t>
      </w:r>
      <w:proofErr w:type="spellEnd"/>
      <w:r w:rsidR="005265EE">
        <w:rPr>
          <w:rFonts w:ascii="Times New Roman" w:hAnsi="Times New Roman" w:cs="Times New Roman"/>
          <w:sz w:val="24"/>
          <w:szCs w:val="24"/>
          <w:lang w:val="en-US"/>
        </w:rPr>
        <w:t xml:space="preserve"> et al.)</w:t>
      </w:r>
      <w:r>
        <w:rPr>
          <w:rFonts w:ascii="Times New Roman" w:eastAsia="Times New Roman" w:hAnsi="Times New Roman" w:cs="Times New Roman"/>
          <w:sz w:val="24"/>
          <w:szCs w:val="24"/>
        </w:rPr>
        <w:t xml:space="preserve">. Most of Singapore’s cases stem from overcrowded foreign workers’ dormitories where social distancing is </w:t>
      </w:r>
      <w:proofErr w:type="gramStart"/>
      <w:r>
        <w:rPr>
          <w:rFonts w:ascii="Times New Roman" w:eastAsia="Times New Roman" w:hAnsi="Times New Roman" w:cs="Times New Roman"/>
          <w:sz w:val="24"/>
          <w:szCs w:val="24"/>
        </w:rPr>
        <w:t>impossible</w:t>
      </w:r>
      <w:proofErr w:type="gramEnd"/>
      <w:r>
        <w:rPr>
          <w:rFonts w:ascii="Times New Roman" w:eastAsia="Times New Roman" w:hAnsi="Times New Roman" w:cs="Times New Roman"/>
          <w:sz w:val="24"/>
          <w:szCs w:val="24"/>
        </w:rPr>
        <w:t xml:space="preserve"> and workers are surveilled by police 24-hours a day (Ng). Indigenous communities like the Navajo Nation struggle to adequately protect their people through routinized hand washing because many do not have access to clean running water (Lee). Formerly colonized African nations like Zimbabwe and the Central African Republic lack sufficient medical supplies and expertise to respond in a timely manner to large outbreaks (Baker). And Covid-19 disproportionately takes the lives of Black Americans due to the accumulated force of decades of systemic racism (</w:t>
      </w:r>
      <w:proofErr w:type="spellStart"/>
      <w:r>
        <w:rPr>
          <w:rFonts w:ascii="Times New Roman" w:eastAsia="Times New Roman" w:hAnsi="Times New Roman" w:cs="Times New Roman"/>
          <w:sz w:val="24"/>
          <w:szCs w:val="24"/>
        </w:rPr>
        <w:t>Kendi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Even the ways that nations collectively mourn, or fail to mourn, these untimely deaths become politicized events that mark some bodies as worthy of remembrance and others as forgettable (</w:t>
      </w:r>
      <w:proofErr w:type="spellStart"/>
      <w:r>
        <w:rPr>
          <w:rFonts w:ascii="Times New Roman" w:eastAsia="Times New Roman" w:hAnsi="Times New Roman" w:cs="Times New Roman"/>
          <w:sz w:val="24"/>
          <w:szCs w:val="24"/>
          <w:highlight w:val="white"/>
        </w:rPr>
        <w:t>McElya</w:t>
      </w:r>
      <w:proofErr w:type="spellEnd"/>
      <w:r>
        <w:rPr>
          <w:rFonts w:ascii="Times New Roman" w:eastAsia="Times New Roman" w:hAnsi="Times New Roman" w:cs="Times New Roman"/>
          <w:sz w:val="24"/>
          <w:szCs w:val="24"/>
        </w:rPr>
        <w:t xml:space="preserve">). The unequal power regimes that pervade healthcare systems, policy decisions, political structures, and economic activities distort the temporal frameworks that give shape to our daily interactions and form an oppressive dynamic that is further amplified in a global pandemic. Crucially, rhetoric operates at this nexus of time and power, both as a tool for facilitating these injustices and as the inventive means to critique, resist, and rectify them. In response to these inequities, rhetorical studies must better account for the multiplicity and </w:t>
      </w:r>
      <w:proofErr w:type="spellStart"/>
      <w:r>
        <w:rPr>
          <w:rFonts w:ascii="Times New Roman" w:eastAsia="Times New Roman" w:hAnsi="Times New Roman" w:cs="Times New Roman"/>
          <w:sz w:val="24"/>
          <w:szCs w:val="24"/>
        </w:rPr>
        <w:t>asymmetricality</w:t>
      </w:r>
      <w:proofErr w:type="spellEnd"/>
      <w:r>
        <w:rPr>
          <w:rFonts w:ascii="Times New Roman" w:eastAsia="Times New Roman" w:hAnsi="Times New Roman" w:cs="Times New Roman"/>
          <w:sz w:val="24"/>
          <w:szCs w:val="24"/>
        </w:rPr>
        <w:t xml:space="preserve"> of the temporal </w:t>
      </w:r>
      <w:r>
        <w:rPr>
          <w:rFonts w:ascii="Times New Roman" w:eastAsia="Times New Roman" w:hAnsi="Times New Roman" w:cs="Times New Roman"/>
          <w:sz w:val="24"/>
          <w:szCs w:val="24"/>
        </w:rPr>
        <w:lastRenderedPageBreak/>
        <w:t>regimes that structure rhetorical relations and, at the same time, work toward articulating and enacting more just temporal frameworks.</w:t>
      </w:r>
    </w:p>
    <w:p w14:paraId="2A278E7F" w14:textId="77777777" w:rsidR="00AA3A92" w:rsidRDefault="00AA3A92" w:rsidP="001F2881">
      <w:pPr>
        <w:spacing w:line="480" w:lineRule="auto"/>
        <w:rPr>
          <w:rFonts w:ascii="Times New Roman" w:eastAsia="Times New Roman" w:hAnsi="Times New Roman" w:cs="Times New Roman"/>
          <w:sz w:val="24"/>
          <w:szCs w:val="24"/>
        </w:rPr>
      </w:pPr>
    </w:p>
    <w:p w14:paraId="2A278E80" w14:textId="6F0888F6"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Prior to the coronavirus pandemic and beyond rhetorical studies, scholars across the humanities have already been at work critiquing and resisting asymmetrical temporal regimes. Postcolonial and leftist thinkers have critiqued the ways that neoliberal, imperialist economies monetize time (Rosa; Chakrabarty) and construct unequal “power-</w:t>
      </w:r>
      <w:proofErr w:type="spellStart"/>
      <w:r>
        <w:rPr>
          <w:rFonts w:ascii="Times New Roman" w:eastAsia="Times New Roman" w:hAnsi="Times New Roman" w:cs="Times New Roman"/>
          <w:sz w:val="24"/>
          <w:szCs w:val="24"/>
        </w:rPr>
        <w:t>chronographies</w:t>
      </w:r>
      <w:proofErr w:type="spellEnd"/>
      <w:r>
        <w:rPr>
          <w:rFonts w:ascii="Times New Roman" w:eastAsia="Times New Roman" w:hAnsi="Times New Roman" w:cs="Times New Roman"/>
          <w:sz w:val="24"/>
          <w:szCs w:val="24"/>
        </w:rPr>
        <w:t>” (Sharma) that transform our most mundane personal interactions. Scholars of climate change politics have warned how the accelerated extraction, consumption, and waste of carbon-based resources disrupts ecological time and jeopardizes our collective futures (</w:t>
      </w:r>
      <w:proofErr w:type="spellStart"/>
      <w:r>
        <w:rPr>
          <w:rFonts w:ascii="Times New Roman" w:eastAsia="Times New Roman" w:hAnsi="Times New Roman" w:cs="Times New Roman"/>
          <w:sz w:val="24"/>
          <w:szCs w:val="24"/>
        </w:rPr>
        <w:t>Cassegård</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Thörn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Knappe</w:t>
      </w:r>
      <w:proofErr w:type="spellEnd"/>
      <w:r>
        <w:rPr>
          <w:rFonts w:ascii="Times New Roman" w:eastAsia="Times New Roman" w:hAnsi="Times New Roman" w:cs="Times New Roman"/>
          <w:sz w:val="24"/>
          <w:szCs w:val="24"/>
        </w:rPr>
        <w:t xml:space="preserve"> </w:t>
      </w:r>
      <w:r w:rsidRPr="00B71ECE">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In Black studies, Sharpe has theorized the afterlives of slavery as a present “wake,” and in disability studies, Samuels has conceptualized “</w:t>
      </w:r>
      <w:proofErr w:type="spellStart"/>
      <w:r>
        <w:rPr>
          <w:rFonts w:ascii="Times New Roman" w:eastAsia="Times New Roman" w:hAnsi="Times New Roman" w:cs="Times New Roman"/>
          <w:sz w:val="24"/>
          <w:szCs w:val="24"/>
        </w:rPr>
        <w:t>crip</w:t>
      </w:r>
      <w:proofErr w:type="spellEnd"/>
      <w:r>
        <w:rPr>
          <w:rFonts w:ascii="Times New Roman" w:eastAsia="Times New Roman" w:hAnsi="Times New Roman" w:cs="Times New Roman"/>
          <w:sz w:val="24"/>
          <w:szCs w:val="24"/>
        </w:rPr>
        <w:t xml:space="preserve"> time” as an alternative to normative temporal models. </w:t>
      </w:r>
      <w:r>
        <w:rPr>
          <w:rFonts w:ascii="Times New Roman" w:eastAsia="Times New Roman" w:hAnsi="Times New Roman" w:cs="Times New Roman"/>
          <w:sz w:val="24"/>
          <w:szCs w:val="24"/>
          <w:highlight w:val="white"/>
        </w:rPr>
        <w:t xml:space="preserve">Indigenous scholars have challenged notions of “temporal distancing” (Fabian) and “settler time” </w:t>
      </w:r>
      <w:r>
        <w:rPr>
          <w:rFonts w:ascii="Times New Roman" w:eastAsia="Times New Roman" w:hAnsi="Times New Roman" w:cs="Times New Roman"/>
          <w:sz w:val="24"/>
          <w:szCs w:val="24"/>
        </w:rPr>
        <w:t xml:space="preserve">(Rifkin) </w:t>
      </w:r>
      <w:r>
        <w:rPr>
          <w:rFonts w:ascii="Times New Roman" w:eastAsia="Times New Roman" w:hAnsi="Times New Roman" w:cs="Times New Roman"/>
          <w:sz w:val="24"/>
          <w:szCs w:val="24"/>
          <w:highlight w:val="white"/>
        </w:rPr>
        <w:t>as the dominant temporal regimes for understanding indigeneity. Gender studies scholars have probed the temporality of waiting as a mode of objectivization (Burke) and developed the notion of “revolutionary time” to interrogate the intersection of sexual difference and time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Söderbäck</w:t>
      </w:r>
      <w:proofErr w:type="spellEnd"/>
      <w:r>
        <w:rPr>
          <w:rFonts w:ascii="Times New Roman" w:eastAsia="Times New Roman" w:hAnsi="Times New Roman" w:cs="Times New Roman"/>
          <w:sz w:val="24"/>
          <w:szCs w:val="24"/>
        </w:rPr>
        <w:t>). And a number of scholars have extended earlier research about queer temporalities (Edelman; Freeman) to reconsider time’s connection to disability (Gallop), feminist histories (</w:t>
      </w:r>
      <w:proofErr w:type="spellStart"/>
      <w:r>
        <w:rPr>
          <w:rFonts w:ascii="Times New Roman" w:eastAsia="Times New Roman" w:hAnsi="Times New Roman" w:cs="Times New Roman"/>
          <w:sz w:val="24"/>
          <w:szCs w:val="24"/>
        </w:rPr>
        <w:t>McBean</w:t>
      </w:r>
      <w:proofErr w:type="spellEnd"/>
      <w:r>
        <w:rPr>
          <w:rFonts w:ascii="Times New Roman" w:eastAsia="Times New Roman" w:hAnsi="Times New Roman" w:cs="Times New Roman"/>
          <w:sz w:val="24"/>
          <w:szCs w:val="24"/>
        </w:rPr>
        <w:t>), and race (</w:t>
      </w:r>
      <w:proofErr w:type="spellStart"/>
      <w:r>
        <w:rPr>
          <w:rFonts w:ascii="Times New Roman" w:eastAsia="Times New Roman" w:hAnsi="Times New Roman" w:cs="Times New Roman"/>
          <w:sz w:val="24"/>
          <w:szCs w:val="24"/>
        </w:rPr>
        <w:t>Rohy</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Together, this constellation of research highlights the plurality and </w:t>
      </w:r>
      <w:proofErr w:type="spellStart"/>
      <w:r>
        <w:rPr>
          <w:rFonts w:ascii="Times New Roman" w:eastAsia="Times New Roman" w:hAnsi="Times New Roman" w:cs="Times New Roman"/>
          <w:sz w:val="24"/>
          <w:szCs w:val="24"/>
          <w:highlight w:val="white"/>
        </w:rPr>
        <w:t>asymmetricality</w:t>
      </w:r>
      <w:proofErr w:type="spellEnd"/>
      <w:r>
        <w:rPr>
          <w:rFonts w:ascii="Times New Roman" w:eastAsia="Times New Roman" w:hAnsi="Times New Roman" w:cs="Times New Roman"/>
          <w:sz w:val="24"/>
          <w:szCs w:val="24"/>
          <w:highlight w:val="white"/>
        </w:rPr>
        <w:t xml:space="preserve"> of the temporal regimes at work in our communities, but the interdisciplinary dialogue between these fields and rhetorical studies still has room to grow.</w:t>
      </w:r>
    </w:p>
    <w:p w14:paraId="2A278E81" w14:textId="77777777" w:rsidR="00AA3A92" w:rsidRDefault="00AA3A92" w:rsidP="001F2881">
      <w:pPr>
        <w:spacing w:line="480" w:lineRule="auto"/>
        <w:rPr>
          <w:rFonts w:ascii="Times New Roman" w:eastAsia="Times New Roman" w:hAnsi="Times New Roman" w:cs="Times New Roman"/>
          <w:sz w:val="24"/>
          <w:szCs w:val="24"/>
          <w:u w:val="single"/>
        </w:rPr>
      </w:pPr>
    </w:p>
    <w:p w14:paraId="2A278E82" w14:textId="135797AF"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Although temporal rhetorics is not a named research area in rhetorical studies</w:t>
      </w:r>
      <w:r w:rsidR="004D7FAB">
        <w:rPr>
          <w:rFonts w:ascii="Times New Roman" w:eastAsia="Times New Roman" w:hAnsi="Times New Roman" w:cs="Times New Roman"/>
          <w:sz w:val="24"/>
          <w:szCs w:val="24"/>
        </w:rPr>
        <w:t>—</w:t>
      </w:r>
      <w:r>
        <w:rPr>
          <w:rFonts w:ascii="Times New Roman" w:eastAsia="Times New Roman" w:hAnsi="Times New Roman" w:cs="Times New Roman"/>
          <w:sz w:val="24"/>
          <w:szCs w:val="24"/>
        </w:rPr>
        <w:t>like spatial rhetorics, material rhetorics, and cultural rhetorics</w:t>
      </w:r>
      <w:r w:rsidR="004D7FAB">
        <w:rPr>
          <w:rFonts w:ascii="Times New Roman" w:eastAsia="Times New Roman" w:hAnsi="Times New Roman" w:cs="Times New Roman"/>
          <w:sz w:val="24"/>
          <w:szCs w:val="24"/>
        </w:rPr>
        <w:t>—</w:t>
      </w:r>
      <w:r>
        <w:rPr>
          <w:rFonts w:ascii="Times New Roman" w:eastAsia="Times New Roman" w:hAnsi="Times New Roman" w:cs="Times New Roman"/>
          <w:sz w:val="24"/>
          <w:szCs w:val="24"/>
        </w:rPr>
        <w:t>time is foundational to the design of rhetorical theory and practice. Famously, Aristotle used the past, present, and future to delineate three different rhetorical genres in the civic sphere (I.4</w:t>
      </w:r>
      <w:r w:rsidR="004D7FA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14). And </w:t>
      </w:r>
      <w:r>
        <w:rPr>
          <w:rFonts w:ascii="Times New Roman" w:eastAsia="Times New Roman" w:hAnsi="Times New Roman" w:cs="Times New Roman"/>
          <w:i/>
          <w:sz w:val="24"/>
          <w:szCs w:val="24"/>
        </w:rPr>
        <w:t>kairos</w:t>
      </w:r>
      <w:r>
        <w:rPr>
          <w:rFonts w:ascii="Times New Roman" w:eastAsia="Times New Roman" w:hAnsi="Times New Roman" w:cs="Times New Roman"/>
          <w:sz w:val="24"/>
          <w:szCs w:val="24"/>
        </w:rPr>
        <w:t xml:space="preserve"> has long served as a temporal “cornerstone” (</w:t>
      </w:r>
      <w:proofErr w:type="spellStart"/>
      <w:r>
        <w:rPr>
          <w:rFonts w:ascii="Times New Roman" w:eastAsia="Times New Roman" w:hAnsi="Times New Roman" w:cs="Times New Roman"/>
          <w:sz w:val="24"/>
          <w:szCs w:val="24"/>
        </w:rPr>
        <w:t>Sipiora</w:t>
      </w:r>
      <w:proofErr w:type="spellEnd"/>
      <w:r>
        <w:rPr>
          <w:rFonts w:ascii="Times New Roman" w:eastAsia="Times New Roman" w:hAnsi="Times New Roman" w:cs="Times New Roman"/>
          <w:sz w:val="24"/>
          <w:szCs w:val="24"/>
        </w:rPr>
        <w:t xml:space="preserve"> </w:t>
      </w:r>
      <w:r w:rsidR="00527FB4">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Baumlin</w:t>
      </w:r>
      <w:proofErr w:type="spellEnd"/>
      <w:r>
        <w:rPr>
          <w:rFonts w:ascii="Times New Roman" w:eastAsia="Times New Roman" w:hAnsi="Times New Roman" w:cs="Times New Roman"/>
          <w:sz w:val="24"/>
          <w:szCs w:val="24"/>
        </w:rPr>
        <w:t>) of rhetorical practice (</w:t>
      </w:r>
      <w:proofErr w:type="spellStart"/>
      <w:r>
        <w:rPr>
          <w:rFonts w:ascii="Times New Roman" w:eastAsia="Times New Roman" w:hAnsi="Times New Roman" w:cs="Times New Roman"/>
          <w:sz w:val="24"/>
          <w:szCs w:val="24"/>
        </w:rPr>
        <w:t>Kinneavy</w:t>
      </w:r>
      <w:proofErr w:type="spellEnd"/>
      <w:r>
        <w:rPr>
          <w:rFonts w:ascii="Times New Roman" w:eastAsia="Times New Roman" w:hAnsi="Times New Roman" w:cs="Times New Roman"/>
          <w:sz w:val="24"/>
          <w:szCs w:val="24"/>
        </w:rPr>
        <w:t xml:space="preserve">), rhetorical criticism (Foley; </w:t>
      </w:r>
      <w:proofErr w:type="spellStart"/>
      <w:r>
        <w:rPr>
          <w:rFonts w:ascii="Times New Roman" w:eastAsia="Times New Roman" w:hAnsi="Times New Roman" w:cs="Times New Roman"/>
          <w:sz w:val="24"/>
          <w:szCs w:val="24"/>
        </w:rPr>
        <w:t>Hesford</w:t>
      </w:r>
      <w:proofErr w:type="spellEnd"/>
      <w:r>
        <w:rPr>
          <w:rFonts w:ascii="Times New Roman" w:eastAsia="Times New Roman" w:hAnsi="Times New Roman" w:cs="Times New Roman"/>
          <w:sz w:val="24"/>
          <w:szCs w:val="24"/>
        </w:rPr>
        <w:t xml:space="preserve">), and rhetorical theory (Miller; Rickert). Researchers have emphasized the rhetorical significance of </w:t>
      </w:r>
      <w:proofErr w:type="spellStart"/>
      <w:r>
        <w:rPr>
          <w:rFonts w:ascii="Times New Roman" w:eastAsia="Times New Roman" w:hAnsi="Times New Roman" w:cs="Times New Roman"/>
          <w:i/>
          <w:sz w:val="24"/>
          <w:szCs w:val="24"/>
        </w:rPr>
        <w:t>chronos</w:t>
      </w:r>
      <w:proofErr w:type="spellEnd"/>
      <w:r>
        <w:rPr>
          <w:rFonts w:ascii="Times New Roman" w:eastAsia="Times New Roman" w:hAnsi="Times New Roman" w:cs="Times New Roman"/>
          <w:sz w:val="24"/>
          <w:szCs w:val="24"/>
        </w:rPr>
        <w:t xml:space="preserve"> as a temporal concept that complements </w:t>
      </w:r>
      <w:r w:rsidRPr="00B71ECE">
        <w:rPr>
          <w:rFonts w:ascii="Times New Roman" w:eastAsia="Times New Roman" w:hAnsi="Times New Roman" w:cs="Times New Roman"/>
          <w:i/>
          <w:iCs/>
          <w:sz w:val="24"/>
          <w:szCs w:val="24"/>
        </w:rPr>
        <w:t>kairotic</w:t>
      </w:r>
      <w:r>
        <w:rPr>
          <w:rFonts w:ascii="Times New Roman" w:eastAsia="Times New Roman" w:hAnsi="Times New Roman" w:cs="Times New Roman"/>
          <w:sz w:val="24"/>
          <w:szCs w:val="24"/>
        </w:rPr>
        <w:t xml:space="preserve"> notions of time (Allen; </w:t>
      </w:r>
      <w:proofErr w:type="spellStart"/>
      <w:r>
        <w:rPr>
          <w:rFonts w:ascii="Times New Roman" w:eastAsia="Times New Roman" w:hAnsi="Times New Roman" w:cs="Times New Roman"/>
          <w:sz w:val="24"/>
          <w:szCs w:val="24"/>
        </w:rPr>
        <w:t>Winderman</w:t>
      </w:r>
      <w:proofErr w:type="spellEnd"/>
      <w:r>
        <w:rPr>
          <w:rFonts w:ascii="Times New Roman" w:eastAsia="Times New Roman" w:hAnsi="Times New Roman" w:cs="Times New Roman"/>
          <w:sz w:val="24"/>
          <w:szCs w:val="24"/>
        </w:rPr>
        <w:t>), while others have investigated how rhetorical actions unfold over time, foregrounding the durative and accretive aspects of rhetoric (Bordelon; Burton). As researchers have become increasingly invested in issues of power, scholars have examined how rhetors invoke temporal tropes in political discourse to either resist or reinforce hegemonies and political imaginaries (</w:t>
      </w: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Dunmire</w:t>
      </w:r>
      <w:proofErr w:type="spellEnd"/>
      <w:r>
        <w:rPr>
          <w:rFonts w:ascii="Times New Roman" w:eastAsia="Times New Roman" w:hAnsi="Times New Roman" w:cs="Times New Roman"/>
          <w:sz w:val="24"/>
          <w:szCs w:val="24"/>
        </w:rPr>
        <w:t xml:space="preserve">; Ore </w:t>
      </w:r>
      <w:r w:rsidR="00527FB4">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Houdek</w:t>
      </w:r>
      <w:proofErr w:type="spellEnd"/>
      <w:r>
        <w:rPr>
          <w:rFonts w:ascii="Times New Roman" w:eastAsia="Times New Roman" w:hAnsi="Times New Roman" w:cs="Times New Roman"/>
          <w:sz w:val="24"/>
          <w:szCs w:val="24"/>
        </w:rPr>
        <w:t>). Other researchers have explored the rhetorically salient ways that time, as a commodity, is inequitably circulated by media and communication technologies (Bradshaw; Castells) and unequally experienced by different bodies (</w:t>
      </w:r>
      <w:proofErr w:type="spellStart"/>
      <w:r>
        <w:rPr>
          <w:rFonts w:ascii="Times New Roman" w:eastAsia="Times New Roman" w:hAnsi="Times New Roman" w:cs="Times New Roman"/>
          <w:sz w:val="24"/>
          <w:szCs w:val="24"/>
        </w:rPr>
        <w:t>Hahner</w:t>
      </w:r>
      <w:proofErr w:type="spellEnd"/>
      <w:r>
        <w:rPr>
          <w:rFonts w:ascii="Times New Roman" w:eastAsia="Times New Roman" w:hAnsi="Times New Roman" w:cs="Times New Roman"/>
          <w:sz w:val="24"/>
          <w:szCs w:val="24"/>
        </w:rPr>
        <w:t>). Historiography, too, has proven central to the ways that rhetoricians reimagine the present state of the field in light of different pasts (</w:t>
      </w:r>
      <w:proofErr w:type="spellStart"/>
      <w:r>
        <w:rPr>
          <w:rFonts w:ascii="Times New Roman" w:eastAsia="Times New Roman" w:hAnsi="Times New Roman" w:cs="Times New Roman"/>
          <w:sz w:val="24"/>
          <w:szCs w:val="24"/>
        </w:rPr>
        <w:t>Ballif</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Theorizing Histories</w:t>
      </w:r>
      <w:r>
        <w:rPr>
          <w:rFonts w:ascii="Times New Roman" w:eastAsia="Times New Roman" w:hAnsi="Times New Roman" w:cs="Times New Roman"/>
          <w:sz w:val="24"/>
          <w:szCs w:val="24"/>
        </w:rPr>
        <w:t>; Jarratt; Mao “Writing the Other”). Moreover, a prior special issue of this very journal has upended the “problematic fiction” of chronological histories, embracing instead the “</w:t>
      </w:r>
      <w:r>
        <w:rPr>
          <w:rFonts w:ascii="Times New Roman" w:eastAsia="Times New Roman" w:hAnsi="Times New Roman" w:cs="Times New Roman"/>
          <w:i/>
          <w:sz w:val="24"/>
          <w:szCs w:val="24"/>
        </w:rPr>
        <w:t>untimely</w:t>
      </w:r>
      <w:r>
        <w:rPr>
          <w:rFonts w:ascii="Times New Roman" w:eastAsia="Times New Roman" w:hAnsi="Times New Roman" w:cs="Times New Roman"/>
          <w:sz w:val="24"/>
          <w:szCs w:val="24"/>
        </w:rPr>
        <w:t xml:space="preserve"> nature of historiography” (</w:t>
      </w:r>
      <w:proofErr w:type="spellStart"/>
      <w:r>
        <w:rPr>
          <w:rFonts w:ascii="Times New Roman" w:eastAsia="Times New Roman" w:hAnsi="Times New Roman" w:cs="Times New Roman"/>
          <w:sz w:val="24"/>
          <w:szCs w:val="24"/>
        </w:rPr>
        <w:t>Ballif</w:t>
      </w:r>
      <w:proofErr w:type="spellEnd"/>
      <w:r>
        <w:rPr>
          <w:rFonts w:ascii="Times New Roman" w:eastAsia="Times New Roman" w:hAnsi="Times New Roman" w:cs="Times New Roman"/>
          <w:sz w:val="24"/>
          <w:szCs w:val="24"/>
        </w:rPr>
        <w:t xml:space="preserve"> “Untimely Historiographies” 202). Indeed, rhetorical scholarship about time</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and, more or less explicitly, about power</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has reached such a critical mass that rhetoricians</w:t>
      </w:r>
      <w:r>
        <w:rPr>
          <w:rFonts w:ascii="Times New Roman" w:eastAsia="Times New Roman" w:hAnsi="Times New Roman" w:cs="Times New Roman"/>
          <w:sz w:val="24"/>
          <w:szCs w:val="24"/>
          <w:highlight w:val="white"/>
        </w:rPr>
        <w:t xml:space="preserve"> have recently spoken of a “temporal turn” in our field (Mao “</w:t>
      </w:r>
      <w:r>
        <w:rPr>
          <w:rFonts w:ascii="Times New Roman" w:eastAsia="Times New Roman" w:hAnsi="Times New Roman" w:cs="Times New Roman"/>
          <w:sz w:val="24"/>
          <w:szCs w:val="24"/>
        </w:rPr>
        <w:t>In the Present”</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Houdek</w:t>
      </w:r>
      <w:proofErr w:type="spellEnd"/>
      <w:r>
        <w:rPr>
          <w:rFonts w:ascii="Times New Roman" w:eastAsia="Times New Roman" w:hAnsi="Times New Roman" w:cs="Times New Roman"/>
          <w:sz w:val="24"/>
          <w:szCs w:val="24"/>
          <w:highlight w:val="white"/>
        </w:rPr>
        <w:t xml:space="preserve"> </w:t>
      </w:r>
      <w:r w:rsidR="00527FB4">
        <w:rPr>
          <w:rFonts w:ascii="Times New Roman" w:eastAsia="Times New Roman" w:hAnsi="Times New Roman" w:cs="Times New Roman"/>
          <w:sz w:val="24"/>
          <w:szCs w:val="24"/>
          <w:highlight w:val="white"/>
        </w:rPr>
        <w:t>and</w:t>
      </w:r>
      <w:r>
        <w:rPr>
          <w:rFonts w:ascii="Times New Roman" w:eastAsia="Times New Roman" w:hAnsi="Times New Roman" w:cs="Times New Roman"/>
          <w:sz w:val="24"/>
          <w:szCs w:val="24"/>
          <w:highlight w:val="white"/>
        </w:rPr>
        <w:t xml:space="preserve"> Phillips). </w:t>
      </w:r>
      <w:r>
        <w:rPr>
          <w:rFonts w:ascii="Times New Roman" w:eastAsia="Times New Roman" w:hAnsi="Times New Roman" w:cs="Times New Roman"/>
          <w:sz w:val="24"/>
          <w:szCs w:val="24"/>
        </w:rPr>
        <w:t xml:space="preserve">Building on this already rich body of scholarship, we argue that </w:t>
      </w:r>
      <w:r>
        <w:rPr>
          <w:rFonts w:ascii="Times New Roman" w:eastAsia="Times New Roman" w:hAnsi="Times New Roman" w:cs="Times New Roman"/>
          <w:sz w:val="24"/>
          <w:szCs w:val="24"/>
        </w:rPr>
        <w:lastRenderedPageBreak/>
        <w:t xml:space="preserve">understanding the complicated relationship among rhetoric, time, and power is essential to the ongoing social justice efforts in our field. </w:t>
      </w:r>
    </w:p>
    <w:p w14:paraId="2A278E83" w14:textId="77777777" w:rsidR="00AA3A92" w:rsidRDefault="00AA3A92" w:rsidP="001F2881">
      <w:pPr>
        <w:spacing w:line="480" w:lineRule="auto"/>
        <w:rPr>
          <w:rFonts w:ascii="Times New Roman" w:eastAsia="Times New Roman" w:hAnsi="Times New Roman" w:cs="Times New Roman"/>
          <w:sz w:val="24"/>
          <w:szCs w:val="24"/>
          <w:highlight w:val="white"/>
        </w:rPr>
      </w:pPr>
    </w:p>
    <w:p w14:paraId="2A278E84" w14:textId="77777777"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special issue, then, highlights some of the less obvious temporal rhythms that shape rhetorical actions and collectively argues that attending to these covert temporalities is essential to the larger rhetorical project of resisting oppression and re-orienting our communities toward justice. Together, the constellation of scholarship contained herein interrogates </w:t>
      </w:r>
      <w:r>
        <w:rPr>
          <w:rFonts w:ascii="Times New Roman" w:eastAsia="Times New Roman" w:hAnsi="Times New Roman" w:cs="Times New Roman"/>
          <w:i/>
          <w:sz w:val="24"/>
          <w:szCs w:val="24"/>
        </w:rPr>
        <w:t>temporal regimes</w:t>
      </w:r>
      <w:r>
        <w:rPr>
          <w:rFonts w:ascii="Times New Roman" w:eastAsia="Times New Roman" w:hAnsi="Times New Roman" w:cs="Times New Roman"/>
          <w:sz w:val="24"/>
          <w:szCs w:val="24"/>
        </w:rPr>
        <w:t xml:space="preserve">, understood as the ways that humans negotiate their </w:t>
      </w:r>
      <w:proofErr w:type="gramStart"/>
      <w:r>
        <w:rPr>
          <w:rFonts w:ascii="Times New Roman" w:eastAsia="Times New Roman" w:hAnsi="Times New Roman" w:cs="Times New Roman"/>
          <w:sz w:val="24"/>
          <w:szCs w:val="24"/>
        </w:rPr>
        <w:t>temporally-situated</w:t>
      </w:r>
      <w:proofErr w:type="gramEnd"/>
      <w:r>
        <w:rPr>
          <w:rFonts w:ascii="Times New Roman" w:eastAsia="Times New Roman" w:hAnsi="Times New Roman" w:cs="Times New Roman"/>
          <w:sz w:val="24"/>
          <w:szCs w:val="24"/>
        </w:rPr>
        <w:t xml:space="preserve"> power relations with each other via discourses, histories, cultures, bodies, and technologies. And in an effort to upend these oppressive temporal regimes, some of the contributions in this special issue begin to identify how other temporal frameworks might point the way toward emancipatory justice. Rather than identifying a single temporal regime that might be the “root” of subjugation and persecution, we suggest that rhetoricians continue the diligent work of exposing and resisting the many temporalities that enable exploitation and inequality. And instead of sketching a single rhetorical temporality that might assure social justice, we seek to account for a plurality of temporal frames that may make possible political emancipation. </w:t>
      </w:r>
    </w:p>
    <w:p w14:paraId="2A278E85" w14:textId="77777777" w:rsidR="00AA3A92" w:rsidRDefault="00AA3A92" w:rsidP="001F2881">
      <w:pPr>
        <w:spacing w:line="480" w:lineRule="auto"/>
        <w:rPr>
          <w:rFonts w:ascii="Times New Roman" w:eastAsia="Times New Roman" w:hAnsi="Times New Roman" w:cs="Times New Roman"/>
          <w:sz w:val="24"/>
          <w:szCs w:val="24"/>
        </w:rPr>
      </w:pPr>
    </w:p>
    <w:p w14:paraId="2A278E86" w14:textId="17E6C229"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the opening article, “Temporal Containment and the Singularity of Anti-Blackness: Saying Her Name in and Across Time,”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Logan Rae Gomez argues that the temporal regime of white linear time performs its violence through the </w:t>
      </w:r>
      <w:r>
        <w:rPr>
          <w:rFonts w:ascii="Times New Roman" w:eastAsia="Times New Roman" w:hAnsi="Times New Roman" w:cs="Times New Roman"/>
          <w:i/>
          <w:sz w:val="24"/>
          <w:szCs w:val="24"/>
        </w:rPr>
        <w:t>temporal containment</w:t>
      </w:r>
      <w:r>
        <w:rPr>
          <w:rFonts w:ascii="Times New Roman" w:eastAsia="Times New Roman" w:hAnsi="Times New Roman" w:cs="Times New Roman"/>
          <w:sz w:val="24"/>
          <w:szCs w:val="24"/>
        </w:rPr>
        <w:t xml:space="preserve"> of Black lives. Her analysis of the </w:t>
      </w:r>
      <w:r>
        <w:rPr>
          <w:rFonts w:ascii="Times New Roman" w:eastAsia="Times New Roman" w:hAnsi="Times New Roman" w:cs="Times New Roman"/>
          <w:i/>
          <w:sz w:val="24"/>
          <w:szCs w:val="24"/>
        </w:rPr>
        <w:t>Say Her Name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SHN</w:t>
      </w:r>
      <w:proofErr w:type="spellEnd"/>
      <w:r>
        <w:rPr>
          <w:rFonts w:ascii="Times New Roman" w:eastAsia="Times New Roman" w:hAnsi="Times New Roman" w:cs="Times New Roman"/>
          <w:sz w:val="24"/>
          <w:szCs w:val="24"/>
        </w:rPr>
        <w:t xml:space="preserve">) social movement reveals how white linear time conceives of Black deaths as singular events that do not confront the long continuous history of white violence against Black women or the aftermath of that violent history in contemporary American society. </w:t>
      </w:r>
      <w:r>
        <w:rPr>
          <w:rFonts w:ascii="Times New Roman" w:eastAsia="Times New Roman" w:hAnsi="Times New Roman" w:cs="Times New Roman"/>
          <w:sz w:val="24"/>
          <w:szCs w:val="24"/>
        </w:rPr>
        <w:lastRenderedPageBreak/>
        <w:t xml:space="preserve">By studying </w:t>
      </w:r>
      <w:proofErr w:type="spellStart"/>
      <w:r>
        <w:rPr>
          <w:rFonts w:ascii="Times New Roman" w:eastAsia="Times New Roman" w:hAnsi="Times New Roman" w:cs="Times New Roman"/>
          <w:sz w:val="24"/>
          <w:szCs w:val="24"/>
        </w:rPr>
        <w:t>SHN</w:t>
      </w:r>
      <w:proofErr w:type="spellEnd"/>
      <w:r>
        <w:rPr>
          <w:rFonts w:ascii="Times New Roman" w:eastAsia="Times New Roman" w:hAnsi="Times New Roman" w:cs="Times New Roman"/>
          <w:sz w:val="24"/>
          <w:szCs w:val="24"/>
        </w:rPr>
        <w:t xml:space="preserve"> as an archive, Gomez demonstrates how </w:t>
      </w:r>
      <w:proofErr w:type="spellStart"/>
      <w:r>
        <w:rPr>
          <w:rFonts w:ascii="Times New Roman" w:eastAsia="Times New Roman" w:hAnsi="Times New Roman" w:cs="Times New Roman"/>
          <w:sz w:val="24"/>
          <w:szCs w:val="24"/>
        </w:rPr>
        <w:t>SHN</w:t>
      </w:r>
      <w:proofErr w:type="spellEnd"/>
      <w:r>
        <w:rPr>
          <w:rFonts w:ascii="Times New Roman" w:eastAsia="Times New Roman" w:hAnsi="Times New Roman" w:cs="Times New Roman"/>
          <w:sz w:val="24"/>
          <w:szCs w:val="24"/>
        </w:rPr>
        <w:t xml:space="preserve"> discourses</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despite their liberatory potential</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remain nonetheless contained by oppressive notions of white linear time. </w:t>
      </w:r>
    </w:p>
    <w:p w14:paraId="2A278E87" w14:textId="77777777" w:rsidR="00AA3A92" w:rsidRDefault="00AA3A92" w:rsidP="001F2881">
      <w:pPr>
        <w:spacing w:line="480" w:lineRule="auto"/>
        <w:rPr>
          <w:rFonts w:ascii="Times New Roman" w:eastAsia="Times New Roman" w:hAnsi="Times New Roman" w:cs="Times New Roman"/>
          <w:sz w:val="24"/>
          <w:szCs w:val="24"/>
        </w:rPr>
      </w:pPr>
    </w:p>
    <w:p w14:paraId="2A278E88" w14:textId="77777777"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Diane Davis situates an unquestioned faith in linear time and historical progress at the heart of American democracy’s inadequacy to itself. In “Rhetoricity, Temporality, Democratic Nonequivalence,” Davis contends that the “spirit” of democracy, which distinguishes itself from its disappointing political form, iterates in irruptive, </w:t>
      </w:r>
      <w:r w:rsidRPr="00B71ECE">
        <w:rPr>
          <w:rFonts w:ascii="Times New Roman" w:eastAsia="Times New Roman" w:hAnsi="Times New Roman" w:cs="Times New Roman"/>
          <w:i/>
          <w:iCs/>
          <w:sz w:val="24"/>
          <w:szCs w:val="24"/>
          <w:highlight w:val="white"/>
        </w:rPr>
        <w:t>kairotic</w:t>
      </w:r>
      <w:r>
        <w:rPr>
          <w:rFonts w:ascii="Times New Roman" w:eastAsia="Times New Roman" w:hAnsi="Times New Roman" w:cs="Times New Roman"/>
          <w:sz w:val="24"/>
          <w:szCs w:val="24"/>
          <w:highlight w:val="white"/>
        </w:rPr>
        <w:t xml:space="preserve"> bursts. In sustained dialogue with Sylvia Wynter and Jean-Luc Nancy, Davis proposes that the event of democracy takes place (each time) through an “exercise of rhetoricity,” an engagement with the other(s) at the threshold of an open space that both shares and differentiates “us.” And a truly democratic politics, Davis argues, would protect this opening “against any attempt to wall it off or to stuff it with an essence or identity.”</w:t>
      </w:r>
    </w:p>
    <w:p w14:paraId="2A278E89" w14:textId="77777777" w:rsidR="00AA3A92" w:rsidRDefault="00AA3A92" w:rsidP="001F2881">
      <w:pPr>
        <w:spacing w:line="480" w:lineRule="auto"/>
        <w:rPr>
          <w:rFonts w:ascii="Times New Roman" w:eastAsia="Times New Roman" w:hAnsi="Times New Roman" w:cs="Times New Roman"/>
          <w:sz w:val="24"/>
          <w:szCs w:val="24"/>
        </w:rPr>
      </w:pPr>
    </w:p>
    <w:p w14:paraId="2A278E8A" w14:textId="0402E705" w:rsidR="00AA3A92" w:rsidRDefault="00442EE4" w:rsidP="001F2881">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If Davis sees in democracy a tension between its temporal possibilities and its temporal realities, then Nomi Claire Lazar notes a similar disjunction between what utopian rhetorics promise and what utopian rhetorics can actually deliver. In “Utopian Rhetoric has a Pleasure Problem,” Lazar employs wide-reaching historical and contemporary examples to demonstrate how utopia’s </w:t>
      </w:r>
      <w:r>
        <w:rPr>
          <w:rFonts w:ascii="Times New Roman" w:eastAsia="Times New Roman" w:hAnsi="Times New Roman" w:cs="Times New Roman"/>
          <w:sz w:val="24"/>
          <w:szCs w:val="24"/>
          <w:highlight w:val="white"/>
        </w:rPr>
        <w:t xml:space="preserve">search for a perfect order </w:t>
      </w:r>
      <w:r>
        <w:rPr>
          <w:rFonts w:ascii="Times New Roman" w:eastAsia="Times New Roman" w:hAnsi="Times New Roman" w:cs="Times New Roman"/>
          <w:sz w:val="24"/>
          <w:szCs w:val="24"/>
        </w:rPr>
        <w:t>runs up against the paradoxes of</w:t>
      </w:r>
      <w:r>
        <w:rPr>
          <w:rFonts w:ascii="Times New Roman" w:eastAsia="Times New Roman" w:hAnsi="Times New Roman" w:cs="Times New Roman"/>
          <w:sz w:val="24"/>
          <w:szCs w:val="24"/>
          <w:highlight w:val="white"/>
        </w:rPr>
        <w:t xml:space="preserve"> static time. </w:t>
      </w:r>
      <w:r>
        <w:rPr>
          <w:rFonts w:ascii="Times New Roman" w:eastAsia="Times New Roman" w:hAnsi="Times New Roman" w:cs="Times New Roman"/>
          <w:sz w:val="24"/>
          <w:szCs w:val="24"/>
        </w:rPr>
        <w:t xml:space="preserve">If the desire for </w:t>
      </w:r>
      <w:r>
        <w:rPr>
          <w:rFonts w:ascii="Times New Roman" w:eastAsia="Times New Roman" w:hAnsi="Times New Roman" w:cs="Times New Roman"/>
          <w:i/>
          <w:sz w:val="24"/>
          <w:szCs w:val="24"/>
        </w:rPr>
        <w:t>pleasure</w:t>
      </w:r>
      <w:r>
        <w:rPr>
          <w:rFonts w:ascii="Times New Roman" w:eastAsia="Times New Roman" w:hAnsi="Times New Roman" w:cs="Times New Roman"/>
          <w:sz w:val="24"/>
          <w:szCs w:val="24"/>
        </w:rPr>
        <w:t xml:space="preserve"> drives human action and conflict, Lazar suggests that utopia needs to actually “stop time” to satiate the desire for pleasure</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and, as a consequence</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end conflict.</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In the end, however, Lazar views this “pleasure problem” as an insurmountable obstacle for utopian rhetorics that can never surpass the </w:t>
      </w:r>
      <w:r>
        <w:rPr>
          <w:rFonts w:ascii="Times New Roman" w:eastAsia="Times New Roman" w:hAnsi="Times New Roman" w:cs="Times New Roman"/>
          <w:sz w:val="24"/>
          <w:szCs w:val="24"/>
          <w:highlight w:val="white"/>
        </w:rPr>
        <w:t>dynamic temporal regimes of law and politics.</w:t>
      </w:r>
    </w:p>
    <w:p w14:paraId="2A278E8B" w14:textId="77777777" w:rsidR="00AA3A92" w:rsidRDefault="00AA3A92" w:rsidP="001F2881">
      <w:pPr>
        <w:spacing w:line="480" w:lineRule="auto"/>
        <w:rPr>
          <w:rFonts w:ascii="Times New Roman" w:eastAsia="Times New Roman" w:hAnsi="Times New Roman" w:cs="Times New Roman"/>
          <w:i/>
          <w:sz w:val="24"/>
          <w:szCs w:val="24"/>
        </w:rPr>
      </w:pPr>
    </w:p>
    <w:p w14:paraId="2A278E8C" w14:textId="77777777"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While Lazar articulates a temporal paradox in the possibilities and limitations of utopian rhetorics, Nathan R. Johnson and Meredith A. Johnson highlight the conflicting temporalities at play in urban planning. In “Time and the Making of Space in Urban Development” Johnson and Johnson introduce the term </w:t>
      </w:r>
      <w:r>
        <w:rPr>
          <w:rFonts w:ascii="Times New Roman" w:eastAsia="Times New Roman" w:hAnsi="Times New Roman" w:cs="Times New Roman"/>
          <w:i/>
          <w:sz w:val="24"/>
          <w:szCs w:val="24"/>
        </w:rPr>
        <w:t>coeval rhetorical temporalities</w:t>
      </w:r>
      <w:r>
        <w:rPr>
          <w:rFonts w:ascii="Times New Roman" w:eastAsia="Times New Roman" w:hAnsi="Times New Roman" w:cs="Times New Roman"/>
          <w:sz w:val="24"/>
          <w:szCs w:val="24"/>
        </w:rPr>
        <w:t xml:space="preserve"> “to account for multiple, in/congruent human and nonhuman experiences of time and space as co-implicated in transportation planning.” By interlinking theories of </w:t>
      </w:r>
      <w:r w:rsidRPr="00B71ECE">
        <w:rPr>
          <w:rFonts w:ascii="Times New Roman" w:eastAsia="Times New Roman" w:hAnsi="Times New Roman" w:cs="Times New Roman"/>
          <w:i/>
          <w:iCs/>
          <w:sz w:val="24"/>
          <w:szCs w:val="24"/>
        </w:rPr>
        <w:t>kairos</w:t>
      </w:r>
      <w:r>
        <w:rPr>
          <w:rFonts w:ascii="Times New Roman" w:eastAsia="Times New Roman" w:hAnsi="Times New Roman" w:cs="Times New Roman"/>
          <w:sz w:val="24"/>
          <w:szCs w:val="24"/>
        </w:rPr>
        <w:t xml:space="preserve"> and </w:t>
      </w:r>
      <w:proofErr w:type="spellStart"/>
      <w:r w:rsidRPr="00B71ECE">
        <w:rPr>
          <w:rFonts w:ascii="Times New Roman" w:eastAsia="Times New Roman" w:hAnsi="Times New Roman" w:cs="Times New Roman"/>
          <w:i/>
          <w:iCs/>
          <w:sz w:val="24"/>
          <w:szCs w:val="24"/>
        </w:rPr>
        <w:t>chronos</w:t>
      </w:r>
      <w:proofErr w:type="spellEnd"/>
      <w:r>
        <w:rPr>
          <w:rFonts w:ascii="Times New Roman" w:eastAsia="Times New Roman" w:hAnsi="Times New Roman" w:cs="Times New Roman"/>
          <w:sz w:val="24"/>
          <w:szCs w:val="24"/>
        </w:rPr>
        <w:t xml:space="preserve"> with an analysis of one of Tampa Bay’s most notorious interstate exchanges, they emphasize the political and ethical dimensions of the multiple </w:t>
      </w:r>
      <w:proofErr w:type="spellStart"/>
      <w:r>
        <w:rPr>
          <w:rFonts w:ascii="Times New Roman" w:eastAsia="Times New Roman" w:hAnsi="Times New Roman" w:cs="Times New Roman"/>
          <w:sz w:val="24"/>
          <w:szCs w:val="24"/>
        </w:rPr>
        <w:t>timescapes</w:t>
      </w:r>
      <w:proofErr w:type="spellEnd"/>
      <w:r>
        <w:rPr>
          <w:rFonts w:ascii="Times New Roman" w:eastAsia="Times New Roman" w:hAnsi="Times New Roman" w:cs="Times New Roman"/>
          <w:sz w:val="24"/>
          <w:szCs w:val="24"/>
        </w:rPr>
        <w:t xml:space="preserve"> that shape the planning of places and spaces in large urban centers.</w:t>
      </w:r>
    </w:p>
    <w:p w14:paraId="2A278E8D" w14:textId="77777777" w:rsidR="00AA3A92" w:rsidRDefault="00AA3A92" w:rsidP="001F2881">
      <w:pPr>
        <w:spacing w:line="480" w:lineRule="auto"/>
        <w:rPr>
          <w:rFonts w:ascii="Times New Roman" w:eastAsia="Times New Roman" w:hAnsi="Times New Roman" w:cs="Times New Roman"/>
          <w:sz w:val="24"/>
          <w:szCs w:val="24"/>
        </w:rPr>
      </w:pPr>
    </w:p>
    <w:p w14:paraId="2A278E8E" w14:textId="478A9151" w:rsidR="00AA3A92" w:rsidRDefault="00442EE4" w:rsidP="001F2881">
      <w:pPr>
        <w:spacing w:line="480" w:lineRule="auto"/>
        <w:rPr>
          <w:rFonts w:ascii="Calibri" w:eastAsia="Calibri" w:hAnsi="Calibri" w:cs="Calibri"/>
          <w:i/>
          <w:sz w:val="24"/>
          <w:szCs w:val="24"/>
        </w:rPr>
      </w:pPr>
      <w:r>
        <w:rPr>
          <w:rFonts w:ascii="Times New Roman" w:eastAsia="Times New Roman" w:hAnsi="Times New Roman" w:cs="Times New Roman"/>
          <w:sz w:val="24"/>
          <w:szCs w:val="24"/>
        </w:rPr>
        <w:t>Like Johnson and Johnson, the final article of this issue interrogates the power dynamics of multiple temporalities. In “Braid</w:t>
      </w:r>
      <w:r w:rsidR="00A07323">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Time: Sami Temporalities for Indigenous Justice,” Frida </w:t>
      </w: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and Collin Bjork analyze the Indigenous Sami movement for political and social justice in early twentieth-century Sweden. </w:t>
      </w: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and Bjork show how the leader of the Sami activists, Elsa </w:t>
      </w:r>
      <w:proofErr w:type="spellStart"/>
      <w:r>
        <w:rPr>
          <w:rFonts w:ascii="Times New Roman" w:eastAsia="Times New Roman" w:hAnsi="Times New Roman" w:cs="Times New Roman"/>
          <w:sz w:val="24"/>
          <w:szCs w:val="24"/>
        </w:rPr>
        <w:t>Laula</w:t>
      </w:r>
      <w:proofErr w:type="spellEnd"/>
      <w:r>
        <w:rPr>
          <w:rFonts w:ascii="Times New Roman" w:eastAsia="Times New Roman" w:hAnsi="Times New Roman" w:cs="Times New Roman"/>
          <w:sz w:val="24"/>
          <w:szCs w:val="24"/>
        </w:rPr>
        <w:t xml:space="preserve">, employs a rhetorical move of </w:t>
      </w:r>
      <w:r>
        <w:rPr>
          <w:rFonts w:ascii="Times New Roman" w:eastAsia="Times New Roman" w:hAnsi="Times New Roman" w:cs="Times New Roman"/>
          <w:i/>
          <w:sz w:val="24"/>
          <w:szCs w:val="24"/>
        </w:rPr>
        <w:t xml:space="preserve">braiding time </w:t>
      </w:r>
      <w:r>
        <w:rPr>
          <w:rFonts w:ascii="Times New Roman" w:eastAsia="Times New Roman" w:hAnsi="Times New Roman" w:cs="Times New Roman"/>
          <w:sz w:val="24"/>
          <w:szCs w:val="24"/>
        </w:rPr>
        <w:t xml:space="preserve">that mirrors the </w:t>
      </w:r>
      <w:proofErr w:type="spellStart"/>
      <w:r>
        <w:rPr>
          <w:rFonts w:ascii="Times New Roman" w:eastAsia="Times New Roman" w:hAnsi="Times New Roman" w:cs="Times New Roman"/>
          <w:sz w:val="24"/>
          <w:szCs w:val="24"/>
        </w:rPr>
        <w:t>millenia</w:t>
      </w:r>
      <w:proofErr w:type="spellEnd"/>
      <w:r>
        <w:rPr>
          <w:rFonts w:ascii="Times New Roman" w:eastAsia="Times New Roman" w:hAnsi="Times New Roman" w:cs="Times New Roman"/>
          <w:sz w:val="24"/>
          <w:szCs w:val="24"/>
        </w:rPr>
        <w:t xml:space="preserve">-long interaction between the Sami and their eventual colonizers. Their analysis illustrates how </w:t>
      </w:r>
      <w:proofErr w:type="spellStart"/>
      <w:r>
        <w:rPr>
          <w:rFonts w:ascii="Times New Roman" w:eastAsia="Times New Roman" w:hAnsi="Times New Roman" w:cs="Times New Roman"/>
          <w:sz w:val="24"/>
          <w:szCs w:val="24"/>
        </w:rPr>
        <w:t>Laula</w:t>
      </w:r>
      <w:proofErr w:type="spellEnd"/>
      <w:r>
        <w:rPr>
          <w:rFonts w:ascii="Times New Roman" w:eastAsia="Times New Roman" w:hAnsi="Times New Roman" w:cs="Times New Roman"/>
          <w:sz w:val="24"/>
          <w:szCs w:val="24"/>
        </w:rPr>
        <w:t xml:space="preserve"> uses her public writings to resist the temporal othering expressed by the Swedish press and the violence of Swedish colonial policies that deliberately erase Sami temporalities. </w:t>
      </w: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and Bjork illustrate how, by braiding Sami and settler Swedish histories and futures together, </w:t>
      </w:r>
      <w:proofErr w:type="spellStart"/>
      <w:r>
        <w:rPr>
          <w:rFonts w:ascii="Times New Roman" w:eastAsia="Times New Roman" w:hAnsi="Times New Roman" w:cs="Times New Roman"/>
          <w:sz w:val="24"/>
          <w:szCs w:val="24"/>
        </w:rPr>
        <w:t>Laula</w:t>
      </w:r>
      <w:proofErr w:type="spellEnd"/>
      <w:r>
        <w:rPr>
          <w:rFonts w:ascii="Times New Roman" w:eastAsia="Times New Roman" w:hAnsi="Times New Roman" w:cs="Times New Roman"/>
          <w:sz w:val="24"/>
          <w:szCs w:val="24"/>
        </w:rPr>
        <w:t xml:space="preserve"> crafts a more just temporal belonging for the Sami present. </w:t>
      </w:r>
    </w:p>
    <w:p w14:paraId="2A278E8F" w14:textId="77777777" w:rsidR="00AA3A92" w:rsidRDefault="00AA3A92" w:rsidP="001F2881">
      <w:pPr>
        <w:spacing w:line="480" w:lineRule="auto"/>
        <w:rPr>
          <w:rFonts w:ascii="Times New Roman" w:eastAsia="Times New Roman" w:hAnsi="Times New Roman" w:cs="Times New Roman"/>
          <w:sz w:val="24"/>
          <w:szCs w:val="24"/>
        </w:rPr>
      </w:pPr>
    </w:p>
    <w:p w14:paraId="2A278E90" w14:textId="506BFB34"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special issue concludes with an Afterword by Ersula Ore that, among other things, meditates on the function of the “Lost Cause” as a temporal regime that is deployed and adapted to celebrate Trumpism, to uplift white supremacy, and to oppress people of color. In this sense, Ore </w:t>
      </w:r>
      <w:r>
        <w:rPr>
          <w:rFonts w:ascii="Times New Roman" w:eastAsia="Times New Roman" w:hAnsi="Times New Roman" w:cs="Times New Roman"/>
          <w:sz w:val="24"/>
          <w:szCs w:val="24"/>
        </w:rPr>
        <w:lastRenderedPageBreak/>
        <w:t>suggests that “temporal regimes such as state time and white national time</w:t>
      </w:r>
      <w:r w:rsidR="006C55C0">
        <w:rPr>
          <w:rFonts w:ascii="Times New Roman" w:eastAsia="Times New Roman" w:hAnsi="Times New Roman" w:cs="Times New Roman"/>
          <w:sz w:val="24"/>
          <w:szCs w:val="24"/>
        </w:rPr>
        <w:t>—</w:t>
      </w:r>
      <w:r>
        <w:rPr>
          <w:rFonts w:ascii="Times New Roman" w:eastAsia="Times New Roman" w:hAnsi="Times New Roman" w:cs="Times New Roman"/>
          <w:sz w:val="24"/>
          <w:szCs w:val="24"/>
        </w:rPr>
        <w:t>as well as their variants</w:t>
      </w:r>
      <w:r w:rsidR="00F818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of which Trump time might be one</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function as time sucks that strip, take up, and waste time in ways that exhausts...others.” Ore then counters these violent temporal regimes by describing Tamika Carey’s theory of “rhetorical impatience” as one way of imagining a more just temporality for Black Americans, and especially for Black women.</w:t>
      </w:r>
    </w:p>
    <w:p w14:paraId="2A278E91" w14:textId="77777777" w:rsidR="00AA3A92" w:rsidRDefault="00AA3A92" w:rsidP="001F2881">
      <w:pPr>
        <w:spacing w:line="480" w:lineRule="auto"/>
        <w:rPr>
          <w:rFonts w:ascii="Times New Roman" w:eastAsia="Times New Roman" w:hAnsi="Times New Roman" w:cs="Times New Roman"/>
          <w:sz w:val="24"/>
          <w:szCs w:val="24"/>
        </w:rPr>
      </w:pPr>
    </w:p>
    <w:p w14:paraId="2A278E94" w14:textId="500E4FEB" w:rsidR="00AA3A92" w:rsidRDefault="00442EE4" w:rsidP="001F288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Together, this special issue demonstrates how rhetoric plays a central role in (a) molding conceptual and political imaginaries of time, (</w:t>
      </w:r>
      <w:r w:rsidR="00B71ECE">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 countering hegemonic </w:t>
      </w:r>
      <w:proofErr w:type="spellStart"/>
      <w:r>
        <w:rPr>
          <w:rFonts w:ascii="Times New Roman" w:eastAsia="Times New Roman" w:hAnsi="Times New Roman" w:cs="Times New Roman"/>
          <w:sz w:val="24"/>
          <w:szCs w:val="24"/>
        </w:rPr>
        <w:t>timescapes</w:t>
      </w:r>
      <w:proofErr w:type="spellEnd"/>
      <w:r>
        <w:rPr>
          <w:rFonts w:ascii="Times New Roman" w:eastAsia="Times New Roman" w:hAnsi="Times New Roman" w:cs="Times New Roman"/>
          <w:sz w:val="24"/>
          <w:szCs w:val="24"/>
        </w:rPr>
        <w:t xml:space="preserve"> that reorient memories, histories, and futures, (c) and both constructing and resisting the asymmetrical temporal regimes that unevenly structure the circulation of discourses, experiences, and resources. Ultimately, these contributions point to the prevailing argument in this special issue: no single dominant temporality exists without also being rhetorically intermeshed with a plurality of alternative temporalities that can be mobilized to erect more just temporal landscapes. This special issue thus extends our field’s rich tradition of interrogating the relationship between rhetoric and time by focusing specifically on the tension between oppressive temporal regimes and the struggle for temporal justice. Collectively, these articles underscore how rhetors mold new temporal imaginaries that can help reorient our communicative cultures, bodies, conceptual heritage, social justice activism, and the ontological underpinnings of rhetorical encounters. And by integrating perspectives from democratic theory, materiality, memory, critical race theory, political philosophy, and postcolonialism, this special issue explores the many ways that rhetoric and time come together to yield the conditions for oppression or emancipation. Time, in other words, is deeply intertwined with the rhetorical act of harnessing and subverting power in the unfolding struggle for justice.</w:t>
      </w:r>
      <w:r>
        <w:br w:type="page"/>
      </w:r>
    </w:p>
    <w:p w14:paraId="42FDA54A" w14:textId="77777777" w:rsidR="004531C7" w:rsidRDefault="00442EE4" w:rsidP="001F2881">
      <w:pPr>
        <w:spacing w:line="480" w:lineRule="auto"/>
        <w:rPr>
          <w:rFonts w:ascii="Times New Roman" w:eastAsia="Times New Roman" w:hAnsi="Times New Roman" w:cs="Times New Roman"/>
          <w:b/>
          <w:bCs/>
          <w:sz w:val="24"/>
          <w:szCs w:val="24"/>
        </w:rPr>
      </w:pPr>
      <w:r w:rsidRPr="0011260B">
        <w:rPr>
          <w:rFonts w:ascii="Times New Roman" w:eastAsia="Times New Roman" w:hAnsi="Times New Roman" w:cs="Times New Roman"/>
          <w:b/>
          <w:bCs/>
          <w:sz w:val="24"/>
          <w:szCs w:val="24"/>
        </w:rPr>
        <w:lastRenderedPageBreak/>
        <w:t>Works Cited</w:t>
      </w:r>
    </w:p>
    <w:p w14:paraId="2DBC9C65" w14:textId="77777777" w:rsidR="004531C7" w:rsidRDefault="00442EE4" w:rsidP="001F2881">
      <w:pPr>
        <w:spacing w:line="480" w:lineRule="auto"/>
        <w:ind w:left="426" w:hanging="426"/>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Allen, Nicole T. “A Reconsidering Chronos: </w:t>
      </w:r>
      <w:proofErr w:type="spellStart"/>
      <w:r>
        <w:rPr>
          <w:rFonts w:ascii="Times New Roman" w:eastAsia="Times New Roman" w:hAnsi="Times New Roman" w:cs="Times New Roman"/>
          <w:sz w:val="24"/>
          <w:szCs w:val="24"/>
        </w:rPr>
        <w:t>Chronistic</w:t>
      </w:r>
      <w:proofErr w:type="spellEnd"/>
      <w:r>
        <w:rPr>
          <w:rFonts w:ascii="Times New Roman" w:eastAsia="Times New Roman" w:hAnsi="Times New Roman" w:cs="Times New Roman"/>
          <w:sz w:val="24"/>
          <w:szCs w:val="24"/>
        </w:rPr>
        <w:t xml:space="preserve"> Criticism and the First ‘Iraqi National Calendar.” </w:t>
      </w:r>
      <w:r>
        <w:rPr>
          <w:rFonts w:ascii="Times New Roman" w:eastAsia="Times New Roman" w:hAnsi="Times New Roman" w:cs="Times New Roman"/>
          <w:i/>
          <w:sz w:val="24"/>
          <w:szCs w:val="24"/>
        </w:rPr>
        <w:t>Quarterly Journal of Speech</w:t>
      </w:r>
      <w:r>
        <w:rPr>
          <w:rFonts w:ascii="Times New Roman" w:eastAsia="Times New Roman" w:hAnsi="Times New Roman" w:cs="Times New Roman"/>
          <w:sz w:val="24"/>
          <w:szCs w:val="24"/>
        </w:rPr>
        <w:t>, vol. 104, no. 4, 2018, pp. 361</w:t>
      </w:r>
      <w:r w:rsidR="0011260B">
        <w:rPr>
          <w:rFonts w:ascii="Times New Roman" w:eastAsia="Times New Roman" w:hAnsi="Times New Roman" w:cs="Times New Roman"/>
          <w:sz w:val="24"/>
          <w:szCs w:val="24"/>
        </w:rPr>
        <w:t>–</w:t>
      </w:r>
      <w:r>
        <w:rPr>
          <w:rFonts w:ascii="Times New Roman" w:eastAsia="Times New Roman" w:hAnsi="Times New Roman" w:cs="Times New Roman"/>
          <w:sz w:val="24"/>
          <w:szCs w:val="24"/>
        </w:rPr>
        <w:t>83.</w:t>
      </w:r>
    </w:p>
    <w:p w14:paraId="21A9A608" w14:textId="77777777" w:rsidR="004531C7" w:rsidRDefault="00442EE4" w:rsidP="001F2881">
      <w:pPr>
        <w:spacing w:line="480" w:lineRule="auto"/>
        <w:ind w:left="426" w:hanging="426"/>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Aristotle. </w:t>
      </w:r>
      <w:r>
        <w:rPr>
          <w:rFonts w:ascii="Times New Roman" w:eastAsia="Times New Roman" w:hAnsi="Times New Roman" w:cs="Times New Roman"/>
          <w:i/>
          <w:sz w:val="24"/>
          <w:szCs w:val="24"/>
        </w:rPr>
        <w:t>Rhetoric: A Theory of Civic Discourse</w:t>
      </w:r>
      <w:r>
        <w:rPr>
          <w:rFonts w:ascii="Times New Roman" w:eastAsia="Times New Roman" w:hAnsi="Times New Roman" w:cs="Times New Roman"/>
          <w:sz w:val="24"/>
          <w:szCs w:val="24"/>
        </w:rPr>
        <w:t>. Translated by George A. Kennedy, Oxford UP, 1991.</w:t>
      </w:r>
    </w:p>
    <w:p w14:paraId="50E5CDC2" w14:textId="77777777" w:rsidR="00C63C2E" w:rsidRDefault="00442EE4" w:rsidP="001F2881">
      <w:pPr>
        <w:spacing w:line="480" w:lineRule="auto"/>
        <w:ind w:left="426"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Baker, </w:t>
      </w:r>
      <w:proofErr w:type="spellStart"/>
      <w:r>
        <w:rPr>
          <w:rFonts w:ascii="Times New Roman" w:eastAsia="Times New Roman" w:hAnsi="Times New Roman" w:cs="Times New Roman"/>
          <w:sz w:val="24"/>
          <w:szCs w:val="24"/>
        </w:rPr>
        <w:t>Aryn</w:t>
      </w:r>
      <w:proofErr w:type="spellEnd"/>
      <w:r>
        <w:rPr>
          <w:rFonts w:ascii="Times New Roman" w:eastAsia="Times New Roman" w:hAnsi="Times New Roman" w:cs="Times New Roman"/>
          <w:sz w:val="24"/>
          <w:szCs w:val="24"/>
        </w:rPr>
        <w:t xml:space="preserve">. “Few Doctors, Fewer Ventilators: African Countries Fear They Are Defenseless Against Inevitable Spread of Coronavirus.” </w:t>
      </w:r>
      <w:r>
        <w:rPr>
          <w:rFonts w:ascii="Times New Roman" w:eastAsia="Times New Roman" w:hAnsi="Times New Roman" w:cs="Times New Roman"/>
          <w:i/>
          <w:sz w:val="24"/>
          <w:szCs w:val="24"/>
        </w:rPr>
        <w:t>Time</w:t>
      </w:r>
      <w:r>
        <w:rPr>
          <w:rFonts w:ascii="Times New Roman" w:eastAsia="Times New Roman" w:hAnsi="Times New Roman" w:cs="Times New Roman"/>
          <w:sz w:val="24"/>
          <w:szCs w:val="24"/>
        </w:rPr>
        <w:t xml:space="preserve">, 7 April 2020, </w:t>
      </w:r>
      <w:hyperlink r:id="rId9">
        <w:r>
          <w:rPr>
            <w:rFonts w:ascii="Times New Roman" w:eastAsia="Times New Roman" w:hAnsi="Times New Roman" w:cs="Times New Roman"/>
            <w:sz w:val="24"/>
            <w:szCs w:val="24"/>
            <w:u w:val="single"/>
          </w:rPr>
          <w:t>https://time.com/5816299/coronavirus-africa-ventilators-doctors/</w:t>
        </w:r>
      </w:hyperlink>
      <w:r>
        <w:rPr>
          <w:rFonts w:ascii="Times New Roman" w:eastAsia="Times New Roman" w:hAnsi="Times New Roman" w:cs="Times New Roman"/>
          <w:sz w:val="24"/>
          <w:szCs w:val="24"/>
        </w:rPr>
        <w:t xml:space="preserve">. Accessed 13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2020.</w:t>
      </w:r>
    </w:p>
    <w:p w14:paraId="2A278E99" w14:textId="08D0E4CA" w:rsidR="00AA3A92" w:rsidRPr="00C63C2E" w:rsidRDefault="00442EE4" w:rsidP="001F2881">
      <w:pPr>
        <w:spacing w:line="480" w:lineRule="auto"/>
        <w:ind w:left="426" w:hanging="426"/>
        <w:rPr>
          <w:rFonts w:ascii="Times New Roman" w:eastAsia="Times New Roman" w:hAnsi="Times New Roman" w:cs="Times New Roman"/>
          <w:b/>
          <w:bCs/>
          <w:sz w:val="24"/>
          <w:szCs w:val="24"/>
        </w:rPr>
      </w:pPr>
      <w:proofErr w:type="spellStart"/>
      <w:r>
        <w:rPr>
          <w:rFonts w:ascii="Times New Roman" w:eastAsia="Times New Roman" w:hAnsi="Times New Roman" w:cs="Times New Roman"/>
          <w:sz w:val="24"/>
          <w:szCs w:val="24"/>
        </w:rPr>
        <w:t>Ballif</w:t>
      </w:r>
      <w:proofErr w:type="spellEnd"/>
      <w:r>
        <w:rPr>
          <w:rFonts w:ascii="Times New Roman" w:eastAsia="Times New Roman" w:hAnsi="Times New Roman" w:cs="Times New Roman"/>
          <w:sz w:val="24"/>
          <w:szCs w:val="24"/>
        </w:rPr>
        <w:t xml:space="preserve">, Michelle. “Introductory Notes from the Editor: </w:t>
      </w:r>
      <w:r>
        <w:rPr>
          <w:rFonts w:ascii="Times New Roman" w:eastAsia="Times New Roman" w:hAnsi="Times New Roman" w:cs="Times New Roman"/>
          <w:i/>
          <w:sz w:val="24"/>
          <w:szCs w:val="24"/>
        </w:rPr>
        <w:t>Untimely Historiographies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Rhetoric Society Quarterly</w:t>
      </w:r>
      <w:r>
        <w:rPr>
          <w:rFonts w:ascii="Times New Roman" w:eastAsia="Times New Roman" w:hAnsi="Times New Roman" w:cs="Times New Roman"/>
          <w:sz w:val="24"/>
          <w:szCs w:val="24"/>
        </w:rPr>
        <w:t>, vol. 44, no. 3, 2014, pp. 201–03.</w:t>
      </w:r>
    </w:p>
    <w:p w14:paraId="2A278E9A" w14:textId="51910C8C"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90D0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ed. </w:t>
      </w:r>
      <w:r>
        <w:rPr>
          <w:rFonts w:ascii="Times New Roman" w:eastAsia="Times New Roman" w:hAnsi="Times New Roman" w:cs="Times New Roman"/>
          <w:i/>
          <w:sz w:val="24"/>
          <w:szCs w:val="24"/>
        </w:rPr>
        <w:t xml:space="preserve">Theorizing Histories of Rhetoric. </w:t>
      </w:r>
      <w:r>
        <w:rPr>
          <w:rFonts w:ascii="Times New Roman" w:eastAsia="Times New Roman" w:hAnsi="Times New Roman" w:cs="Times New Roman"/>
          <w:sz w:val="24"/>
          <w:szCs w:val="24"/>
        </w:rPr>
        <w:t xml:space="preserve">Southern Illinois University Press, 2013. </w:t>
      </w:r>
    </w:p>
    <w:p w14:paraId="2A278E9B" w14:textId="3E73E2F4" w:rsidR="00AA3A92" w:rsidRDefault="00442EE4" w:rsidP="001F2881">
      <w:pPr>
        <w:spacing w:line="480" w:lineRule="auto"/>
        <w:ind w:left="426"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Bordelon, Suzanne. “Embodied Ethos and Rhetorical Accretion: Genevieve Stebbins and the Delsarte System of Expression.” </w:t>
      </w:r>
      <w:r>
        <w:rPr>
          <w:rFonts w:ascii="Times New Roman" w:eastAsia="Times New Roman" w:hAnsi="Times New Roman" w:cs="Times New Roman"/>
          <w:i/>
          <w:sz w:val="24"/>
          <w:szCs w:val="24"/>
        </w:rPr>
        <w:t>Rhetoric Society Quarterly</w:t>
      </w:r>
      <w:r>
        <w:rPr>
          <w:rFonts w:ascii="Times New Roman" w:eastAsia="Times New Roman" w:hAnsi="Times New Roman" w:cs="Times New Roman"/>
          <w:sz w:val="24"/>
          <w:szCs w:val="24"/>
        </w:rPr>
        <w:t>, vol. 46, no. 2, 2016, pp. 105</w:t>
      </w:r>
      <w:r w:rsidR="00D27924">
        <w:rPr>
          <w:rFonts w:ascii="Times New Roman" w:eastAsia="Times New Roman" w:hAnsi="Times New Roman" w:cs="Times New Roman"/>
          <w:sz w:val="24"/>
          <w:szCs w:val="24"/>
        </w:rPr>
        <w:t>–</w:t>
      </w:r>
      <w:r>
        <w:rPr>
          <w:rFonts w:ascii="Times New Roman" w:eastAsia="Times New Roman" w:hAnsi="Times New Roman" w:cs="Times New Roman"/>
          <w:sz w:val="24"/>
          <w:szCs w:val="24"/>
        </w:rPr>
        <w:t>30.</w:t>
      </w:r>
    </w:p>
    <w:p w14:paraId="2A278E9C"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Bradshaw, Jonathan L. “Slow Circulation: The Ethics of Speed and Rhetorical Persistence.” </w:t>
      </w:r>
      <w:r>
        <w:rPr>
          <w:rFonts w:ascii="Times New Roman" w:eastAsia="Times New Roman" w:hAnsi="Times New Roman" w:cs="Times New Roman"/>
          <w:i/>
          <w:sz w:val="24"/>
          <w:szCs w:val="24"/>
        </w:rPr>
        <w:t>Rhetoric Society Quarterly</w:t>
      </w:r>
      <w:r>
        <w:rPr>
          <w:rFonts w:ascii="Times New Roman" w:eastAsia="Times New Roman" w:hAnsi="Times New Roman" w:cs="Times New Roman"/>
          <w:sz w:val="24"/>
          <w:szCs w:val="24"/>
        </w:rPr>
        <w:t xml:space="preserve">, vol. 48, no. 5, 2018, pp. 479–98. </w:t>
      </w:r>
    </w:p>
    <w:p w14:paraId="2A278E9D" w14:textId="77777777" w:rsidR="00AA3A92" w:rsidRDefault="00442EE4" w:rsidP="001F2881">
      <w:pPr>
        <w:spacing w:line="480" w:lineRule="auto"/>
        <w:ind w:left="426" w:hanging="426"/>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Buhre</w:t>
      </w:r>
      <w:proofErr w:type="spellEnd"/>
      <w:r>
        <w:rPr>
          <w:rFonts w:ascii="Times New Roman" w:eastAsia="Times New Roman" w:hAnsi="Times New Roman" w:cs="Times New Roman"/>
          <w:sz w:val="24"/>
          <w:szCs w:val="24"/>
        </w:rPr>
        <w:t xml:space="preserve">, Frida. </w:t>
      </w:r>
      <w:r>
        <w:rPr>
          <w:rFonts w:ascii="Times New Roman" w:eastAsia="Times New Roman" w:hAnsi="Times New Roman" w:cs="Times New Roman"/>
          <w:i/>
          <w:sz w:val="24"/>
          <w:szCs w:val="24"/>
        </w:rPr>
        <w:t>Speaking Other Times: Hannah Arendt and the Temporality of Politics</w:t>
      </w:r>
      <w:r>
        <w:rPr>
          <w:rFonts w:ascii="Times New Roman" w:eastAsia="Times New Roman" w:hAnsi="Times New Roman" w:cs="Times New Roman"/>
          <w:sz w:val="24"/>
          <w:szCs w:val="24"/>
        </w:rPr>
        <w:t>, Diss. Uppsala Univ., 2019.</w:t>
      </w:r>
    </w:p>
    <w:p w14:paraId="2A278E9E" w14:textId="77777777" w:rsidR="00AA3A92" w:rsidRDefault="00442EE4" w:rsidP="001F2881">
      <w:pPr>
        <w:spacing w:line="480" w:lineRule="auto"/>
        <w:ind w:left="426"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Burke, Megan M. “Gender as Lived Time: Reading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Second Sex for a Feminist Phenomenology of Temporality”. </w:t>
      </w:r>
      <w:r>
        <w:rPr>
          <w:rFonts w:ascii="Times New Roman" w:eastAsia="Times New Roman" w:hAnsi="Times New Roman" w:cs="Times New Roman"/>
          <w:i/>
          <w:sz w:val="24"/>
          <w:szCs w:val="24"/>
        </w:rPr>
        <w:t>Hypatia</w:t>
      </w:r>
      <w:r>
        <w:rPr>
          <w:rFonts w:ascii="Times New Roman" w:eastAsia="Times New Roman" w:hAnsi="Times New Roman" w:cs="Times New Roman"/>
          <w:sz w:val="24"/>
          <w:szCs w:val="24"/>
        </w:rPr>
        <w:t>, vol. 33, no. 1, 2018, pp. 111–27.</w:t>
      </w:r>
      <w:hyperlink r:id="rId10">
        <w:r>
          <w:rPr>
            <w:rFonts w:ascii="Times New Roman" w:eastAsia="Times New Roman" w:hAnsi="Times New Roman" w:cs="Times New Roman"/>
            <w:sz w:val="24"/>
            <w:szCs w:val="24"/>
          </w:rPr>
          <w:t xml:space="preserve"> </w:t>
        </w:r>
      </w:hyperlink>
    </w:p>
    <w:p w14:paraId="2A278E9F" w14:textId="4FA29778" w:rsidR="00AA3A92" w:rsidRDefault="00442EE4" w:rsidP="001F2881">
      <w:pPr>
        <w:spacing w:line="480" w:lineRule="auto"/>
        <w:ind w:left="426"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Burton, Vicki Tolar. “The Speaker Respoken: Material Rhetoric as Feminist Methodology.” </w:t>
      </w:r>
      <w:r>
        <w:rPr>
          <w:rFonts w:ascii="Times New Roman" w:eastAsia="Times New Roman" w:hAnsi="Times New Roman" w:cs="Times New Roman"/>
          <w:i/>
          <w:sz w:val="24"/>
          <w:szCs w:val="24"/>
        </w:rPr>
        <w:t>College English</w:t>
      </w:r>
      <w:r>
        <w:rPr>
          <w:rFonts w:ascii="Times New Roman" w:eastAsia="Times New Roman" w:hAnsi="Times New Roman" w:cs="Times New Roman"/>
          <w:sz w:val="24"/>
          <w:szCs w:val="24"/>
        </w:rPr>
        <w:t>, vol. 61, no. 5, 1999, pp. 545</w:t>
      </w:r>
      <w:r w:rsidR="00BC2F6B">
        <w:rPr>
          <w:rFonts w:ascii="Times New Roman" w:eastAsia="Times New Roman" w:hAnsi="Times New Roman" w:cs="Times New Roman"/>
          <w:sz w:val="24"/>
          <w:szCs w:val="24"/>
        </w:rPr>
        <w:t>–</w:t>
      </w:r>
      <w:r>
        <w:rPr>
          <w:rFonts w:ascii="Times New Roman" w:eastAsia="Times New Roman" w:hAnsi="Times New Roman" w:cs="Times New Roman"/>
          <w:sz w:val="24"/>
          <w:szCs w:val="24"/>
        </w:rPr>
        <w:t>73.</w:t>
      </w:r>
    </w:p>
    <w:p w14:paraId="2A278EA1"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Castells, Manuel. </w:t>
      </w:r>
      <w:r>
        <w:rPr>
          <w:rFonts w:ascii="Times New Roman" w:eastAsia="Times New Roman" w:hAnsi="Times New Roman" w:cs="Times New Roman"/>
          <w:i/>
          <w:sz w:val="24"/>
          <w:szCs w:val="24"/>
        </w:rPr>
        <w:t>Communication Power</w:t>
      </w:r>
      <w:r>
        <w:rPr>
          <w:rFonts w:ascii="Times New Roman" w:eastAsia="Times New Roman" w:hAnsi="Times New Roman" w:cs="Times New Roman"/>
          <w:sz w:val="24"/>
          <w:szCs w:val="24"/>
        </w:rPr>
        <w:t>. Oxford UP, 2009.</w:t>
      </w:r>
    </w:p>
    <w:p w14:paraId="2A278EA2"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Cassegård</w:t>
      </w:r>
      <w:proofErr w:type="spellEnd"/>
      <w:r>
        <w:rPr>
          <w:rFonts w:ascii="Times New Roman" w:eastAsia="Times New Roman" w:hAnsi="Times New Roman" w:cs="Times New Roman"/>
          <w:sz w:val="24"/>
          <w:szCs w:val="24"/>
        </w:rPr>
        <w:t xml:space="preserve">, Carl, and </w:t>
      </w:r>
      <w:proofErr w:type="spellStart"/>
      <w:r>
        <w:rPr>
          <w:rFonts w:ascii="Times New Roman" w:eastAsia="Times New Roman" w:hAnsi="Times New Roman" w:cs="Times New Roman"/>
          <w:sz w:val="24"/>
          <w:szCs w:val="24"/>
        </w:rPr>
        <w:t>Håkan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Thörn</w:t>
      </w:r>
      <w:proofErr w:type="spellEnd"/>
      <w:r>
        <w:rPr>
          <w:rFonts w:ascii="Times New Roman" w:eastAsia="Times New Roman" w:hAnsi="Times New Roman" w:cs="Times New Roman"/>
          <w:sz w:val="24"/>
          <w:szCs w:val="24"/>
        </w:rPr>
        <w:t xml:space="preserve">. “Toward a Postapocalyptic Environmentalism? Responses to Loss and Visions of the Future in Climate Activism.” </w:t>
      </w:r>
      <w:r>
        <w:rPr>
          <w:rFonts w:ascii="Times New Roman" w:eastAsia="Times New Roman" w:hAnsi="Times New Roman" w:cs="Times New Roman"/>
          <w:i/>
          <w:sz w:val="24"/>
          <w:szCs w:val="24"/>
        </w:rPr>
        <w:t>Environment and Planning E: Nature and Space</w:t>
      </w:r>
      <w:r>
        <w:rPr>
          <w:rFonts w:ascii="Times New Roman" w:eastAsia="Times New Roman" w:hAnsi="Times New Roman" w:cs="Times New Roman"/>
          <w:sz w:val="24"/>
          <w:szCs w:val="24"/>
        </w:rPr>
        <w:t>, vol. 1, no. 4, 2018, pp. 561–78.</w:t>
      </w:r>
    </w:p>
    <w:p w14:paraId="2A278EA3"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Chakrabarty, Dipesh. </w:t>
      </w:r>
      <w:r>
        <w:rPr>
          <w:rFonts w:ascii="Times New Roman" w:eastAsia="Times New Roman" w:hAnsi="Times New Roman" w:cs="Times New Roman"/>
          <w:i/>
          <w:sz w:val="24"/>
          <w:szCs w:val="24"/>
        </w:rPr>
        <w:t>Provincializing Europe: Postcolonial Thought and Historical Difference</w:t>
      </w:r>
      <w:r>
        <w:rPr>
          <w:rFonts w:ascii="Times New Roman" w:eastAsia="Times New Roman" w:hAnsi="Times New Roman" w:cs="Times New Roman"/>
          <w:sz w:val="24"/>
          <w:szCs w:val="24"/>
        </w:rPr>
        <w:t>. Princeton UP, 2000.</w:t>
      </w:r>
    </w:p>
    <w:p w14:paraId="1A672ABD" w14:textId="4BB06F3C" w:rsidR="00C63C2E" w:rsidRDefault="00C63C2E" w:rsidP="001F2881">
      <w:pPr>
        <w:spacing w:line="480" w:lineRule="auto"/>
        <w:ind w:left="426" w:hanging="426"/>
        <w:jc w:val="both"/>
        <w:rPr>
          <w:rFonts w:ascii="Times New Roman" w:eastAsia="Times New Roman" w:hAnsi="Times New Roman" w:cs="Times New Roman"/>
          <w:sz w:val="24"/>
          <w:szCs w:val="24"/>
        </w:rPr>
      </w:pPr>
      <w:proofErr w:type="spellStart"/>
      <w:r w:rsidRPr="00820909">
        <w:rPr>
          <w:rFonts w:ascii="Times New Roman" w:hAnsi="Times New Roman" w:cs="Times New Roman"/>
          <w:sz w:val="24"/>
          <w:szCs w:val="24"/>
          <w:lang w:val="en-US"/>
        </w:rPr>
        <w:t>Chirindo</w:t>
      </w:r>
      <w:proofErr w:type="spellEnd"/>
      <w:r w:rsidRPr="00820909">
        <w:rPr>
          <w:rFonts w:ascii="Times New Roman" w:hAnsi="Times New Roman" w:cs="Times New Roman"/>
          <w:sz w:val="24"/>
          <w:szCs w:val="24"/>
          <w:lang w:val="en-US"/>
        </w:rPr>
        <w:t xml:space="preserve">, </w:t>
      </w:r>
      <w:proofErr w:type="spellStart"/>
      <w:r w:rsidRPr="00820909">
        <w:rPr>
          <w:rFonts w:ascii="Times New Roman" w:hAnsi="Times New Roman" w:cs="Times New Roman"/>
          <w:sz w:val="24"/>
          <w:szCs w:val="24"/>
          <w:lang w:val="en-US"/>
        </w:rPr>
        <w:t>Kundai</w:t>
      </w:r>
      <w:proofErr w:type="spellEnd"/>
      <w:r w:rsidRPr="0082090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Robert Gutierrez-Perez, Matthew </w:t>
      </w:r>
      <w:proofErr w:type="spellStart"/>
      <w:r>
        <w:rPr>
          <w:rFonts w:ascii="Times New Roman" w:hAnsi="Times New Roman" w:cs="Times New Roman"/>
          <w:sz w:val="24"/>
          <w:szCs w:val="24"/>
          <w:lang w:val="en-US"/>
        </w:rPr>
        <w:t>Houdek</w:t>
      </w:r>
      <w:proofErr w:type="spellEnd"/>
      <w:r>
        <w:rPr>
          <w:rFonts w:ascii="Times New Roman" w:hAnsi="Times New Roman" w:cs="Times New Roman"/>
          <w:sz w:val="24"/>
          <w:szCs w:val="24"/>
          <w:lang w:val="en-US"/>
        </w:rPr>
        <w:t xml:space="preserve">, Louis M. </w:t>
      </w:r>
      <w:proofErr w:type="spellStart"/>
      <w:r>
        <w:rPr>
          <w:rFonts w:ascii="Times New Roman" w:hAnsi="Times New Roman" w:cs="Times New Roman"/>
          <w:sz w:val="24"/>
          <w:szCs w:val="24"/>
          <w:lang w:val="en-US"/>
        </w:rPr>
        <w:t>Maraj</w:t>
      </w:r>
      <w:proofErr w:type="spellEnd"/>
      <w:r>
        <w:rPr>
          <w:rFonts w:ascii="Times New Roman" w:hAnsi="Times New Roman" w:cs="Times New Roman"/>
          <w:sz w:val="24"/>
          <w:szCs w:val="24"/>
          <w:lang w:val="en-US"/>
        </w:rPr>
        <w:t xml:space="preserve">, Ersula J. Ore, Kendall Phillips, Lee M. Pierce </w:t>
      </w:r>
      <w:r w:rsidR="004D7FAB">
        <w:rPr>
          <w:rFonts w:ascii="Times New Roman" w:hAnsi="Times New Roman" w:cs="Times New Roman"/>
          <w:sz w:val="24"/>
          <w:szCs w:val="24"/>
          <w:lang w:val="en-US"/>
        </w:rPr>
        <w:t>and</w:t>
      </w:r>
      <w:r>
        <w:rPr>
          <w:rFonts w:ascii="Times New Roman" w:hAnsi="Times New Roman" w:cs="Times New Roman"/>
          <w:sz w:val="24"/>
          <w:szCs w:val="24"/>
          <w:lang w:val="en-US"/>
        </w:rPr>
        <w:t xml:space="preserve"> G. Mitchell Reyes</w:t>
      </w:r>
      <w:r w:rsidRPr="00820909">
        <w:rPr>
          <w:rFonts w:ascii="Times New Roman" w:hAnsi="Times New Roman" w:cs="Times New Roman"/>
          <w:sz w:val="24"/>
          <w:szCs w:val="24"/>
          <w:lang w:val="en-US"/>
        </w:rPr>
        <w:t xml:space="preserve">. “Coda: A Rupture in Time.” </w:t>
      </w:r>
      <w:r w:rsidRPr="00820909">
        <w:rPr>
          <w:rFonts w:ascii="Times New Roman" w:hAnsi="Times New Roman" w:cs="Times New Roman"/>
          <w:i/>
          <w:iCs/>
          <w:sz w:val="24"/>
          <w:szCs w:val="24"/>
          <w:lang w:val="en-US"/>
        </w:rPr>
        <w:t>Women’s Studies in Communication</w:t>
      </w:r>
      <w:r w:rsidRPr="00820909">
        <w:rPr>
          <w:rFonts w:ascii="Times New Roman" w:hAnsi="Times New Roman" w:cs="Times New Roman"/>
          <w:sz w:val="24"/>
          <w:szCs w:val="24"/>
          <w:lang w:val="en-US"/>
        </w:rPr>
        <w:t>, vol. 43, no. 4, Oct. 2020, pp. 459–70.</w:t>
      </w:r>
    </w:p>
    <w:p w14:paraId="2A278EA4" w14:textId="439DDE55"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Dunmire</w:t>
      </w:r>
      <w:proofErr w:type="spellEnd"/>
      <w:r>
        <w:rPr>
          <w:rFonts w:ascii="Times New Roman" w:eastAsia="Times New Roman" w:hAnsi="Times New Roman" w:cs="Times New Roman"/>
          <w:sz w:val="24"/>
          <w:szCs w:val="24"/>
        </w:rPr>
        <w:t xml:space="preserve">, Patricia L. </w:t>
      </w:r>
      <w:r>
        <w:rPr>
          <w:rFonts w:ascii="Times New Roman" w:eastAsia="Times New Roman" w:hAnsi="Times New Roman" w:cs="Times New Roman"/>
          <w:i/>
          <w:sz w:val="24"/>
          <w:szCs w:val="24"/>
        </w:rPr>
        <w:t>Projecting the Future Through Political Discourse: The Case of the Bush Doctrine</w:t>
      </w:r>
      <w:r>
        <w:rPr>
          <w:rFonts w:ascii="Times New Roman" w:eastAsia="Times New Roman" w:hAnsi="Times New Roman" w:cs="Times New Roman"/>
          <w:sz w:val="24"/>
          <w:szCs w:val="24"/>
        </w:rPr>
        <w:t>. John Benjamins, 2011.</w:t>
      </w:r>
    </w:p>
    <w:p w14:paraId="2A278EA5"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Edelman, Lee. </w:t>
      </w:r>
      <w:r>
        <w:rPr>
          <w:rFonts w:ascii="Times New Roman" w:eastAsia="Times New Roman" w:hAnsi="Times New Roman" w:cs="Times New Roman"/>
          <w:i/>
          <w:sz w:val="24"/>
          <w:szCs w:val="24"/>
        </w:rPr>
        <w:t>No Future: Queer Theory and the Death Drive</w:t>
      </w:r>
      <w:r>
        <w:rPr>
          <w:rFonts w:ascii="Times New Roman" w:eastAsia="Times New Roman" w:hAnsi="Times New Roman" w:cs="Times New Roman"/>
          <w:sz w:val="24"/>
          <w:szCs w:val="24"/>
        </w:rPr>
        <w:t>. Duke UP, 2004.</w:t>
      </w:r>
    </w:p>
    <w:p w14:paraId="2A278EA6"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Fabian, Johannes. </w:t>
      </w:r>
      <w:r>
        <w:rPr>
          <w:rFonts w:ascii="Times New Roman" w:eastAsia="Times New Roman" w:hAnsi="Times New Roman" w:cs="Times New Roman"/>
          <w:i/>
          <w:sz w:val="24"/>
          <w:szCs w:val="24"/>
        </w:rPr>
        <w:t>Time and the Other: How Anthropology Makes Its Object</w:t>
      </w:r>
      <w:r>
        <w:rPr>
          <w:rFonts w:ascii="Times New Roman" w:eastAsia="Times New Roman" w:hAnsi="Times New Roman" w:cs="Times New Roman"/>
          <w:sz w:val="24"/>
          <w:szCs w:val="24"/>
        </w:rPr>
        <w:t>. Columbia UP, 2002.</w:t>
      </w:r>
    </w:p>
    <w:p w14:paraId="2A278EA7"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Foley, Megan. “Serializing Racial Subjects: The Stagnation and Suspense of the O.J. Simpson Saga.” </w:t>
      </w:r>
      <w:r>
        <w:rPr>
          <w:rFonts w:ascii="Times New Roman" w:eastAsia="Times New Roman" w:hAnsi="Times New Roman" w:cs="Times New Roman"/>
          <w:i/>
          <w:sz w:val="24"/>
          <w:szCs w:val="24"/>
        </w:rPr>
        <w:t>Quarterly Journal of Speech</w:t>
      </w:r>
      <w:r>
        <w:rPr>
          <w:rFonts w:ascii="Times New Roman" w:eastAsia="Times New Roman" w:hAnsi="Times New Roman" w:cs="Times New Roman"/>
          <w:sz w:val="24"/>
          <w:szCs w:val="24"/>
        </w:rPr>
        <w:t>, vol. 26, no. 1, 2010, pp. 69–88.</w:t>
      </w:r>
    </w:p>
    <w:p w14:paraId="2A278EA8"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Freeman, Elizabeth. </w:t>
      </w:r>
      <w:r>
        <w:rPr>
          <w:rFonts w:ascii="Times New Roman" w:eastAsia="Times New Roman" w:hAnsi="Times New Roman" w:cs="Times New Roman"/>
          <w:i/>
          <w:sz w:val="24"/>
          <w:szCs w:val="24"/>
        </w:rPr>
        <w:t>Time Binds: Queer Temporalities, Queer Histories</w:t>
      </w:r>
      <w:r>
        <w:rPr>
          <w:rFonts w:ascii="Times New Roman" w:eastAsia="Times New Roman" w:hAnsi="Times New Roman" w:cs="Times New Roman"/>
          <w:sz w:val="24"/>
          <w:szCs w:val="24"/>
        </w:rPr>
        <w:t>. Duke UP, 2010.</w:t>
      </w:r>
    </w:p>
    <w:p w14:paraId="2A278EA9"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Gallop, Jane. </w:t>
      </w:r>
      <w:r>
        <w:rPr>
          <w:rFonts w:ascii="Times New Roman" w:eastAsia="Times New Roman" w:hAnsi="Times New Roman" w:cs="Times New Roman"/>
          <w:i/>
          <w:sz w:val="24"/>
          <w:szCs w:val="24"/>
        </w:rPr>
        <w:t>Sexuality, Disability, and Aging: Queer Temporalities of the Phallus</w:t>
      </w:r>
      <w:r>
        <w:rPr>
          <w:rFonts w:ascii="Times New Roman" w:eastAsia="Times New Roman" w:hAnsi="Times New Roman" w:cs="Times New Roman"/>
          <w:sz w:val="24"/>
          <w:szCs w:val="24"/>
        </w:rPr>
        <w:t>. Duke UP, 2019.</w:t>
      </w:r>
    </w:p>
    <w:p w14:paraId="2A278EAA"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Hahner</w:t>
      </w:r>
      <w:proofErr w:type="spellEnd"/>
      <w:r>
        <w:rPr>
          <w:rFonts w:ascii="Times New Roman" w:eastAsia="Times New Roman" w:hAnsi="Times New Roman" w:cs="Times New Roman"/>
          <w:sz w:val="24"/>
          <w:szCs w:val="24"/>
        </w:rPr>
        <w:t xml:space="preserve">, Leslie A. “Working Girls and the Temporality of Efficiency.” </w:t>
      </w:r>
      <w:r>
        <w:rPr>
          <w:rFonts w:ascii="Times New Roman" w:eastAsia="Times New Roman" w:hAnsi="Times New Roman" w:cs="Times New Roman"/>
          <w:i/>
          <w:sz w:val="24"/>
          <w:szCs w:val="24"/>
        </w:rPr>
        <w:t>Quarterly Journal of Speech</w:t>
      </w:r>
      <w:r>
        <w:rPr>
          <w:rFonts w:ascii="Times New Roman" w:eastAsia="Times New Roman" w:hAnsi="Times New Roman" w:cs="Times New Roman"/>
          <w:sz w:val="24"/>
          <w:szCs w:val="24"/>
        </w:rPr>
        <w:t>, vol. 95, no. 3, 2009, pp. 289–310.</w:t>
      </w:r>
    </w:p>
    <w:p w14:paraId="2A278EAB" w14:textId="553FC2C0"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Hesford</w:t>
      </w:r>
      <w:proofErr w:type="spellEnd"/>
      <w:r>
        <w:rPr>
          <w:rFonts w:ascii="Times New Roman" w:eastAsia="Times New Roman" w:hAnsi="Times New Roman" w:cs="Times New Roman"/>
          <w:sz w:val="24"/>
          <w:szCs w:val="24"/>
        </w:rPr>
        <w:t xml:space="preserve">, Wendy S. “Kairos and the Geopolitical Rhetorics of Global Sex Work and Video.” </w:t>
      </w:r>
      <w:r>
        <w:rPr>
          <w:rFonts w:ascii="Times New Roman" w:eastAsia="Times New Roman" w:hAnsi="Times New Roman" w:cs="Times New Roman"/>
          <w:i/>
          <w:sz w:val="24"/>
          <w:szCs w:val="24"/>
        </w:rPr>
        <w:t xml:space="preserve">Just </w:t>
      </w:r>
      <w:proofErr w:type="gramStart"/>
      <w:r>
        <w:rPr>
          <w:rFonts w:ascii="Times New Roman" w:eastAsia="Times New Roman" w:hAnsi="Times New Roman" w:cs="Times New Roman"/>
          <w:i/>
          <w:sz w:val="24"/>
          <w:szCs w:val="24"/>
        </w:rPr>
        <w:t>Advocacy?:</w:t>
      </w:r>
      <w:proofErr w:type="gramEnd"/>
      <w:r>
        <w:rPr>
          <w:rFonts w:ascii="Times New Roman" w:eastAsia="Times New Roman" w:hAnsi="Times New Roman" w:cs="Times New Roman"/>
          <w:i/>
          <w:sz w:val="24"/>
          <w:szCs w:val="24"/>
        </w:rPr>
        <w:t xml:space="preserve"> Women’s Human Rights, Transnational Feminisms, and the Politics of </w:t>
      </w:r>
      <w:r>
        <w:rPr>
          <w:rFonts w:ascii="Times New Roman" w:eastAsia="Times New Roman" w:hAnsi="Times New Roman" w:cs="Times New Roman"/>
          <w:i/>
          <w:sz w:val="24"/>
          <w:szCs w:val="24"/>
        </w:rPr>
        <w:lastRenderedPageBreak/>
        <w:t>Representation</w:t>
      </w:r>
      <w:r>
        <w:rPr>
          <w:rFonts w:ascii="Times New Roman" w:eastAsia="Times New Roman" w:hAnsi="Times New Roman" w:cs="Times New Roman"/>
          <w:sz w:val="24"/>
          <w:szCs w:val="24"/>
        </w:rPr>
        <w:t xml:space="preserve">. Ed. Wendy S. </w:t>
      </w:r>
      <w:proofErr w:type="spellStart"/>
      <w:r>
        <w:rPr>
          <w:rFonts w:ascii="Times New Roman" w:eastAsia="Times New Roman" w:hAnsi="Times New Roman" w:cs="Times New Roman"/>
          <w:sz w:val="24"/>
          <w:szCs w:val="24"/>
        </w:rPr>
        <w:t>Hesford</w:t>
      </w:r>
      <w:proofErr w:type="spellEnd"/>
      <w:r>
        <w:rPr>
          <w:rFonts w:ascii="Times New Roman" w:eastAsia="Times New Roman" w:hAnsi="Times New Roman" w:cs="Times New Roman"/>
          <w:sz w:val="24"/>
          <w:szCs w:val="24"/>
        </w:rPr>
        <w:t xml:space="preserve"> and Wendy Kozol, Rutgers University Press, 2005</w:t>
      </w:r>
      <w:r w:rsidR="007B4A75">
        <w:rPr>
          <w:rFonts w:ascii="Times New Roman" w:eastAsia="Times New Roman" w:hAnsi="Times New Roman" w:cs="Times New Roman"/>
          <w:sz w:val="24"/>
          <w:szCs w:val="24"/>
        </w:rPr>
        <w:t>, pp. 146–72.</w:t>
      </w:r>
    </w:p>
    <w:p w14:paraId="2A278EAC" w14:textId="77777777" w:rsidR="00AA3A92" w:rsidRDefault="00442EE4" w:rsidP="001F2881">
      <w:pPr>
        <w:spacing w:line="480" w:lineRule="auto"/>
        <w:ind w:left="426" w:hanging="426"/>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Houdek</w:t>
      </w:r>
      <w:proofErr w:type="spellEnd"/>
      <w:r>
        <w:rPr>
          <w:rFonts w:ascii="Times New Roman" w:eastAsia="Times New Roman" w:hAnsi="Times New Roman" w:cs="Times New Roman"/>
          <w:sz w:val="24"/>
          <w:szCs w:val="24"/>
        </w:rPr>
        <w:t xml:space="preserve">, Matthew and Kendall R. Phillips. “Rhetoric and the Temporal Turn: Race, Gender, Temporalities.” Introduction to a special issue of </w:t>
      </w:r>
      <w:r>
        <w:rPr>
          <w:rFonts w:ascii="Times New Roman" w:eastAsia="Times New Roman" w:hAnsi="Times New Roman" w:cs="Times New Roman"/>
          <w:i/>
          <w:sz w:val="24"/>
          <w:szCs w:val="24"/>
        </w:rPr>
        <w:t>Women’s Studies in Communication</w:t>
      </w:r>
      <w:r>
        <w:rPr>
          <w:rFonts w:ascii="Times New Roman" w:eastAsia="Times New Roman" w:hAnsi="Times New Roman" w:cs="Times New Roman"/>
          <w:sz w:val="24"/>
          <w:szCs w:val="24"/>
        </w:rPr>
        <w:t xml:space="preserve">, vol. 43, no. 4, 2020, pp. 369–383. </w:t>
      </w:r>
    </w:p>
    <w:p w14:paraId="2A278EAD" w14:textId="77777777" w:rsidR="00AA3A92" w:rsidRDefault="00442EE4" w:rsidP="001F2881">
      <w:pPr>
        <w:spacing w:line="480" w:lineRule="auto"/>
        <w:ind w:left="426"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Jarratt, Susan C. </w:t>
      </w:r>
      <w:r>
        <w:rPr>
          <w:rFonts w:ascii="Times New Roman" w:eastAsia="Times New Roman" w:hAnsi="Times New Roman" w:cs="Times New Roman"/>
          <w:i/>
          <w:sz w:val="24"/>
          <w:szCs w:val="24"/>
        </w:rPr>
        <w:t>Rereading the Sophists: Classical Rhetoric Refigured</w:t>
      </w:r>
      <w:r>
        <w:rPr>
          <w:rFonts w:ascii="Times New Roman" w:eastAsia="Times New Roman" w:hAnsi="Times New Roman" w:cs="Times New Roman"/>
          <w:sz w:val="24"/>
          <w:szCs w:val="24"/>
        </w:rPr>
        <w:t>. Southern Illinois UP, 1998.</w:t>
      </w:r>
    </w:p>
    <w:p w14:paraId="2A278EAE" w14:textId="77777777" w:rsidR="00AA3A92" w:rsidRDefault="00442EE4" w:rsidP="001F2881">
      <w:pPr>
        <w:spacing w:line="480" w:lineRule="auto"/>
        <w:ind w:left="426" w:hanging="426"/>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Kendi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Ibram</w:t>
      </w:r>
      <w:proofErr w:type="spellEnd"/>
      <w:r>
        <w:rPr>
          <w:rFonts w:ascii="Times New Roman" w:eastAsia="Times New Roman" w:hAnsi="Times New Roman" w:cs="Times New Roman"/>
          <w:sz w:val="24"/>
          <w:szCs w:val="24"/>
        </w:rPr>
        <w:t xml:space="preserve"> X. “Stop Blaming Black People for Dying of the Coronavirus.” </w:t>
      </w:r>
      <w:r>
        <w:rPr>
          <w:rFonts w:ascii="Times New Roman" w:eastAsia="Times New Roman" w:hAnsi="Times New Roman" w:cs="Times New Roman"/>
          <w:i/>
          <w:sz w:val="24"/>
          <w:szCs w:val="24"/>
        </w:rPr>
        <w:t>The Atlantic</w:t>
      </w:r>
      <w:r>
        <w:rPr>
          <w:rFonts w:ascii="Times New Roman" w:eastAsia="Times New Roman" w:hAnsi="Times New Roman" w:cs="Times New Roman"/>
          <w:sz w:val="24"/>
          <w:szCs w:val="24"/>
        </w:rPr>
        <w:t xml:space="preserve">, 14 April 2020, </w:t>
      </w:r>
      <w:hyperlink r:id="rId11">
        <w:r>
          <w:rPr>
            <w:rFonts w:ascii="Times New Roman" w:eastAsia="Times New Roman" w:hAnsi="Times New Roman" w:cs="Times New Roman"/>
            <w:sz w:val="24"/>
            <w:szCs w:val="24"/>
            <w:u w:val="single"/>
          </w:rPr>
          <w:t>https://www.theatlantic.com/ideas/archive/2020/04/race-and-blame/609946/</w:t>
        </w:r>
      </w:hyperlink>
      <w:r>
        <w:rPr>
          <w:rFonts w:ascii="Times New Roman" w:eastAsia="Times New Roman" w:hAnsi="Times New Roman" w:cs="Times New Roman"/>
          <w:sz w:val="24"/>
          <w:szCs w:val="24"/>
        </w:rPr>
        <w:t xml:space="preserve">. Accessed 13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2020. </w:t>
      </w:r>
    </w:p>
    <w:p w14:paraId="2A278EAF" w14:textId="67EE92F6"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Kinneavy</w:t>
      </w:r>
      <w:proofErr w:type="spellEnd"/>
      <w:r>
        <w:rPr>
          <w:rFonts w:ascii="Times New Roman" w:eastAsia="Times New Roman" w:hAnsi="Times New Roman" w:cs="Times New Roman"/>
          <w:sz w:val="24"/>
          <w:szCs w:val="24"/>
        </w:rPr>
        <w:t xml:space="preserve">, James L. “Kairos: A Neglected Concept in Classical Rhetoric.” </w:t>
      </w:r>
      <w:r>
        <w:rPr>
          <w:rFonts w:ascii="Times New Roman" w:eastAsia="Times New Roman" w:hAnsi="Times New Roman" w:cs="Times New Roman"/>
          <w:i/>
          <w:sz w:val="24"/>
          <w:szCs w:val="24"/>
        </w:rPr>
        <w:t>Rhetoric and Praxis: The Contribution of Classical Rhetoric to Practical Reasoning</w:t>
      </w:r>
      <w:r>
        <w:rPr>
          <w:rFonts w:ascii="Times New Roman" w:eastAsia="Times New Roman" w:hAnsi="Times New Roman" w:cs="Times New Roman"/>
          <w:sz w:val="24"/>
          <w:szCs w:val="24"/>
        </w:rPr>
        <w:t>. Ed. Jean Dietz Moss, Catholic University of America Press, 1986</w:t>
      </w:r>
      <w:r w:rsidR="0082039D">
        <w:rPr>
          <w:rFonts w:ascii="Times New Roman" w:eastAsia="Times New Roman" w:hAnsi="Times New Roman" w:cs="Times New Roman"/>
          <w:sz w:val="24"/>
          <w:szCs w:val="24"/>
        </w:rPr>
        <w:t>,</w:t>
      </w:r>
      <w:r w:rsidR="0082039D" w:rsidRPr="0082039D">
        <w:rPr>
          <w:rFonts w:ascii="Times New Roman" w:eastAsia="Times New Roman" w:hAnsi="Times New Roman" w:cs="Times New Roman"/>
          <w:sz w:val="24"/>
          <w:szCs w:val="24"/>
        </w:rPr>
        <w:t xml:space="preserve"> </w:t>
      </w:r>
      <w:r w:rsidR="0082039D">
        <w:rPr>
          <w:rFonts w:ascii="Times New Roman" w:eastAsia="Times New Roman" w:hAnsi="Times New Roman" w:cs="Times New Roman"/>
          <w:sz w:val="24"/>
          <w:szCs w:val="24"/>
        </w:rPr>
        <w:t>pp. 99–103.</w:t>
      </w:r>
    </w:p>
    <w:p w14:paraId="2A278EB0"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sidRPr="007E3759">
        <w:rPr>
          <w:rFonts w:ascii="Times New Roman" w:eastAsia="Times New Roman" w:hAnsi="Times New Roman" w:cs="Times New Roman"/>
          <w:sz w:val="24"/>
          <w:szCs w:val="24"/>
          <w:lang w:val="en-US"/>
        </w:rPr>
        <w:t>Knappe</w:t>
      </w:r>
      <w:proofErr w:type="spellEnd"/>
      <w:r w:rsidRPr="007E3759">
        <w:rPr>
          <w:rFonts w:ascii="Times New Roman" w:eastAsia="Times New Roman" w:hAnsi="Times New Roman" w:cs="Times New Roman"/>
          <w:sz w:val="24"/>
          <w:szCs w:val="24"/>
          <w:lang w:val="en-US"/>
        </w:rPr>
        <w:t xml:space="preserve">, </w:t>
      </w:r>
      <w:proofErr w:type="spellStart"/>
      <w:r w:rsidRPr="007E3759">
        <w:rPr>
          <w:rFonts w:ascii="Times New Roman" w:eastAsia="Times New Roman" w:hAnsi="Times New Roman" w:cs="Times New Roman"/>
          <w:sz w:val="24"/>
          <w:szCs w:val="24"/>
          <w:lang w:val="en-US"/>
        </w:rPr>
        <w:t>Henrike</w:t>
      </w:r>
      <w:proofErr w:type="spellEnd"/>
      <w:r w:rsidRPr="007E3759">
        <w:rPr>
          <w:rFonts w:ascii="Times New Roman" w:eastAsia="Times New Roman" w:hAnsi="Times New Roman" w:cs="Times New Roman"/>
          <w:sz w:val="24"/>
          <w:szCs w:val="24"/>
          <w:lang w:val="en-US"/>
        </w:rPr>
        <w:t xml:space="preserve">, Anne-Katrin Holfelder, David </w:t>
      </w:r>
      <w:proofErr w:type="spellStart"/>
      <w:r w:rsidRPr="007E3759">
        <w:rPr>
          <w:rFonts w:ascii="Times New Roman" w:eastAsia="Times New Roman" w:hAnsi="Times New Roman" w:cs="Times New Roman"/>
          <w:sz w:val="24"/>
          <w:szCs w:val="24"/>
          <w:lang w:val="en-US"/>
        </w:rPr>
        <w:t>Löw</w:t>
      </w:r>
      <w:proofErr w:type="spellEnd"/>
      <w:r w:rsidRPr="007E3759">
        <w:rPr>
          <w:rFonts w:ascii="Times New Roman" w:eastAsia="Times New Roman" w:hAnsi="Times New Roman" w:cs="Times New Roman"/>
          <w:sz w:val="24"/>
          <w:szCs w:val="24"/>
          <w:lang w:val="en-US"/>
        </w:rPr>
        <w:t xml:space="preserve"> Beer, and Patricia </w:t>
      </w:r>
      <w:proofErr w:type="spellStart"/>
      <w:r w:rsidRPr="007E3759">
        <w:rPr>
          <w:rFonts w:ascii="Times New Roman" w:eastAsia="Times New Roman" w:hAnsi="Times New Roman" w:cs="Times New Roman"/>
          <w:sz w:val="24"/>
          <w:szCs w:val="24"/>
          <w:lang w:val="en-US"/>
        </w:rPr>
        <w:t>Nanz</w:t>
      </w:r>
      <w:proofErr w:type="spellEnd"/>
      <w:r w:rsidRPr="007E375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“The Politics of Making and Unmaking (Sustainable) Futures: Introduction to the Special Feature.” </w:t>
      </w:r>
      <w:r>
        <w:rPr>
          <w:rFonts w:ascii="Times New Roman" w:eastAsia="Times New Roman" w:hAnsi="Times New Roman" w:cs="Times New Roman"/>
          <w:i/>
          <w:sz w:val="24"/>
          <w:szCs w:val="24"/>
        </w:rPr>
        <w:t>Sustainability Science</w:t>
      </w:r>
      <w:r>
        <w:rPr>
          <w:rFonts w:ascii="Times New Roman" w:eastAsia="Times New Roman" w:hAnsi="Times New Roman" w:cs="Times New Roman"/>
          <w:sz w:val="24"/>
          <w:szCs w:val="24"/>
        </w:rPr>
        <w:t>, vol. 14, no. 4, 2019, pp. 891–898.</w:t>
      </w:r>
    </w:p>
    <w:p w14:paraId="2A278EB1"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Lee, Kurtis. “No running </w:t>
      </w:r>
      <w:proofErr w:type="gramStart"/>
      <w:r>
        <w:rPr>
          <w:rFonts w:ascii="Times New Roman" w:eastAsia="Times New Roman" w:hAnsi="Times New Roman" w:cs="Times New Roman"/>
          <w:sz w:val="24"/>
          <w:szCs w:val="24"/>
        </w:rPr>
        <w:t>water</w:t>
      </w:r>
      <w:proofErr w:type="gramEnd"/>
      <w:r>
        <w:rPr>
          <w:rFonts w:ascii="Times New Roman" w:eastAsia="Times New Roman" w:hAnsi="Times New Roman" w:cs="Times New Roman"/>
          <w:sz w:val="24"/>
          <w:szCs w:val="24"/>
        </w:rPr>
        <w:t xml:space="preserve">. No electricity. On Navajo Nation, coronavirus creates worry and confusion as cases surge.” </w:t>
      </w:r>
      <w:r>
        <w:rPr>
          <w:rFonts w:ascii="Times New Roman" w:eastAsia="Times New Roman" w:hAnsi="Times New Roman" w:cs="Times New Roman"/>
          <w:i/>
          <w:sz w:val="24"/>
          <w:szCs w:val="24"/>
        </w:rPr>
        <w:t>Los Angeles Times</w:t>
      </w:r>
      <w:r>
        <w:rPr>
          <w:rFonts w:ascii="Times New Roman" w:eastAsia="Times New Roman" w:hAnsi="Times New Roman" w:cs="Times New Roman"/>
          <w:sz w:val="24"/>
          <w:szCs w:val="24"/>
        </w:rPr>
        <w:t xml:space="preserve">, 29 March 2020, </w:t>
      </w:r>
      <w:hyperlink r:id="rId12">
        <w:r>
          <w:rPr>
            <w:rFonts w:ascii="Times New Roman" w:eastAsia="Times New Roman" w:hAnsi="Times New Roman" w:cs="Times New Roman"/>
            <w:sz w:val="24"/>
            <w:szCs w:val="24"/>
            <w:u w:val="single"/>
          </w:rPr>
          <w:t>https://www.latimes.com/world-nation/story/2020-03-29/no-running-water-no-electricity-in-navajo-nation-coronavirus-creates-worry-and-confusion-as-cases-surge</w:t>
        </w:r>
      </w:hyperlink>
      <w:r>
        <w:rPr>
          <w:rFonts w:ascii="Times New Roman" w:eastAsia="Times New Roman" w:hAnsi="Times New Roman" w:cs="Times New Roman"/>
          <w:sz w:val="24"/>
          <w:szCs w:val="24"/>
        </w:rPr>
        <w:t xml:space="preserve">. Accessed 13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2020. </w:t>
      </w:r>
    </w:p>
    <w:p w14:paraId="2A278EB2"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Mao, </w:t>
      </w:r>
      <w:proofErr w:type="spellStart"/>
      <w:r>
        <w:rPr>
          <w:rFonts w:ascii="Times New Roman" w:eastAsia="Times New Roman" w:hAnsi="Times New Roman" w:cs="Times New Roman"/>
          <w:sz w:val="24"/>
          <w:szCs w:val="24"/>
        </w:rPr>
        <w:t>LuMing</w:t>
      </w:r>
      <w:proofErr w:type="spellEnd"/>
      <w:r>
        <w:rPr>
          <w:rFonts w:ascii="Times New Roman" w:eastAsia="Times New Roman" w:hAnsi="Times New Roman" w:cs="Times New Roman"/>
          <w:sz w:val="24"/>
          <w:szCs w:val="24"/>
        </w:rPr>
        <w:t xml:space="preserve">. “In the Present and Importantly Present: Enacting a Temporal Turn for Asian American Rhetoric.” </w:t>
      </w:r>
      <w:r>
        <w:rPr>
          <w:rFonts w:ascii="Times New Roman" w:eastAsia="Times New Roman" w:hAnsi="Times New Roman" w:cs="Times New Roman"/>
          <w:i/>
          <w:sz w:val="24"/>
          <w:szCs w:val="24"/>
        </w:rPr>
        <w:t>enculturation: A Journal of Rhetoric, Writing, and Culture</w:t>
      </w:r>
      <w:r>
        <w:rPr>
          <w:rFonts w:ascii="Times New Roman" w:eastAsia="Times New Roman" w:hAnsi="Times New Roman" w:cs="Times New Roman"/>
          <w:sz w:val="24"/>
          <w:szCs w:val="24"/>
        </w:rPr>
        <w:t>, vol. 27, 2018, np.</w:t>
      </w:r>
    </w:p>
    <w:p w14:paraId="2A278EB3" w14:textId="609F4690"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“Writing the Other into Histories of Rhetorics: Theorizing the Art of Recontextualization.” </w:t>
      </w:r>
      <w:r>
        <w:rPr>
          <w:rFonts w:ascii="Times New Roman" w:eastAsia="Times New Roman" w:hAnsi="Times New Roman" w:cs="Times New Roman"/>
          <w:i/>
          <w:sz w:val="24"/>
          <w:szCs w:val="24"/>
        </w:rPr>
        <w:t>Theorizing Histories of Rhetoric</w:t>
      </w:r>
      <w:r>
        <w:rPr>
          <w:rFonts w:ascii="Times New Roman" w:eastAsia="Times New Roman" w:hAnsi="Times New Roman" w:cs="Times New Roman"/>
          <w:sz w:val="24"/>
          <w:szCs w:val="24"/>
        </w:rPr>
        <w:t xml:space="preserve">. Ed. Michelle </w:t>
      </w:r>
      <w:proofErr w:type="spellStart"/>
      <w:r>
        <w:rPr>
          <w:rFonts w:ascii="Times New Roman" w:eastAsia="Times New Roman" w:hAnsi="Times New Roman" w:cs="Times New Roman"/>
          <w:sz w:val="24"/>
          <w:szCs w:val="24"/>
        </w:rPr>
        <w:t>Ballif</w:t>
      </w:r>
      <w:proofErr w:type="spellEnd"/>
      <w:r>
        <w:rPr>
          <w:rFonts w:ascii="Times New Roman" w:eastAsia="Times New Roman" w:hAnsi="Times New Roman" w:cs="Times New Roman"/>
          <w:sz w:val="24"/>
          <w:szCs w:val="24"/>
        </w:rPr>
        <w:t>, Southern Illinois UP, 2013</w:t>
      </w:r>
      <w:r w:rsidR="009622D3">
        <w:rPr>
          <w:rFonts w:ascii="Times New Roman" w:eastAsia="Times New Roman" w:hAnsi="Times New Roman" w:cs="Times New Roman"/>
          <w:sz w:val="24"/>
          <w:szCs w:val="24"/>
        </w:rPr>
        <w:t>,</w:t>
      </w:r>
      <w:r w:rsidR="009622D3" w:rsidRPr="009622D3">
        <w:rPr>
          <w:rFonts w:ascii="Times New Roman" w:eastAsia="Times New Roman" w:hAnsi="Times New Roman" w:cs="Times New Roman"/>
          <w:sz w:val="24"/>
          <w:szCs w:val="24"/>
        </w:rPr>
        <w:t xml:space="preserve"> </w:t>
      </w:r>
      <w:r w:rsidR="009622D3">
        <w:rPr>
          <w:rFonts w:ascii="Times New Roman" w:eastAsia="Times New Roman" w:hAnsi="Times New Roman" w:cs="Times New Roman"/>
          <w:sz w:val="24"/>
          <w:szCs w:val="24"/>
        </w:rPr>
        <w:t>pp. 41–57.</w:t>
      </w:r>
    </w:p>
    <w:p w14:paraId="2A278EB4"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McBean</w:t>
      </w:r>
      <w:proofErr w:type="spellEnd"/>
      <w:r>
        <w:rPr>
          <w:rFonts w:ascii="Times New Roman" w:eastAsia="Times New Roman" w:hAnsi="Times New Roman" w:cs="Times New Roman"/>
          <w:sz w:val="24"/>
          <w:szCs w:val="24"/>
        </w:rPr>
        <w:t xml:space="preserve">, Sam. </w:t>
      </w:r>
      <w:r>
        <w:rPr>
          <w:rFonts w:ascii="Times New Roman" w:eastAsia="Times New Roman" w:hAnsi="Times New Roman" w:cs="Times New Roman"/>
          <w:i/>
          <w:sz w:val="24"/>
          <w:szCs w:val="24"/>
        </w:rPr>
        <w:t>Feminism’s Queer Temporalities</w:t>
      </w:r>
      <w:r>
        <w:rPr>
          <w:rFonts w:ascii="Times New Roman" w:eastAsia="Times New Roman" w:hAnsi="Times New Roman" w:cs="Times New Roman"/>
          <w:sz w:val="24"/>
          <w:szCs w:val="24"/>
        </w:rPr>
        <w:t>. Routledge, 2015.</w:t>
      </w:r>
    </w:p>
    <w:p w14:paraId="2A278EB5" w14:textId="77777777" w:rsidR="00AA3A92" w:rsidRDefault="00442EE4" w:rsidP="001F2881">
      <w:pPr>
        <w:spacing w:line="480" w:lineRule="auto"/>
        <w:ind w:left="426" w:hanging="426"/>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McElya</w:t>
      </w:r>
      <w:proofErr w:type="spellEnd"/>
      <w:r>
        <w:rPr>
          <w:rFonts w:ascii="Times New Roman" w:eastAsia="Times New Roman" w:hAnsi="Times New Roman" w:cs="Times New Roman"/>
          <w:sz w:val="24"/>
          <w:szCs w:val="24"/>
        </w:rPr>
        <w:t xml:space="preserve">, Micki. “Almost 90,000 dead and no hint of national mourning. Are these deaths not ‘ours’?” </w:t>
      </w:r>
      <w:r>
        <w:rPr>
          <w:rFonts w:ascii="Times New Roman" w:eastAsia="Times New Roman" w:hAnsi="Times New Roman" w:cs="Times New Roman"/>
          <w:i/>
          <w:sz w:val="24"/>
          <w:szCs w:val="24"/>
        </w:rPr>
        <w:t>Washington Post</w:t>
      </w:r>
      <w:r>
        <w:rPr>
          <w:rFonts w:ascii="Times New Roman" w:eastAsia="Times New Roman" w:hAnsi="Times New Roman" w:cs="Times New Roman"/>
          <w:sz w:val="24"/>
          <w:szCs w:val="24"/>
        </w:rPr>
        <w:t xml:space="preserve">, 16 May, 2020, </w:t>
      </w:r>
      <w:hyperlink r:id="rId13">
        <w:r>
          <w:rPr>
            <w:rFonts w:ascii="Times New Roman" w:eastAsia="Times New Roman" w:hAnsi="Times New Roman" w:cs="Times New Roman"/>
            <w:sz w:val="24"/>
            <w:szCs w:val="24"/>
            <w:u w:val="single"/>
          </w:rPr>
          <w:t>https://www.washingtonpost.com/outlook/national-mourning-coronavirus/2020/05/15/b47fc670-9577-11ea-82b4-c8db161ff6e5_story.html</w:t>
        </w:r>
      </w:hyperlink>
      <w:r>
        <w:rPr>
          <w:rFonts w:ascii="Times New Roman" w:eastAsia="Times New Roman" w:hAnsi="Times New Roman" w:cs="Times New Roman"/>
          <w:sz w:val="24"/>
          <w:szCs w:val="24"/>
        </w:rPr>
        <w:t xml:space="preserve">. Accessed 13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2020.</w:t>
      </w:r>
    </w:p>
    <w:p w14:paraId="2A278EB6" w14:textId="37379686"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Miller, Carolyn R. “Kairos in the Rhetoric of Science.” </w:t>
      </w:r>
      <w:r>
        <w:rPr>
          <w:rFonts w:ascii="Times New Roman" w:eastAsia="Times New Roman" w:hAnsi="Times New Roman" w:cs="Times New Roman"/>
          <w:i/>
          <w:sz w:val="24"/>
          <w:szCs w:val="24"/>
        </w:rPr>
        <w:t xml:space="preserve">A Rhetoric of Doing: Essays on Written Discourse in Honor of James L. </w:t>
      </w:r>
      <w:proofErr w:type="spellStart"/>
      <w:r>
        <w:rPr>
          <w:rFonts w:ascii="Times New Roman" w:eastAsia="Times New Roman" w:hAnsi="Times New Roman" w:cs="Times New Roman"/>
          <w:i/>
          <w:sz w:val="24"/>
          <w:szCs w:val="24"/>
        </w:rPr>
        <w:t>Kinneavy</w:t>
      </w:r>
      <w:proofErr w:type="spellEnd"/>
      <w:r>
        <w:rPr>
          <w:rFonts w:ascii="Times New Roman" w:eastAsia="Times New Roman" w:hAnsi="Times New Roman" w:cs="Times New Roman"/>
          <w:sz w:val="24"/>
          <w:szCs w:val="24"/>
        </w:rPr>
        <w:t xml:space="preserve">. Eds. James L. </w:t>
      </w:r>
      <w:proofErr w:type="spellStart"/>
      <w:r>
        <w:rPr>
          <w:rFonts w:ascii="Times New Roman" w:eastAsia="Times New Roman" w:hAnsi="Times New Roman" w:cs="Times New Roman"/>
          <w:sz w:val="24"/>
          <w:szCs w:val="24"/>
        </w:rPr>
        <w:t>Kinneavy</w:t>
      </w:r>
      <w:proofErr w:type="spellEnd"/>
      <w:r>
        <w:rPr>
          <w:rFonts w:ascii="Times New Roman" w:eastAsia="Times New Roman" w:hAnsi="Times New Roman" w:cs="Times New Roman"/>
          <w:sz w:val="24"/>
          <w:szCs w:val="24"/>
        </w:rPr>
        <w:t xml:space="preserve">, Stephen Paul Witte, Neil </w:t>
      </w:r>
      <w:proofErr w:type="spellStart"/>
      <w:r>
        <w:rPr>
          <w:rFonts w:ascii="Times New Roman" w:eastAsia="Times New Roman" w:hAnsi="Times New Roman" w:cs="Times New Roman"/>
          <w:sz w:val="24"/>
          <w:szCs w:val="24"/>
        </w:rPr>
        <w:t>Nakadate</w:t>
      </w:r>
      <w:proofErr w:type="spellEnd"/>
      <w:r>
        <w:rPr>
          <w:rFonts w:ascii="Times New Roman" w:eastAsia="Times New Roman" w:hAnsi="Times New Roman" w:cs="Times New Roman"/>
          <w:sz w:val="24"/>
          <w:szCs w:val="24"/>
        </w:rPr>
        <w:t>, and Roger Dennis Cherry, Southern Illinois UP, 1992</w:t>
      </w:r>
      <w:r w:rsidR="00C21609">
        <w:rPr>
          <w:rFonts w:ascii="Times New Roman" w:eastAsia="Times New Roman" w:hAnsi="Times New Roman" w:cs="Times New Roman"/>
          <w:sz w:val="24"/>
          <w:szCs w:val="24"/>
        </w:rPr>
        <w:t>,</w:t>
      </w:r>
      <w:r w:rsidR="00C21609" w:rsidRPr="00C21609">
        <w:rPr>
          <w:rFonts w:ascii="Times New Roman" w:eastAsia="Times New Roman" w:hAnsi="Times New Roman" w:cs="Times New Roman"/>
          <w:sz w:val="24"/>
          <w:szCs w:val="24"/>
        </w:rPr>
        <w:t xml:space="preserve"> </w:t>
      </w:r>
      <w:r w:rsidR="00C21609">
        <w:rPr>
          <w:rFonts w:ascii="Times New Roman" w:eastAsia="Times New Roman" w:hAnsi="Times New Roman" w:cs="Times New Roman"/>
          <w:sz w:val="24"/>
          <w:szCs w:val="24"/>
        </w:rPr>
        <w:t>pp. 310–27.</w:t>
      </w:r>
    </w:p>
    <w:p w14:paraId="2A278EB7"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Ng, Eileen. “A tale of two Covid-19 outbreaks, Singapore tackles a costly setback.” </w:t>
      </w:r>
      <w:r>
        <w:rPr>
          <w:rFonts w:ascii="Times New Roman" w:eastAsia="Times New Roman" w:hAnsi="Times New Roman" w:cs="Times New Roman"/>
          <w:i/>
          <w:sz w:val="24"/>
          <w:szCs w:val="24"/>
        </w:rPr>
        <w:t>Stuff</w:t>
      </w:r>
      <w:r>
        <w:rPr>
          <w:rFonts w:ascii="Times New Roman" w:eastAsia="Times New Roman" w:hAnsi="Times New Roman" w:cs="Times New Roman"/>
          <w:sz w:val="24"/>
          <w:szCs w:val="24"/>
        </w:rPr>
        <w:t xml:space="preserve">, 11 May 2020, </w:t>
      </w:r>
      <w:hyperlink r:id="rId14">
        <w:r>
          <w:rPr>
            <w:rFonts w:ascii="Times New Roman" w:eastAsia="Times New Roman" w:hAnsi="Times New Roman" w:cs="Times New Roman"/>
            <w:sz w:val="24"/>
            <w:szCs w:val="24"/>
            <w:u w:val="single"/>
          </w:rPr>
          <w:t>https://www.stuff.co.nz/national/health/coronavirus/300009991/a-tale-of-two-covid19-outbreaks-singapore-tackles-a-costly-setback</w:t>
        </w:r>
      </w:hyperlink>
      <w:r>
        <w:rPr>
          <w:rFonts w:ascii="Times New Roman" w:eastAsia="Times New Roman" w:hAnsi="Times New Roman" w:cs="Times New Roman"/>
          <w:sz w:val="24"/>
          <w:szCs w:val="24"/>
        </w:rPr>
        <w:t xml:space="preserve">. Accessed 13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2020.</w:t>
      </w:r>
    </w:p>
    <w:p w14:paraId="2A278EB8"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Ore, Ersula and Matthew </w:t>
      </w:r>
      <w:proofErr w:type="spellStart"/>
      <w:r>
        <w:rPr>
          <w:rFonts w:ascii="Times New Roman" w:eastAsia="Times New Roman" w:hAnsi="Times New Roman" w:cs="Times New Roman"/>
          <w:sz w:val="24"/>
          <w:szCs w:val="24"/>
        </w:rPr>
        <w:t>Houdek</w:t>
      </w:r>
      <w:proofErr w:type="spellEnd"/>
      <w:r>
        <w:rPr>
          <w:rFonts w:ascii="Times New Roman" w:eastAsia="Times New Roman" w:hAnsi="Times New Roman" w:cs="Times New Roman"/>
          <w:sz w:val="24"/>
          <w:szCs w:val="24"/>
        </w:rPr>
        <w:t xml:space="preserve">. “Lynching in Times of Suffocation: Toward a Spatiotemporal Politics of Breathing.” </w:t>
      </w:r>
      <w:r>
        <w:rPr>
          <w:rFonts w:ascii="Times New Roman" w:eastAsia="Times New Roman" w:hAnsi="Times New Roman" w:cs="Times New Roman"/>
          <w:i/>
          <w:sz w:val="24"/>
          <w:szCs w:val="24"/>
        </w:rPr>
        <w:t>Women’s Studies in Communication</w:t>
      </w:r>
      <w:r>
        <w:rPr>
          <w:rFonts w:ascii="Times New Roman" w:eastAsia="Times New Roman" w:hAnsi="Times New Roman" w:cs="Times New Roman"/>
          <w:sz w:val="24"/>
          <w:szCs w:val="24"/>
        </w:rPr>
        <w:t xml:space="preserve">. vol. 43, no. 4, 2020, pp. 443–458. </w:t>
      </w:r>
    </w:p>
    <w:p w14:paraId="2A278EB9"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Rickert, Thomas. </w:t>
      </w:r>
      <w:r>
        <w:rPr>
          <w:rFonts w:ascii="Times New Roman" w:eastAsia="Times New Roman" w:hAnsi="Times New Roman" w:cs="Times New Roman"/>
          <w:i/>
          <w:sz w:val="24"/>
          <w:szCs w:val="24"/>
        </w:rPr>
        <w:t>Ambient Rhetoric: The Attunements of Rhetorical Being</w:t>
      </w:r>
      <w:r>
        <w:rPr>
          <w:rFonts w:ascii="Times New Roman" w:eastAsia="Times New Roman" w:hAnsi="Times New Roman" w:cs="Times New Roman"/>
          <w:sz w:val="24"/>
          <w:szCs w:val="24"/>
        </w:rPr>
        <w:t>. University of Pittsburgh Press, 2013.</w:t>
      </w:r>
    </w:p>
    <w:p w14:paraId="2A278EBA"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Rifkin, Mark. </w:t>
      </w:r>
      <w:r>
        <w:rPr>
          <w:rFonts w:ascii="Times New Roman" w:eastAsia="Times New Roman" w:hAnsi="Times New Roman" w:cs="Times New Roman"/>
          <w:i/>
          <w:sz w:val="24"/>
          <w:szCs w:val="24"/>
        </w:rPr>
        <w:t>Beyond Settler Time: Temporal Sovereignty and Indigenous Self-Determination</w:t>
      </w:r>
      <w:r>
        <w:rPr>
          <w:rFonts w:ascii="Times New Roman" w:eastAsia="Times New Roman" w:hAnsi="Times New Roman" w:cs="Times New Roman"/>
          <w:sz w:val="24"/>
          <w:szCs w:val="24"/>
        </w:rPr>
        <w:t>. Duke UP, 2017.</w:t>
      </w:r>
    </w:p>
    <w:p w14:paraId="2A278EBB"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Rohy</w:t>
      </w:r>
      <w:proofErr w:type="spellEnd"/>
      <w:r>
        <w:rPr>
          <w:rFonts w:ascii="Times New Roman" w:eastAsia="Times New Roman" w:hAnsi="Times New Roman" w:cs="Times New Roman"/>
          <w:sz w:val="24"/>
          <w:szCs w:val="24"/>
        </w:rPr>
        <w:t xml:space="preserve">, Valerie. </w:t>
      </w:r>
      <w:r>
        <w:rPr>
          <w:rFonts w:ascii="Times New Roman" w:eastAsia="Times New Roman" w:hAnsi="Times New Roman" w:cs="Times New Roman"/>
          <w:i/>
          <w:sz w:val="24"/>
          <w:szCs w:val="24"/>
        </w:rPr>
        <w:t>Anachronism and Its Others: Sexuality, Race, Temporality</w:t>
      </w:r>
      <w:r>
        <w:rPr>
          <w:rFonts w:ascii="Times New Roman" w:eastAsia="Times New Roman" w:hAnsi="Times New Roman" w:cs="Times New Roman"/>
          <w:sz w:val="24"/>
          <w:szCs w:val="24"/>
        </w:rPr>
        <w:t>. State University of New York Press, 2010.</w:t>
      </w:r>
    </w:p>
    <w:p w14:paraId="2A278EBC"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Rosa, Hartmut. </w:t>
      </w:r>
      <w:r>
        <w:rPr>
          <w:rFonts w:ascii="Times New Roman" w:eastAsia="Times New Roman" w:hAnsi="Times New Roman" w:cs="Times New Roman"/>
          <w:i/>
          <w:sz w:val="24"/>
          <w:szCs w:val="24"/>
        </w:rPr>
        <w:t>Alienation and Acceleration: Towards a Critical Theory of Late-Modern Temporality</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NSU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Summertalk</w:t>
      </w:r>
      <w:proofErr w:type="spellEnd"/>
      <w:r>
        <w:rPr>
          <w:rFonts w:ascii="Times New Roman" w:eastAsia="Times New Roman" w:hAnsi="Times New Roman" w:cs="Times New Roman"/>
          <w:sz w:val="24"/>
          <w:szCs w:val="24"/>
        </w:rPr>
        <w:t>. Nordic Summer University Press, 2010.</w:t>
      </w:r>
    </w:p>
    <w:p w14:paraId="2A278EBD"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Samuels, Ellen. “Six Ways of Looking at Crip Time.” </w:t>
      </w:r>
      <w:r>
        <w:rPr>
          <w:rFonts w:ascii="Times New Roman" w:eastAsia="Times New Roman" w:hAnsi="Times New Roman" w:cs="Times New Roman"/>
          <w:i/>
          <w:sz w:val="24"/>
          <w:szCs w:val="24"/>
        </w:rPr>
        <w:t>Disability Studies Quarterly</w:t>
      </w:r>
      <w:r>
        <w:rPr>
          <w:rFonts w:ascii="Times New Roman" w:eastAsia="Times New Roman" w:hAnsi="Times New Roman" w:cs="Times New Roman"/>
          <w:sz w:val="24"/>
          <w:szCs w:val="24"/>
        </w:rPr>
        <w:t xml:space="preserve">, vol. 37, no. 3, 2017, np. </w:t>
      </w:r>
    </w:p>
    <w:p w14:paraId="2A278EBE"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Sharma, Sarah. </w:t>
      </w:r>
      <w:r>
        <w:rPr>
          <w:rFonts w:ascii="Times New Roman" w:eastAsia="Times New Roman" w:hAnsi="Times New Roman" w:cs="Times New Roman"/>
          <w:i/>
          <w:sz w:val="24"/>
          <w:szCs w:val="24"/>
        </w:rPr>
        <w:t>In the Meantime: Temporality and Cultural Politics</w:t>
      </w:r>
      <w:r>
        <w:rPr>
          <w:rFonts w:ascii="Times New Roman" w:eastAsia="Times New Roman" w:hAnsi="Times New Roman" w:cs="Times New Roman"/>
          <w:sz w:val="24"/>
          <w:szCs w:val="24"/>
        </w:rPr>
        <w:t>. Duke UP, 2014.</w:t>
      </w:r>
    </w:p>
    <w:p w14:paraId="2A278EBF" w14:textId="77777777" w:rsidR="00AA3A92" w:rsidRDefault="00442EE4" w:rsidP="001F2881">
      <w:pPr>
        <w:spacing w:line="480" w:lineRule="auto"/>
        <w:ind w:left="426" w:hanging="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Sharpe, Christina. </w:t>
      </w:r>
      <w:r>
        <w:rPr>
          <w:rFonts w:ascii="Times New Roman" w:eastAsia="Times New Roman" w:hAnsi="Times New Roman" w:cs="Times New Roman"/>
          <w:i/>
          <w:sz w:val="24"/>
          <w:szCs w:val="24"/>
        </w:rPr>
        <w:t>In the Wake: On Blackness and Being</w:t>
      </w:r>
      <w:r>
        <w:rPr>
          <w:rFonts w:ascii="Times New Roman" w:eastAsia="Times New Roman" w:hAnsi="Times New Roman" w:cs="Times New Roman"/>
          <w:sz w:val="24"/>
          <w:szCs w:val="24"/>
        </w:rPr>
        <w:t xml:space="preserve">. Duke UP, 2016. </w:t>
      </w:r>
    </w:p>
    <w:p w14:paraId="2A278EC0" w14:textId="212482C7"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Sipiora</w:t>
      </w:r>
      <w:proofErr w:type="spellEnd"/>
      <w:r>
        <w:rPr>
          <w:rFonts w:ascii="Times New Roman" w:eastAsia="Times New Roman" w:hAnsi="Times New Roman" w:cs="Times New Roman"/>
          <w:sz w:val="24"/>
          <w:szCs w:val="24"/>
        </w:rPr>
        <w:t xml:space="preserve">, Phillip, and James S. </w:t>
      </w:r>
      <w:proofErr w:type="spellStart"/>
      <w:r>
        <w:rPr>
          <w:rFonts w:ascii="Times New Roman" w:eastAsia="Times New Roman" w:hAnsi="Times New Roman" w:cs="Times New Roman"/>
          <w:sz w:val="24"/>
          <w:szCs w:val="24"/>
        </w:rPr>
        <w:t>Baumlin</w:t>
      </w:r>
      <w:proofErr w:type="spellEnd"/>
      <w:r>
        <w:rPr>
          <w:rFonts w:ascii="Times New Roman" w:eastAsia="Times New Roman" w:hAnsi="Times New Roman" w:cs="Times New Roman"/>
          <w:sz w:val="24"/>
          <w:szCs w:val="24"/>
        </w:rPr>
        <w:t xml:space="preserve">, eds. </w:t>
      </w:r>
      <w:r>
        <w:rPr>
          <w:rFonts w:ascii="Times New Roman" w:eastAsia="Times New Roman" w:hAnsi="Times New Roman" w:cs="Times New Roman"/>
          <w:i/>
          <w:sz w:val="24"/>
          <w:szCs w:val="24"/>
        </w:rPr>
        <w:t>Rhetoric and Kairos: Essays in History, Theory, and Praxis</w:t>
      </w:r>
      <w:r>
        <w:rPr>
          <w:rFonts w:ascii="Times New Roman" w:eastAsia="Times New Roman" w:hAnsi="Times New Roman" w:cs="Times New Roman"/>
          <w:sz w:val="24"/>
          <w:szCs w:val="24"/>
        </w:rPr>
        <w:t xml:space="preserve">. </w:t>
      </w:r>
      <w:r w:rsidR="00B71ECE">
        <w:rPr>
          <w:rFonts w:ascii="Times New Roman" w:eastAsia="Times New Roman" w:hAnsi="Times New Roman" w:cs="Times New Roman"/>
          <w:sz w:val="24"/>
          <w:szCs w:val="24"/>
        </w:rPr>
        <w:t>SUNY</w:t>
      </w:r>
      <w:r>
        <w:rPr>
          <w:rFonts w:ascii="Times New Roman" w:eastAsia="Times New Roman" w:hAnsi="Times New Roman" w:cs="Times New Roman"/>
          <w:sz w:val="24"/>
          <w:szCs w:val="24"/>
        </w:rPr>
        <w:t xml:space="preserve"> Press, 2002.</w:t>
      </w:r>
    </w:p>
    <w:p w14:paraId="2A278EC1" w14:textId="10B9BFC6" w:rsidR="00AA3A92" w:rsidRDefault="00442EE4" w:rsidP="001F2881">
      <w:pPr>
        <w:spacing w:line="480" w:lineRule="auto"/>
        <w:ind w:left="426" w:hanging="42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Söderbäck</w:t>
      </w:r>
      <w:proofErr w:type="spellEnd"/>
      <w:r>
        <w:rPr>
          <w:rFonts w:ascii="Times New Roman" w:eastAsia="Times New Roman" w:hAnsi="Times New Roman" w:cs="Times New Roman"/>
          <w:sz w:val="24"/>
          <w:szCs w:val="24"/>
        </w:rPr>
        <w:t xml:space="preserve">, Fanny. </w:t>
      </w:r>
      <w:r>
        <w:rPr>
          <w:rFonts w:ascii="Times New Roman" w:eastAsia="Times New Roman" w:hAnsi="Times New Roman" w:cs="Times New Roman"/>
          <w:i/>
          <w:sz w:val="24"/>
          <w:szCs w:val="24"/>
        </w:rPr>
        <w:t xml:space="preserve">Revolutionary Time: On Time and Difference in Kristeva and </w:t>
      </w:r>
      <w:proofErr w:type="spellStart"/>
      <w:r>
        <w:rPr>
          <w:rFonts w:ascii="Times New Roman" w:eastAsia="Times New Roman" w:hAnsi="Times New Roman" w:cs="Times New Roman"/>
          <w:i/>
          <w:sz w:val="24"/>
          <w:szCs w:val="24"/>
        </w:rPr>
        <w:t>Irigaray</w:t>
      </w:r>
      <w:proofErr w:type="spellEnd"/>
      <w:r>
        <w:rPr>
          <w:rFonts w:ascii="Times New Roman" w:eastAsia="Times New Roman" w:hAnsi="Times New Roman" w:cs="Times New Roman"/>
          <w:sz w:val="24"/>
          <w:szCs w:val="24"/>
        </w:rPr>
        <w:t>. SUNY P</w:t>
      </w:r>
      <w:r w:rsidR="00B71ECE">
        <w:rPr>
          <w:rFonts w:ascii="Times New Roman" w:eastAsia="Times New Roman" w:hAnsi="Times New Roman" w:cs="Times New Roman"/>
          <w:sz w:val="24"/>
          <w:szCs w:val="24"/>
        </w:rPr>
        <w:t>ress</w:t>
      </w:r>
      <w:r>
        <w:rPr>
          <w:rFonts w:ascii="Times New Roman" w:eastAsia="Times New Roman" w:hAnsi="Times New Roman" w:cs="Times New Roman"/>
          <w:sz w:val="24"/>
          <w:szCs w:val="24"/>
        </w:rPr>
        <w:t>, 2019.</w:t>
      </w:r>
    </w:p>
    <w:p w14:paraId="2A278EC2" w14:textId="295D5D77" w:rsidR="00AA3A92" w:rsidRDefault="00442EE4" w:rsidP="001F2881">
      <w:pPr>
        <w:spacing w:line="480" w:lineRule="auto"/>
        <w:ind w:left="426" w:hanging="426"/>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Winderman</w:t>
      </w:r>
      <w:proofErr w:type="spellEnd"/>
      <w:r>
        <w:rPr>
          <w:rFonts w:ascii="Times New Roman" w:eastAsia="Times New Roman" w:hAnsi="Times New Roman" w:cs="Times New Roman"/>
          <w:sz w:val="24"/>
          <w:szCs w:val="24"/>
        </w:rPr>
        <w:t xml:space="preserve">, Emily. “Times for Birth: Chronic and Kairotic Mediated Temporalities in TLC’s </w:t>
      </w:r>
      <w:r>
        <w:rPr>
          <w:rFonts w:ascii="Times New Roman" w:eastAsia="Times New Roman" w:hAnsi="Times New Roman" w:cs="Times New Roman"/>
          <w:i/>
          <w:sz w:val="24"/>
          <w:szCs w:val="24"/>
        </w:rPr>
        <w:t>A Baby Story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Feminist Media Studies, </w:t>
      </w:r>
      <w:r>
        <w:rPr>
          <w:rFonts w:ascii="Times New Roman" w:eastAsia="Times New Roman" w:hAnsi="Times New Roman" w:cs="Times New Roman"/>
          <w:sz w:val="24"/>
          <w:szCs w:val="24"/>
        </w:rPr>
        <w:t>vol. 17, no. 3, 2017, pp. 347</w:t>
      </w:r>
      <w:r w:rsidR="000360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61. </w:t>
      </w:r>
    </w:p>
    <w:p w14:paraId="00AE34A5" w14:textId="373612D1" w:rsidR="00F0004F" w:rsidRPr="007354B0" w:rsidRDefault="00502F2E" w:rsidP="001F2881">
      <w:pPr>
        <w:spacing w:line="480" w:lineRule="auto"/>
        <w:ind w:left="426" w:hanging="426"/>
        <w:rPr>
          <w:color w:val="00B050"/>
        </w:rPr>
      </w:pPr>
      <w:r>
        <w:rPr>
          <w:color w:val="00B050"/>
        </w:rPr>
        <w:t xml:space="preserve"> </w:t>
      </w:r>
    </w:p>
    <w:sectPr w:rsidR="00F0004F" w:rsidRPr="007354B0">
      <w:headerReference w:type="default" r:id="rId1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669B22" w14:textId="77777777" w:rsidR="00042C5A" w:rsidRDefault="00042C5A">
      <w:pPr>
        <w:spacing w:line="240" w:lineRule="auto"/>
      </w:pPr>
      <w:r>
        <w:separator/>
      </w:r>
    </w:p>
  </w:endnote>
  <w:endnote w:type="continuationSeparator" w:id="0">
    <w:p w14:paraId="6AE68722" w14:textId="77777777" w:rsidR="00042C5A" w:rsidRDefault="00042C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5CB423" w14:textId="77777777" w:rsidR="00042C5A" w:rsidRDefault="00042C5A">
      <w:pPr>
        <w:spacing w:line="240" w:lineRule="auto"/>
      </w:pPr>
      <w:r>
        <w:separator/>
      </w:r>
    </w:p>
  </w:footnote>
  <w:footnote w:type="continuationSeparator" w:id="0">
    <w:p w14:paraId="2E546364" w14:textId="77777777" w:rsidR="00042C5A" w:rsidRDefault="00042C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278EC7" w14:textId="77777777" w:rsidR="00AA3A92" w:rsidRDefault="00442EE4">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Pr>
        <w:rFonts w:ascii="Times New Roman" w:eastAsia="Times New Roman" w:hAnsi="Times New Roman" w:cs="Times New Roman"/>
        <w:noProof/>
      </w:rPr>
      <w:t>1</w:t>
    </w:r>
    <w:r>
      <w:rPr>
        <w:rFonts w:ascii="Times New Roman" w:eastAsia="Times New Roman" w:hAnsi="Times New Roman" w:cs="Times New Roman"/>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3FB79F3"/>
    <w:multiLevelType w:val="hybridMultilevel"/>
    <w:tmpl w:val="7D409308"/>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A92"/>
    <w:rsid w:val="00030009"/>
    <w:rsid w:val="000360CB"/>
    <w:rsid w:val="00042C5A"/>
    <w:rsid w:val="00086C0B"/>
    <w:rsid w:val="000871A5"/>
    <w:rsid w:val="0011260B"/>
    <w:rsid w:val="001900DA"/>
    <w:rsid w:val="001D3165"/>
    <w:rsid w:val="001E710A"/>
    <w:rsid w:val="001F2881"/>
    <w:rsid w:val="00224799"/>
    <w:rsid w:val="002F3F13"/>
    <w:rsid w:val="00374550"/>
    <w:rsid w:val="00442EE4"/>
    <w:rsid w:val="004531C7"/>
    <w:rsid w:val="00493BF6"/>
    <w:rsid w:val="004D7FAB"/>
    <w:rsid w:val="004E359A"/>
    <w:rsid w:val="00502F2E"/>
    <w:rsid w:val="005265EE"/>
    <w:rsid w:val="00527FB4"/>
    <w:rsid w:val="005D305E"/>
    <w:rsid w:val="00603DA1"/>
    <w:rsid w:val="006C55C0"/>
    <w:rsid w:val="007354B0"/>
    <w:rsid w:val="007B4A75"/>
    <w:rsid w:val="007C26BE"/>
    <w:rsid w:val="007E3759"/>
    <w:rsid w:val="0082039D"/>
    <w:rsid w:val="00926690"/>
    <w:rsid w:val="00934555"/>
    <w:rsid w:val="009622D3"/>
    <w:rsid w:val="00A07323"/>
    <w:rsid w:val="00A175E0"/>
    <w:rsid w:val="00A40BB4"/>
    <w:rsid w:val="00AA3A92"/>
    <w:rsid w:val="00B0158D"/>
    <w:rsid w:val="00B714F3"/>
    <w:rsid w:val="00B71ECE"/>
    <w:rsid w:val="00BC2F6B"/>
    <w:rsid w:val="00C21609"/>
    <w:rsid w:val="00C63C2E"/>
    <w:rsid w:val="00CB72B2"/>
    <w:rsid w:val="00D27924"/>
    <w:rsid w:val="00D90D00"/>
    <w:rsid w:val="00E167F7"/>
    <w:rsid w:val="00E925D7"/>
    <w:rsid w:val="00E9715C"/>
    <w:rsid w:val="00EF0D71"/>
    <w:rsid w:val="00F0004F"/>
    <w:rsid w:val="00F05341"/>
    <w:rsid w:val="00F818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78E6F"/>
  <w15:docId w15:val="{09FDE1E8-CE35-45EB-AC78-7E3D127E9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uiPriority w:val="9"/>
    <w:qFormat/>
    <w:pPr>
      <w:keepNext/>
      <w:keepLines/>
      <w:spacing w:before="400" w:after="120"/>
      <w:outlineLvl w:val="0"/>
    </w:pPr>
    <w:rPr>
      <w:sz w:val="40"/>
      <w:szCs w:val="40"/>
    </w:rPr>
  </w:style>
  <w:style w:type="paragraph" w:styleId="Rubrik2">
    <w:name w:val="heading 2"/>
    <w:basedOn w:val="Normal"/>
    <w:next w:val="Normal"/>
    <w:uiPriority w:val="9"/>
    <w:semiHidden/>
    <w:unhideWhenUsed/>
    <w:qFormat/>
    <w:pPr>
      <w:keepNext/>
      <w:keepLines/>
      <w:spacing w:before="360" w:after="120"/>
      <w:outlineLvl w:val="1"/>
    </w:pPr>
    <w:rPr>
      <w:sz w:val="32"/>
      <w:szCs w:val="32"/>
    </w:rPr>
  </w:style>
  <w:style w:type="paragraph" w:styleId="Rubrik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Rubrik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Rubrik5">
    <w:name w:val="heading 5"/>
    <w:basedOn w:val="Normal"/>
    <w:next w:val="Normal"/>
    <w:uiPriority w:val="9"/>
    <w:semiHidden/>
    <w:unhideWhenUsed/>
    <w:qFormat/>
    <w:pPr>
      <w:keepNext/>
      <w:keepLines/>
      <w:spacing w:before="240" w:after="80"/>
      <w:outlineLvl w:val="4"/>
    </w:pPr>
    <w:rPr>
      <w:color w:val="666666"/>
    </w:rPr>
  </w:style>
  <w:style w:type="paragraph" w:styleId="Rubrik6">
    <w:name w:val="heading 6"/>
    <w:basedOn w:val="Normal"/>
    <w:next w:val="Normal"/>
    <w:uiPriority w:val="9"/>
    <w:semiHidden/>
    <w:unhideWhenUsed/>
    <w:qFormat/>
    <w:pPr>
      <w:keepNext/>
      <w:keepLines/>
      <w:spacing w:before="240" w:after="80"/>
      <w:outlineLvl w:val="5"/>
    </w:pPr>
    <w:rPr>
      <w:i/>
      <w:color w:val="66666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ubrik">
    <w:name w:val="Title"/>
    <w:basedOn w:val="Normal"/>
    <w:next w:val="Normal"/>
    <w:uiPriority w:val="10"/>
    <w:qFormat/>
    <w:pPr>
      <w:keepNext/>
      <w:keepLines/>
      <w:spacing w:after="60"/>
    </w:pPr>
    <w:rPr>
      <w:sz w:val="52"/>
      <w:szCs w:val="52"/>
    </w:rPr>
  </w:style>
  <w:style w:type="paragraph" w:styleId="Underrubrik">
    <w:name w:val="Subtitle"/>
    <w:basedOn w:val="Normal"/>
    <w:next w:val="Normal"/>
    <w:uiPriority w:val="11"/>
    <w:qFormat/>
    <w:pPr>
      <w:keepNext/>
      <w:keepLines/>
      <w:spacing w:after="320"/>
    </w:pPr>
    <w:rPr>
      <w:color w:val="666666"/>
      <w:sz w:val="30"/>
      <w:szCs w:val="30"/>
    </w:rPr>
  </w:style>
  <w:style w:type="character" w:styleId="Kommentarsreferens">
    <w:name w:val="annotation reference"/>
    <w:basedOn w:val="Standardstycketeckensnitt"/>
    <w:uiPriority w:val="99"/>
    <w:semiHidden/>
    <w:unhideWhenUsed/>
    <w:rsid w:val="00030009"/>
    <w:rPr>
      <w:sz w:val="16"/>
      <w:szCs w:val="16"/>
    </w:rPr>
  </w:style>
  <w:style w:type="paragraph" w:styleId="Kommentarer">
    <w:name w:val="annotation text"/>
    <w:basedOn w:val="Normal"/>
    <w:link w:val="KommentarerChar"/>
    <w:uiPriority w:val="99"/>
    <w:semiHidden/>
    <w:unhideWhenUsed/>
    <w:rsid w:val="00030009"/>
    <w:pPr>
      <w:spacing w:line="240" w:lineRule="auto"/>
    </w:pPr>
    <w:rPr>
      <w:sz w:val="20"/>
      <w:szCs w:val="20"/>
    </w:rPr>
  </w:style>
  <w:style w:type="character" w:customStyle="1" w:styleId="KommentarerChar">
    <w:name w:val="Kommentarer Char"/>
    <w:basedOn w:val="Standardstycketeckensnitt"/>
    <w:link w:val="Kommentarer"/>
    <w:uiPriority w:val="99"/>
    <w:semiHidden/>
    <w:rsid w:val="00030009"/>
    <w:rPr>
      <w:sz w:val="20"/>
      <w:szCs w:val="20"/>
    </w:rPr>
  </w:style>
  <w:style w:type="paragraph" w:styleId="Kommentarsmne">
    <w:name w:val="annotation subject"/>
    <w:basedOn w:val="Kommentarer"/>
    <w:next w:val="Kommentarer"/>
    <w:link w:val="KommentarsmneChar"/>
    <w:uiPriority w:val="99"/>
    <w:semiHidden/>
    <w:unhideWhenUsed/>
    <w:rsid w:val="00030009"/>
    <w:rPr>
      <w:b/>
      <w:bCs/>
    </w:rPr>
  </w:style>
  <w:style w:type="character" w:customStyle="1" w:styleId="KommentarsmneChar">
    <w:name w:val="Kommentarsämne Char"/>
    <w:basedOn w:val="KommentarerChar"/>
    <w:link w:val="Kommentarsmne"/>
    <w:uiPriority w:val="99"/>
    <w:semiHidden/>
    <w:rsid w:val="00030009"/>
    <w:rPr>
      <w:b/>
      <w:bCs/>
      <w:sz w:val="20"/>
      <w:szCs w:val="20"/>
    </w:rPr>
  </w:style>
  <w:style w:type="paragraph" w:styleId="Liststycke">
    <w:name w:val="List Paragraph"/>
    <w:basedOn w:val="Normal"/>
    <w:uiPriority w:val="34"/>
    <w:qFormat/>
    <w:rsid w:val="007354B0"/>
    <w:pPr>
      <w:ind w:left="720"/>
      <w:contextualSpacing/>
    </w:pPr>
  </w:style>
  <w:style w:type="paragraph" w:styleId="Ballongtext">
    <w:name w:val="Balloon Text"/>
    <w:basedOn w:val="Normal"/>
    <w:link w:val="BallongtextChar"/>
    <w:uiPriority w:val="99"/>
    <w:semiHidden/>
    <w:unhideWhenUsed/>
    <w:rsid w:val="00EF0D71"/>
    <w:pPr>
      <w:spacing w:line="240" w:lineRule="auto"/>
    </w:pPr>
    <w:rPr>
      <w:rFonts w:ascii="Times New Roman" w:hAnsi="Times New Roman" w:cs="Times New Roman"/>
      <w:sz w:val="18"/>
      <w:szCs w:val="18"/>
    </w:rPr>
  </w:style>
  <w:style w:type="character" w:customStyle="1" w:styleId="BallongtextChar">
    <w:name w:val="Ballongtext Char"/>
    <w:basedOn w:val="Standardstycketeckensnitt"/>
    <w:link w:val="Ballongtext"/>
    <w:uiPriority w:val="99"/>
    <w:semiHidden/>
    <w:rsid w:val="00EF0D7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mailto:frida.buhre@liu.se" TargetMode="External"/><Relationship Id="rId13" Type="http://schemas.openxmlformats.org/officeDocument/2006/relationships/hyperlink" Target="https://www.washingtonpost.com/outlook/national-mourning-coronavirus/2020/05/15/b47fc670-9577-11ea-82b4-c8db161ff6e5_story.html" TargetMode="External"/><Relationship Id="rId3" Type="http://schemas.openxmlformats.org/officeDocument/2006/relationships/settings" Target="settings.xml"/><Relationship Id="rId7" Type="http://schemas.openxmlformats.org/officeDocument/2006/relationships/hyperlink" Target="mailto:c.bjork@massey.ac.nz" TargetMode="External"/><Relationship Id="rId12" Type="http://schemas.openxmlformats.org/officeDocument/2006/relationships/hyperlink" Target="https://www.latimes.com/world-nation/story/2020-03-29/no-running-water-no-electricity-in-navajo-nation-coronavirus-creates-worry-and-confusion-as-cases-surg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heatlantic.com/ideas/archive/2020/04/race-and-blame/609946/"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oi.org/10.1111/hypa.12386" TargetMode="External"/><Relationship Id="rId4" Type="http://schemas.openxmlformats.org/officeDocument/2006/relationships/webSettings" Target="webSettings.xml"/><Relationship Id="rId9" Type="http://schemas.openxmlformats.org/officeDocument/2006/relationships/hyperlink" Target="https://time.com/5816299/coronavirus-africa-ventilators-doctors/" TargetMode="External"/><Relationship Id="rId14" Type="http://schemas.openxmlformats.org/officeDocument/2006/relationships/hyperlink" Target="https://www.stuff.co.nz/national/health/coronavirus/300009991/a-tale-of-two-covid19-outbreaks-singapore-tackles-a-costly-setba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13</Pages>
  <Words>3524</Words>
  <Characters>18683</Characters>
  <Application>Microsoft Office Word</Application>
  <DocSecurity>0</DocSecurity>
  <Lines>155</Lines>
  <Paragraphs>44</Paragraphs>
  <ScaleCrop>false</ScaleCrop>
  <Company/>
  <LinksUpToDate>false</LinksUpToDate>
  <CharactersWithSpaces>22163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Frida Buhre</cp:lastModifiedBy>
  <cp:revision>25</cp:revision>
  <dcterms:created xsi:type="dcterms:W3CDTF">2021-03-14T07:53:00Z</dcterms:created>
  <dcterms:modified xsi:type="dcterms:W3CDTF">2021-03-15T08:20:00Z</dcterms:modified>
</cp:coreProperties>
</file>