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49D4" w:rsidRPr="004F4993" w:rsidRDefault="008149D4" w:rsidP="00AC6046">
      <w:pPr>
        <w:pStyle w:val="manuscript"/>
        <w:jc w:val="center"/>
        <w:rPr>
          <w:b/>
        </w:rPr>
      </w:pPr>
      <w:r>
        <w:rPr>
          <w:b/>
        </w:rPr>
        <w:t xml:space="preserve">Insights </w:t>
      </w:r>
      <w:r w:rsidR="00F40DC7">
        <w:rPr>
          <w:b/>
        </w:rPr>
        <w:t xml:space="preserve">into Accounting Choice from the Adoption </w:t>
      </w:r>
      <w:r w:rsidR="00D66207">
        <w:rPr>
          <w:b/>
        </w:rPr>
        <w:t xml:space="preserve">Timing </w:t>
      </w:r>
      <w:r w:rsidR="00F40DC7">
        <w:rPr>
          <w:b/>
        </w:rPr>
        <w:t>of IFRS</w:t>
      </w:r>
    </w:p>
    <w:p w:rsidR="003F4B86" w:rsidRPr="004F4993" w:rsidRDefault="003F4B86" w:rsidP="008149D4">
      <w:pPr>
        <w:pStyle w:val="manuscript"/>
        <w:rPr>
          <w:b/>
        </w:rPr>
      </w:pPr>
    </w:p>
    <w:p w:rsidR="003F4B86" w:rsidRPr="00160EDA" w:rsidRDefault="003F4B86" w:rsidP="00331E26">
      <w:pPr>
        <w:pStyle w:val="manuscript"/>
        <w:jc w:val="center"/>
      </w:pPr>
    </w:p>
    <w:p w:rsidR="003F4B86" w:rsidRPr="00160EDA" w:rsidRDefault="003F4B86" w:rsidP="00331E26">
      <w:pPr>
        <w:pStyle w:val="manuscript"/>
        <w:jc w:val="center"/>
      </w:pPr>
      <w:r w:rsidRPr="00160EDA">
        <w:t xml:space="preserve">Warwick Stent, </w:t>
      </w:r>
      <w:r w:rsidR="00BC7CF5">
        <w:t xml:space="preserve">Michael </w:t>
      </w:r>
      <w:r w:rsidR="00B75AF6">
        <w:t xml:space="preserve">E. </w:t>
      </w:r>
      <w:r w:rsidR="00BC7CF5">
        <w:t xml:space="preserve">Bradbury </w:t>
      </w:r>
      <w:r w:rsidR="00F2410B" w:rsidRPr="00160EDA">
        <w:t>and Jill Hooks</w:t>
      </w:r>
    </w:p>
    <w:p w:rsidR="003F4B86" w:rsidRPr="00160EDA" w:rsidRDefault="003F4B86" w:rsidP="00331E26">
      <w:pPr>
        <w:pStyle w:val="manuscript"/>
        <w:jc w:val="center"/>
      </w:pPr>
      <w:r w:rsidRPr="00160EDA">
        <w:t>School of Accountancy, Massey University, Auckland, New Zealand</w:t>
      </w:r>
    </w:p>
    <w:p w:rsidR="003F4B86" w:rsidRPr="00160EDA" w:rsidRDefault="003F4B86" w:rsidP="008149D4">
      <w:pPr>
        <w:pStyle w:val="manuscript"/>
      </w:pPr>
    </w:p>
    <w:p w:rsidR="00F2410B" w:rsidRPr="004F4993" w:rsidRDefault="00F2410B" w:rsidP="00530414">
      <w:pPr>
        <w:pStyle w:val="manuscript"/>
        <w:ind w:left="360"/>
        <w:rPr>
          <w:b/>
        </w:rPr>
      </w:pPr>
    </w:p>
    <w:p w:rsidR="003F4B86" w:rsidRPr="004F4993" w:rsidRDefault="003F4B86" w:rsidP="008149D4">
      <w:pPr>
        <w:pStyle w:val="manuscript"/>
        <w:rPr>
          <w:b/>
        </w:rPr>
      </w:pPr>
      <w:r w:rsidRPr="004F4993">
        <w:rPr>
          <w:b/>
        </w:rPr>
        <w:t>Acknowledgements</w:t>
      </w:r>
    </w:p>
    <w:p w:rsidR="003F4B86" w:rsidRPr="004F4993" w:rsidRDefault="004F4993" w:rsidP="008149D4">
      <w:pPr>
        <w:pStyle w:val="manuscript"/>
      </w:pPr>
      <w:r w:rsidRPr="004F4993">
        <w:t>W</w:t>
      </w:r>
      <w:r w:rsidR="003F4B86" w:rsidRPr="004F4993">
        <w:t xml:space="preserve">e gratefully acknowledge financial support from the New Zealand Institute of Chartered Accountants and the Accounting and Finance Association of Australia and New Zealand. </w:t>
      </w:r>
      <w:r w:rsidR="00A01215">
        <w:t xml:space="preserve">We thank participants at the </w:t>
      </w:r>
      <w:r w:rsidR="006A4387">
        <w:t xml:space="preserve">2011 </w:t>
      </w:r>
      <w:r w:rsidR="00A01215">
        <w:t>Auckland Region Accounting Conference</w:t>
      </w:r>
      <w:r w:rsidR="00C4767E">
        <w:t xml:space="preserve">, Neil </w:t>
      </w:r>
      <w:proofErr w:type="spellStart"/>
      <w:r w:rsidR="00C4767E">
        <w:t>Fargher</w:t>
      </w:r>
      <w:proofErr w:type="spellEnd"/>
      <w:r w:rsidR="00C4767E">
        <w:t xml:space="preserve"> (editor),</w:t>
      </w:r>
      <w:r w:rsidR="00A01215">
        <w:t xml:space="preserve"> </w:t>
      </w:r>
      <w:r w:rsidR="00B746DC">
        <w:t xml:space="preserve">and the journal reviewers </w:t>
      </w:r>
      <w:r w:rsidR="00A01215">
        <w:t>for their helpful comments on an earlier version of the paper.</w:t>
      </w:r>
    </w:p>
    <w:p w:rsidR="003F4B86" w:rsidRPr="004F4993" w:rsidRDefault="003F4B86" w:rsidP="008149D4">
      <w:pPr>
        <w:pStyle w:val="manuscript"/>
        <w:rPr>
          <w:b/>
        </w:rPr>
      </w:pPr>
    </w:p>
    <w:p w:rsidR="003F4B86" w:rsidRDefault="00047E95" w:rsidP="008149D4">
      <w:pPr>
        <w:pStyle w:val="manuscript"/>
      </w:pPr>
      <w:r>
        <w:t xml:space="preserve">Running header:   </w:t>
      </w:r>
      <w:r w:rsidRPr="00047E95">
        <w:t>Insights into Accounting Choice: IFRS</w:t>
      </w:r>
      <w:r>
        <w:t xml:space="preserve"> Adoption</w:t>
      </w:r>
    </w:p>
    <w:p w:rsidR="00047E95" w:rsidRDefault="00047E95" w:rsidP="008149D4">
      <w:pPr>
        <w:pStyle w:val="manuscript"/>
      </w:pPr>
      <w:r>
        <w:t>Key words: Accounting choice, contracting</w:t>
      </w:r>
      <w:r w:rsidR="0070059E">
        <w:t xml:space="preserve"> costs</w:t>
      </w:r>
      <w:r>
        <w:t>, IFRS adoption</w:t>
      </w:r>
      <w:r w:rsidR="0070059E">
        <w:t>, costs and benefits</w:t>
      </w:r>
    </w:p>
    <w:p w:rsidR="00DC0363" w:rsidRPr="00DC0363" w:rsidRDefault="00DC0363" w:rsidP="008149D4">
      <w:pPr>
        <w:pStyle w:val="manuscript"/>
      </w:pPr>
      <w:r>
        <w:t xml:space="preserve">JEL Classification:  </w:t>
      </w:r>
      <w:r>
        <w:rPr>
          <w:rFonts w:ascii="Times-Roman" w:hAnsi="Times-Roman" w:cs="Times-Roman"/>
          <w:sz w:val="20"/>
          <w:szCs w:val="20"/>
          <w:lang w:val="en-NZ" w:bidi="ar-SA"/>
        </w:rPr>
        <w:t xml:space="preserve">D86, </w:t>
      </w:r>
      <w:r w:rsidRPr="00DC0363">
        <w:rPr>
          <w:rFonts w:ascii="Times-Roman" w:hAnsi="Times-Roman" w:cs="Times-Roman"/>
          <w:sz w:val="20"/>
          <w:szCs w:val="20"/>
          <w:lang w:val="en-NZ" w:bidi="ar-SA"/>
        </w:rPr>
        <w:t>F23</w:t>
      </w:r>
      <w:r>
        <w:rPr>
          <w:rFonts w:ascii="Times-Roman" w:hAnsi="Times-Roman" w:cs="Times-Roman"/>
          <w:sz w:val="20"/>
          <w:szCs w:val="20"/>
          <w:lang w:val="en-NZ" w:bidi="ar-SA"/>
        </w:rPr>
        <w:t xml:space="preserve">, </w:t>
      </w:r>
      <w:r w:rsidRPr="00DC0363">
        <w:rPr>
          <w:rFonts w:ascii="Times-Roman" w:hAnsi="Times-Roman" w:cs="Times-Roman"/>
          <w:sz w:val="20"/>
          <w:szCs w:val="20"/>
          <w:lang w:val="en-NZ" w:bidi="ar-SA"/>
        </w:rPr>
        <w:t>G18</w:t>
      </w:r>
      <w:r>
        <w:rPr>
          <w:rFonts w:ascii="Times-Roman" w:hAnsi="Times-Roman" w:cs="Times-Roman"/>
          <w:sz w:val="20"/>
          <w:szCs w:val="20"/>
          <w:lang w:val="en-NZ" w:bidi="ar-SA"/>
        </w:rPr>
        <w:t>, M41</w:t>
      </w:r>
    </w:p>
    <w:p w:rsidR="00F2410B" w:rsidRPr="00160EDA" w:rsidRDefault="003F4B86" w:rsidP="008149D4">
      <w:pPr>
        <w:pStyle w:val="manuscript"/>
        <w:sectPr w:rsidR="00F2410B" w:rsidRPr="00160EDA">
          <w:footerReference w:type="first" r:id="rId9"/>
          <w:endnotePr>
            <w:numFmt w:val="decimal"/>
          </w:endnotePr>
          <w:pgSz w:w="11906" w:h="16838"/>
          <w:pgMar w:top="1440" w:right="1080" w:bottom="1440" w:left="1080" w:header="708" w:footer="708" w:gutter="0"/>
          <w:cols w:space="708"/>
          <w:docGrid w:linePitch="360"/>
        </w:sectPr>
      </w:pPr>
      <w:r w:rsidRPr="00160EDA">
        <w:rPr>
          <w:i/>
        </w:rPr>
        <w:t>Correspondence</w:t>
      </w:r>
      <w:r w:rsidRPr="00160EDA">
        <w:t xml:space="preserve">: </w:t>
      </w:r>
      <w:r w:rsidR="00E27A2B">
        <w:t>m.e.bradbury@massey.ac.nz</w:t>
      </w:r>
    </w:p>
    <w:p w:rsidR="00F40DC7" w:rsidRPr="004F4993" w:rsidRDefault="00F40DC7" w:rsidP="00F40DC7">
      <w:pPr>
        <w:pStyle w:val="manuscript"/>
        <w:jc w:val="center"/>
        <w:rPr>
          <w:b/>
        </w:rPr>
      </w:pPr>
      <w:r>
        <w:rPr>
          <w:b/>
        </w:rPr>
        <w:lastRenderedPageBreak/>
        <w:t>Insights into Accounting Choice from the Adoption</w:t>
      </w:r>
      <w:r w:rsidR="00722476">
        <w:rPr>
          <w:b/>
        </w:rPr>
        <w:t xml:space="preserve"> Timing</w:t>
      </w:r>
      <w:r>
        <w:rPr>
          <w:b/>
        </w:rPr>
        <w:t xml:space="preserve"> of IFRS</w:t>
      </w:r>
    </w:p>
    <w:p w:rsidR="003F4B86" w:rsidRPr="004F4993" w:rsidRDefault="003F4B86" w:rsidP="008149D4">
      <w:pPr>
        <w:pStyle w:val="manuscript"/>
        <w:rPr>
          <w:b/>
        </w:rPr>
      </w:pPr>
    </w:p>
    <w:p w:rsidR="003F4B86" w:rsidRPr="004F4993" w:rsidRDefault="003F4B86" w:rsidP="008149D4">
      <w:pPr>
        <w:pStyle w:val="manuscript"/>
        <w:rPr>
          <w:b/>
        </w:rPr>
      </w:pPr>
      <w:r w:rsidRPr="004F4993">
        <w:rPr>
          <w:b/>
        </w:rPr>
        <w:t>ABSTRACT</w:t>
      </w:r>
    </w:p>
    <w:p w:rsidR="00062F5D" w:rsidRDefault="00B75AF6" w:rsidP="008149D4">
      <w:pPr>
        <w:pStyle w:val="manuscript"/>
      </w:pPr>
      <w:r w:rsidRPr="001B258C">
        <w:t xml:space="preserve">This paper </w:t>
      </w:r>
      <w:r w:rsidR="00553668">
        <w:t xml:space="preserve">collects survey evidence </w:t>
      </w:r>
      <w:r w:rsidR="00325A15">
        <w:t xml:space="preserve">on the costs and benefits of adopting </w:t>
      </w:r>
      <w:r w:rsidR="002A4A20" w:rsidRPr="001B258C">
        <w:t>International Financial Reporting Standards (</w:t>
      </w:r>
      <w:r w:rsidRPr="001B258C">
        <w:t>IFRS</w:t>
      </w:r>
      <w:r w:rsidR="002A4A20" w:rsidRPr="001B258C">
        <w:t>)</w:t>
      </w:r>
      <w:r w:rsidR="00325A15">
        <w:t xml:space="preserve">. It </w:t>
      </w:r>
      <w:r w:rsidR="00062F5D">
        <w:t xml:space="preserve">also </w:t>
      </w:r>
      <w:r w:rsidR="00325A15">
        <w:t xml:space="preserve">examines </w:t>
      </w:r>
      <w:r w:rsidR="00062F5D">
        <w:t>the</w:t>
      </w:r>
      <w:r w:rsidR="00325A15">
        <w:t xml:space="preserve"> motivations for the timing of IFRS </w:t>
      </w:r>
      <w:r w:rsidR="00F866AF">
        <w:t>adoption</w:t>
      </w:r>
      <w:r w:rsidR="00A524AD" w:rsidRPr="001B258C">
        <w:t>.</w:t>
      </w:r>
      <w:r w:rsidR="001B258C" w:rsidRPr="001B258C">
        <w:t xml:space="preserve"> </w:t>
      </w:r>
      <w:r w:rsidR="00553668">
        <w:t>S</w:t>
      </w:r>
      <w:r w:rsidR="001B258C" w:rsidRPr="001B258C">
        <w:t xml:space="preserve">ignificant differences </w:t>
      </w:r>
      <w:r w:rsidR="00553668">
        <w:t xml:space="preserve">exist </w:t>
      </w:r>
      <w:r w:rsidR="001B258C" w:rsidRPr="001B258C">
        <w:t xml:space="preserve">between early and late adopters for three of nine benefits and for one of six </w:t>
      </w:r>
      <w:r w:rsidR="00553668">
        <w:t xml:space="preserve">cost </w:t>
      </w:r>
      <w:r w:rsidR="001B258C" w:rsidRPr="001B258C">
        <w:t xml:space="preserve">measures. </w:t>
      </w:r>
      <w:r w:rsidR="00553668">
        <w:t>N</w:t>
      </w:r>
      <w:r w:rsidR="001B258C" w:rsidRPr="001B258C">
        <w:t>o significant difference</w:t>
      </w:r>
      <w:r w:rsidR="00553668">
        <w:t>s</w:t>
      </w:r>
      <w:r w:rsidR="001B258C" w:rsidRPr="001B258C">
        <w:t xml:space="preserve"> </w:t>
      </w:r>
      <w:r w:rsidR="00553668">
        <w:t>exist</w:t>
      </w:r>
      <w:r w:rsidR="001B258C" w:rsidRPr="001B258C">
        <w:t xml:space="preserve"> in terms of </w:t>
      </w:r>
      <w:r w:rsidR="00A9451C">
        <w:t xml:space="preserve">firm </w:t>
      </w:r>
      <w:r w:rsidR="001B258C" w:rsidRPr="001B258C">
        <w:t xml:space="preserve">size or the impact </w:t>
      </w:r>
      <w:r w:rsidR="00A9451C">
        <w:t xml:space="preserve">of IFRS </w:t>
      </w:r>
      <w:r w:rsidR="001B258C" w:rsidRPr="001B258C">
        <w:t>on contracts.</w:t>
      </w:r>
      <w:r w:rsidR="001B258C">
        <w:t xml:space="preserve"> </w:t>
      </w:r>
      <w:r w:rsidR="00062F5D">
        <w:t>E</w:t>
      </w:r>
      <w:r w:rsidR="00062F5D" w:rsidRPr="001B258C">
        <w:t xml:space="preserve">arly adopters </w:t>
      </w:r>
      <w:r w:rsidR="00062F5D">
        <w:t xml:space="preserve">perceive </w:t>
      </w:r>
      <w:r w:rsidR="00062F5D" w:rsidRPr="001B258C">
        <w:t>themselves as market leaders</w:t>
      </w:r>
      <w:r w:rsidR="00062F5D">
        <w:t>. They are</w:t>
      </w:r>
      <w:r w:rsidR="00062F5D" w:rsidRPr="001B258C">
        <w:t xml:space="preserve"> more certain about </w:t>
      </w:r>
      <w:r w:rsidR="00062F5D">
        <w:t>the manageability of</w:t>
      </w:r>
      <w:r w:rsidR="00062F5D" w:rsidRPr="001B258C">
        <w:t xml:space="preserve"> implement</w:t>
      </w:r>
      <w:r w:rsidR="00062F5D">
        <w:t xml:space="preserve">ing IFRS and </w:t>
      </w:r>
      <w:r w:rsidR="00CF3CB5">
        <w:t>are</w:t>
      </w:r>
      <w:r w:rsidR="00062F5D">
        <w:t xml:space="preserve"> </w:t>
      </w:r>
      <w:r w:rsidR="00062F5D" w:rsidRPr="001B258C">
        <w:t xml:space="preserve">more specific </w:t>
      </w:r>
      <w:r w:rsidR="00CF3CB5">
        <w:t>with regard to</w:t>
      </w:r>
      <w:r w:rsidR="00062F5D" w:rsidRPr="001B258C">
        <w:t xml:space="preserve"> the impact of IFRS</w:t>
      </w:r>
      <w:r w:rsidR="00CF3CB5">
        <w:t xml:space="preserve"> adoption</w:t>
      </w:r>
      <w:r w:rsidR="00062F5D">
        <w:t>.</w:t>
      </w:r>
      <w:r w:rsidR="00062F5D" w:rsidRPr="00062F5D">
        <w:t xml:space="preserve"> </w:t>
      </w:r>
      <w:r w:rsidR="00062F5D">
        <w:t xml:space="preserve">Late adoption decisions are motivated </w:t>
      </w:r>
      <w:r w:rsidR="00610EFB">
        <w:t xml:space="preserve">by </w:t>
      </w:r>
      <w:r w:rsidR="00062F5D">
        <w:t>adverse consequences</w:t>
      </w:r>
      <w:r w:rsidR="00062F5D" w:rsidRPr="00062F5D">
        <w:t xml:space="preserve"> </w:t>
      </w:r>
      <w:r w:rsidR="00062F5D">
        <w:t xml:space="preserve">and uncertainty.  </w:t>
      </w:r>
    </w:p>
    <w:p w:rsidR="00062F5D" w:rsidRDefault="00062F5D" w:rsidP="008149D4">
      <w:pPr>
        <w:pStyle w:val="manuscript"/>
      </w:pPr>
    </w:p>
    <w:p w:rsidR="00211492" w:rsidRDefault="005C444D" w:rsidP="008149D4">
      <w:pPr>
        <w:pStyle w:val="manuscript"/>
      </w:pPr>
      <w:r>
        <w:t xml:space="preserve"> </w:t>
      </w:r>
    </w:p>
    <w:p w:rsidR="00872377" w:rsidRPr="00160EDA" w:rsidRDefault="00872377" w:rsidP="008149D4">
      <w:pPr>
        <w:pStyle w:val="manuscript"/>
        <w:sectPr w:rsidR="00872377" w:rsidRPr="00160EDA">
          <w:endnotePr>
            <w:numFmt w:val="decimal"/>
          </w:endnotePr>
          <w:pgSz w:w="11906" w:h="16838"/>
          <w:pgMar w:top="1440" w:right="1080" w:bottom="1440" w:left="1080" w:header="708" w:footer="708" w:gutter="0"/>
          <w:cols w:space="708"/>
          <w:docGrid w:linePitch="360"/>
        </w:sectPr>
      </w:pPr>
    </w:p>
    <w:p w:rsidR="00F40DC7" w:rsidRPr="004F4993" w:rsidRDefault="00F40DC7" w:rsidP="00F40DC7">
      <w:pPr>
        <w:pStyle w:val="manuscript"/>
        <w:jc w:val="center"/>
        <w:rPr>
          <w:b/>
        </w:rPr>
      </w:pPr>
      <w:r>
        <w:rPr>
          <w:b/>
        </w:rPr>
        <w:lastRenderedPageBreak/>
        <w:t xml:space="preserve">Insights into Accounting Choice from the Adoption </w:t>
      </w:r>
      <w:r w:rsidR="0007295E">
        <w:rPr>
          <w:b/>
        </w:rPr>
        <w:t xml:space="preserve">Timing </w:t>
      </w:r>
      <w:r>
        <w:rPr>
          <w:b/>
        </w:rPr>
        <w:t>of IFRS</w:t>
      </w:r>
    </w:p>
    <w:p w:rsidR="00696725" w:rsidRPr="00AC6046" w:rsidRDefault="00B90E9F" w:rsidP="00AC6046">
      <w:pPr>
        <w:pStyle w:val="Heading1"/>
      </w:pPr>
      <w:r w:rsidRPr="00AC6046">
        <w:t>Introduction</w:t>
      </w:r>
    </w:p>
    <w:p w:rsidR="00C4767E" w:rsidRDefault="00153605" w:rsidP="00C12659">
      <w:pPr>
        <w:pStyle w:val="manuscript"/>
      </w:pPr>
      <w:r>
        <w:t xml:space="preserve">Accounting choice </w:t>
      </w:r>
      <w:r w:rsidR="0092409B">
        <w:t>addresses the fundamental question of whether accounting matters (Fields, Lys and Vincent, 2001) and is central to the study of accounting (Watts, 1992)</w:t>
      </w:r>
      <w:r>
        <w:t xml:space="preserve">. </w:t>
      </w:r>
      <w:r w:rsidR="001C75EF">
        <w:t>The accounting choice we examine is the</w:t>
      </w:r>
      <w:r>
        <w:t xml:space="preserve"> </w:t>
      </w:r>
      <w:r w:rsidR="001C75EF">
        <w:t xml:space="preserve">timing </w:t>
      </w:r>
      <w:r w:rsidR="00FB52C0">
        <w:t xml:space="preserve">of </w:t>
      </w:r>
      <w:r w:rsidR="0025215E">
        <w:t>adoption</w:t>
      </w:r>
      <w:r w:rsidR="00FB52C0">
        <w:t xml:space="preserve"> </w:t>
      </w:r>
      <w:r w:rsidR="0025215E">
        <w:t>of</w:t>
      </w:r>
      <w:r>
        <w:t xml:space="preserve"> International Financial Reporting Standards (IFRS)</w:t>
      </w:r>
      <w:r w:rsidR="001C75EF">
        <w:t xml:space="preserve">. </w:t>
      </w:r>
      <w:r w:rsidR="000A6C1F">
        <w:t xml:space="preserve"> S</w:t>
      </w:r>
      <w:r w:rsidR="00622B93">
        <w:t>pecifically, w</w:t>
      </w:r>
      <w:r w:rsidR="00622B93" w:rsidRPr="007F15CF">
        <w:t>e survey listed companies in New Zealand</w:t>
      </w:r>
      <w:r w:rsidR="00622B93">
        <w:t xml:space="preserve"> to </w:t>
      </w:r>
      <w:r w:rsidR="00622B93" w:rsidRPr="007F15CF">
        <w:t xml:space="preserve">investigate </w:t>
      </w:r>
      <w:r w:rsidR="00622B93">
        <w:t>(1) the benefits and costs</w:t>
      </w:r>
      <w:r w:rsidR="00622B93" w:rsidRPr="007F15CF">
        <w:t xml:space="preserve"> </w:t>
      </w:r>
      <w:r w:rsidR="00622B93">
        <w:t xml:space="preserve">of IFRS adoption </w:t>
      </w:r>
      <w:r w:rsidR="00622B93" w:rsidRPr="007F15CF">
        <w:t xml:space="preserve">and </w:t>
      </w:r>
      <w:r w:rsidR="00622B93">
        <w:t>(2) the</w:t>
      </w:r>
      <w:r w:rsidR="00622B93" w:rsidRPr="007F15CF">
        <w:t xml:space="preserve"> factors motivating </w:t>
      </w:r>
      <w:r w:rsidR="00622B93">
        <w:t xml:space="preserve">the timing of </w:t>
      </w:r>
      <w:r w:rsidR="00622B93" w:rsidRPr="007F15CF">
        <w:t xml:space="preserve">IFRS </w:t>
      </w:r>
      <w:r w:rsidR="00622B93">
        <w:t>adoption</w:t>
      </w:r>
      <w:r w:rsidR="00622B93" w:rsidRPr="007F15CF">
        <w:t>.</w:t>
      </w:r>
      <w:r w:rsidR="00580688" w:rsidRPr="00B51C3C">
        <w:rPr>
          <w:rStyle w:val="FootnoteReference"/>
        </w:rPr>
        <w:footnoteReference w:id="1"/>
      </w:r>
      <w:r w:rsidR="00622B93" w:rsidRPr="007F15CF">
        <w:t xml:space="preserve"> </w:t>
      </w:r>
      <w:r w:rsidR="00622B93">
        <w:t>This is an appropriate setting to examine</w:t>
      </w:r>
      <w:r w:rsidR="00622B93" w:rsidRPr="007F15CF">
        <w:t xml:space="preserve"> </w:t>
      </w:r>
      <w:r w:rsidR="00FB47A6">
        <w:t>accounting choice</w:t>
      </w:r>
      <w:r w:rsidR="00622B93" w:rsidRPr="007F15CF">
        <w:t xml:space="preserve"> because we are able to </w:t>
      </w:r>
      <w:r w:rsidR="006A4387">
        <w:t>compare</w:t>
      </w:r>
      <w:r w:rsidR="00622B93" w:rsidRPr="007F15CF">
        <w:t xml:space="preserve"> the </w:t>
      </w:r>
      <w:r w:rsidR="00FB47A6">
        <w:t>perceptions</w:t>
      </w:r>
      <w:r w:rsidR="00FB47A6" w:rsidRPr="007F15CF">
        <w:t xml:space="preserve"> </w:t>
      </w:r>
      <w:r w:rsidR="00622B93" w:rsidRPr="007F15CF">
        <w:t xml:space="preserve">of </w:t>
      </w:r>
      <w:r w:rsidR="00FB47A6">
        <w:t>firms that adopted IFRS</w:t>
      </w:r>
      <w:r w:rsidR="00580BC9">
        <w:t xml:space="preserve"> early,</w:t>
      </w:r>
      <w:r w:rsidR="00FB47A6">
        <w:t xml:space="preserve"> to those that waited until IFRS was mandatory.</w:t>
      </w:r>
      <w:r w:rsidR="00F20CA9">
        <w:rPr>
          <w:rStyle w:val="FootnoteReference"/>
        </w:rPr>
        <w:footnoteReference w:id="2"/>
      </w:r>
      <w:r w:rsidR="00FB47A6">
        <w:t xml:space="preserve"> </w:t>
      </w:r>
      <w:r w:rsidR="00622B93" w:rsidRPr="007F15CF">
        <w:t xml:space="preserve"> While it was mandatory for </w:t>
      </w:r>
      <w:r w:rsidR="0092409B">
        <w:t>New Zealand</w:t>
      </w:r>
      <w:r w:rsidR="00622B93" w:rsidRPr="007F15CF">
        <w:t xml:space="preserve"> firms to adopt IFRS for periods beginning on </w:t>
      </w:r>
      <w:r w:rsidR="00622B93">
        <w:t>or after 1 January 2007, early adoption was allowed from</w:t>
      </w:r>
      <w:r w:rsidR="00622B93" w:rsidRPr="007F15CF">
        <w:t xml:space="preserve"> 1 January 2005.</w:t>
      </w:r>
      <w:r w:rsidR="00FA58D7">
        <w:rPr>
          <w:rStyle w:val="FootnoteReference"/>
        </w:rPr>
        <w:footnoteReference w:id="3"/>
      </w:r>
      <w:r w:rsidR="00622B93" w:rsidRPr="007F15CF">
        <w:t xml:space="preserve"> </w:t>
      </w:r>
    </w:p>
    <w:p w:rsidR="00C4767E" w:rsidRDefault="00C4767E" w:rsidP="00C4767E">
      <w:pPr>
        <w:pStyle w:val="manuscript"/>
      </w:pPr>
      <w:r w:rsidRPr="00660BA3">
        <w:t>The analysis comprises two parts.</w:t>
      </w:r>
      <w:r>
        <w:t xml:space="preserve"> First, a survey is used to</w:t>
      </w:r>
      <w:r w:rsidRPr="00C4767E">
        <w:t xml:space="preserve"> </w:t>
      </w:r>
      <w:r>
        <w:t>identify</w:t>
      </w:r>
      <w:r w:rsidRPr="007F15CF">
        <w:t xml:space="preserve"> the </w:t>
      </w:r>
      <w:r>
        <w:t xml:space="preserve">benefits and costs of implementing IFRS and </w:t>
      </w:r>
      <w:r w:rsidR="00062F5D">
        <w:t xml:space="preserve">to </w:t>
      </w:r>
      <w:r>
        <w:t xml:space="preserve">examine contracting incentives </w:t>
      </w:r>
      <w:r w:rsidR="006D77E5">
        <w:t>for</w:t>
      </w:r>
      <w:r>
        <w:t xml:space="preserve"> accounting choice. Second, follow up interviews involving open-ended questions</w:t>
      </w:r>
      <w:r w:rsidR="006D77E5">
        <w:t xml:space="preserve"> </w:t>
      </w:r>
      <w:r>
        <w:t>explore additional motivations for accounting choice.</w:t>
      </w:r>
      <w:r w:rsidRPr="00FA58D7">
        <w:t xml:space="preserve"> </w:t>
      </w:r>
    </w:p>
    <w:p w:rsidR="00C4767E" w:rsidRDefault="006D77E5">
      <w:pPr>
        <w:pStyle w:val="manuscript"/>
      </w:pPr>
      <w:r>
        <w:t xml:space="preserve">The adoption timing decision is predominantly an active choice (i.e., deliberate) for both early and late adopters, rather than passive compliance with imposed requirements (e.g., by parent companies or legislation). There is </w:t>
      </w:r>
      <w:r w:rsidR="00C4767E">
        <w:t>a</w:t>
      </w:r>
      <w:r w:rsidR="00C4767E" w:rsidRPr="007F15CF">
        <w:t xml:space="preserve"> significant difference between </w:t>
      </w:r>
      <w:r w:rsidR="00C4767E">
        <w:t xml:space="preserve">early adopters and late adopters in </w:t>
      </w:r>
      <w:r w:rsidR="00C4767E" w:rsidRPr="007F15CF">
        <w:t xml:space="preserve">three of </w:t>
      </w:r>
      <w:r w:rsidR="00C4767E" w:rsidRPr="007F15CF">
        <w:lastRenderedPageBreak/>
        <w:t xml:space="preserve">nine expected benefits </w:t>
      </w:r>
      <w:r w:rsidR="00C4767E">
        <w:t xml:space="preserve">and in one of six </w:t>
      </w:r>
      <w:r>
        <w:t xml:space="preserve">cost </w:t>
      </w:r>
      <w:r w:rsidR="00C4767E">
        <w:t>measures. Given the emphasis on the economic consequences of accounting in the literature and the significant impact of IFRS on financial reports,</w:t>
      </w:r>
      <w:r w:rsidR="00C4767E" w:rsidRPr="005853FA">
        <w:t xml:space="preserve"> </w:t>
      </w:r>
      <w:r w:rsidR="00C4767E">
        <w:t xml:space="preserve">it is surprising that </w:t>
      </w:r>
      <w:r>
        <w:t>only 46 percent of the</w:t>
      </w:r>
      <w:r w:rsidR="00C4767E">
        <w:t xml:space="preserve"> sample give the financial statement impact as their reason for </w:t>
      </w:r>
      <w:r>
        <w:t>early o</w:t>
      </w:r>
      <w:r w:rsidR="00A0036E">
        <w:t>r</w:t>
      </w:r>
      <w:r>
        <w:t xml:space="preserve"> late adoption of IFRS. We use content analysis of the interview transcripts to identify alternative explanations for accounting choice.</w:t>
      </w:r>
      <w:r w:rsidR="00C4767E">
        <w:t xml:space="preserve"> These include perceptions as to whether firms are market leaders or followers; the degree of uncertainty that surrounded the IFRS </w:t>
      </w:r>
      <w:r w:rsidR="00F026AC">
        <w:t>‘</w:t>
      </w:r>
      <w:r w:rsidR="00C4767E">
        <w:t>stable platform</w:t>
      </w:r>
      <w:r w:rsidR="00F026AC">
        <w:t>’</w:t>
      </w:r>
      <w:r w:rsidR="00C4767E">
        <w:t xml:space="preserve">; and delaying adoption in order to </w:t>
      </w:r>
      <w:r w:rsidR="00C4767E" w:rsidRPr="007F15CF">
        <w:t>leverag</w:t>
      </w:r>
      <w:r w:rsidR="00C4767E">
        <w:t>e</w:t>
      </w:r>
      <w:r w:rsidR="00C4767E" w:rsidRPr="007F15CF">
        <w:t xml:space="preserve"> off the experience of </w:t>
      </w:r>
      <w:r w:rsidR="00C4767E">
        <w:t>early</w:t>
      </w:r>
      <w:r w:rsidR="00C4767E" w:rsidRPr="007F15CF">
        <w:t xml:space="preserve"> adopters. </w:t>
      </w:r>
    </w:p>
    <w:p w:rsidR="005C448B" w:rsidRDefault="0028369F" w:rsidP="008149D4">
      <w:pPr>
        <w:pStyle w:val="manuscript"/>
      </w:pPr>
      <w:r>
        <w:t>The paper makes several contributions to the literature.</w:t>
      </w:r>
      <w:r w:rsidR="00DC2B5C">
        <w:t xml:space="preserve"> First, </w:t>
      </w:r>
      <w:r w:rsidR="00DC6930">
        <w:t xml:space="preserve">the study uses the adoption of IFRS to test contracting costs </w:t>
      </w:r>
      <w:r w:rsidR="00C307AE">
        <w:t xml:space="preserve">explanations for </w:t>
      </w:r>
      <w:r w:rsidR="00DC2B5C">
        <w:t>accounting cho</w:t>
      </w:r>
      <w:r w:rsidR="00DC6930">
        <w:t>ice</w:t>
      </w:r>
      <w:r w:rsidR="00DC2B5C">
        <w:t xml:space="preserve">. </w:t>
      </w:r>
      <w:r w:rsidR="00C307AE">
        <w:t>I</w:t>
      </w:r>
      <w:r w:rsidR="00DC6930">
        <w:t>t contributes to this literature by examining the choice of multiple accounting policies.</w:t>
      </w:r>
      <w:r w:rsidR="00DC6930">
        <w:rPr>
          <w:rStyle w:val="FootnoteReference"/>
        </w:rPr>
        <w:footnoteReference w:id="4"/>
      </w:r>
      <w:r w:rsidR="00DC6930">
        <w:t xml:space="preserve"> </w:t>
      </w:r>
      <w:r w:rsidR="00DC2B5C">
        <w:t xml:space="preserve">The adoption of IFRS </w:t>
      </w:r>
      <w:r w:rsidR="00C307AE">
        <w:t xml:space="preserve">in New Zealand </w:t>
      </w:r>
      <w:r w:rsidR="00DC2B5C">
        <w:t xml:space="preserve">is a relevant issue to examine because of the significant impact on financial statements across a range of accounting issues (Stent, Bradbury and Hooks, 2010). </w:t>
      </w:r>
    </w:p>
    <w:p w:rsidR="00D4701D" w:rsidRDefault="00972C40" w:rsidP="008149D4">
      <w:pPr>
        <w:pStyle w:val="manuscript"/>
      </w:pPr>
      <w:r>
        <w:t xml:space="preserve">Second, the survey and interview research design provide a different source of evidence on which to triangulate the results of archival studies. </w:t>
      </w:r>
      <w:r w:rsidR="005B0526">
        <w:t xml:space="preserve"> Different sources of evidence have their own </w:t>
      </w:r>
      <w:r w:rsidR="00633A2E">
        <w:t>comparative</w:t>
      </w:r>
      <w:r w:rsidR="005B0526">
        <w:t xml:space="preserve"> advantages.</w:t>
      </w:r>
      <w:r w:rsidR="005B0526" w:rsidRPr="005B0526">
        <w:rPr>
          <w:rFonts w:asciiTheme="minorHAnsi" w:hAnsiTheme="minorHAnsi"/>
          <w:sz w:val="22"/>
          <w:vertAlign w:val="superscript"/>
        </w:rPr>
        <w:footnoteReference w:id="5"/>
      </w:r>
      <w:r w:rsidR="005B0526" w:rsidRPr="005B0526">
        <w:rPr>
          <w:rFonts w:asciiTheme="minorHAnsi" w:hAnsiTheme="minorHAnsi"/>
          <w:sz w:val="22"/>
        </w:rPr>
        <w:t xml:space="preserve"> </w:t>
      </w:r>
      <w:r w:rsidR="005B0526">
        <w:t>For example, large sample archival studies may not be able to assess which theory best fits the data, because key variables have potential to proxy for multiple theories.</w:t>
      </w:r>
      <w:r w:rsidR="00633A2E">
        <w:t xml:space="preserve"> In the accounting policy choice literature, firm </w:t>
      </w:r>
      <w:proofErr w:type="gramStart"/>
      <w:r w:rsidR="00D4701D">
        <w:t>size can</w:t>
      </w:r>
      <w:proofErr w:type="gramEnd"/>
      <w:r w:rsidR="00633A2E">
        <w:t xml:space="preserve"> proxy for political costs, economies of scale in information pro</w:t>
      </w:r>
      <w:r w:rsidR="00D4701D">
        <w:t xml:space="preserve">duction or firm risk. </w:t>
      </w:r>
      <w:r w:rsidR="0038653B">
        <w:t>Also</w:t>
      </w:r>
      <w:r w:rsidR="00D4701D">
        <w:t>, audit fee</w:t>
      </w:r>
      <w:r w:rsidR="008E2394">
        <w:t>s</w:t>
      </w:r>
      <w:r w:rsidR="00D4701D">
        <w:t xml:space="preserve"> have been used as a </w:t>
      </w:r>
      <w:r w:rsidR="00633A2E">
        <w:t>proxy for the costs of IFRS production (</w:t>
      </w:r>
      <w:r w:rsidR="00D4701D">
        <w:t xml:space="preserve">e.g., </w:t>
      </w:r>
      <w:r w:rsidR="00D4701D" w:rsidRPr="007F15CF">
        <w:t>Griffin</w:t>
      </w:r>
      <w:r w:rsidR="00D4701D">
        <w:t xml:space="preserve">, Lont and Sun, 2009). </w:t>
      </w:r>
      <w:r>
        <w:t xml:space="preserve">Fields </w:t>
      </w:r>
      <w:r w:rsidRPr="006226C1">
        <w:rPr>
          <w:i/>
        </w:rPr>
        <w:t>et al.</w:t>
      </w:r>
      <w:r>
        <w:t xml:space="preserve"> (2001</w:t>
      </w:r>
      <w:r w:rsidR="00107825">
        <w:t>, 301</w:t>
      </w:r>
      <w:r>
        <w:t xml:space="preserve">) call for more ambitious research designs </w:t>
      </w:r>
      <w:r w:rsidR="005C448B">
        <w:lastRenderedPageBreak/>
        <w:t xml:space="preserve">in accounting policy research </w:t>
      </w:r>
      <w:r>
        <w:t xml:space="preserve">and </w:t>
      </w:r>
      <w:r w:rsidR="005C448B">
        <w:t>state</w:t>
      </w:r>
      <w:r w:rsidRPr="00972C40">
        <w:t xml:space="preserve"> that smaller sample sizes can “…complement existing large sample studies and provide greater insight into the underlying causes of the empirically observed effects”.</w:t>
      </w:r>
      <w:r w:rsidR="005C448B">
        <w:t xml:space="preserve"> Indeed, </w:t>
      </w:r>
      <w:proofErr w:type="spellStart"/>
      <w:r w:rsidR="005C448B">
        <w:t>Schipper</w:t>
      </w:r>
      <w:proofErr w:type="spellEnd"/>
      <w:r w:rsidR="005C448B">
        <w:t xml:space="preserve"> (2010) suggests that survey research may be the best way to access cost information on accounting choice.</w:t>
      </w:r>
      <w:r w:rsidR="005B0526">
        <w:t xml:space="preserve"> </w:t>
      </w:r>
    </w:p>
    <w:p w:rsidR="00DC2B5C" w:rsidRDefault="005C448B" w:rsidP="008149D4">
      <w:pPr>
        <w:pStyle w:val="manuscript"/>
      </w:pPr>
      <w:r>
        <w:t>Third, the</w:t>
      </w:r>
      <w:r w:rsidR="00883507">
        <w:t xml:space="preserve"> use of</w:t>
      </w:r>
      <w:r>
        <w:t xml:space="preserve"> open-ended </w:t>
      </w:r>
      <w:r w:rsidR="00A10272">
        <w:t>interviews provide</w:t>
      </w:r>
      <w:r w:rsidR="00883507">
        <w:t>s</w:t>
      </w:r>
      <w:r w:rsidR="00A10272">
        <w:t xml:space="preserve"> </w:t>
      </w:r>
      <w:r w:rsidR="00C56EDA">
        <w:t>potential</w:t>
      </w:r>
      <w:r w:rsidR="00A10272">
        <w:t xml:space="preserve"> </w:t>
      </w:r>
      <w:r w:rsidR="00C56EDA">
        <w:t xml:space="preserve">alternative </w:t>
      </w:r>
      <w:r w:rsidR="00A10272">
        <w:t>explanations of accounting policy cho</w:t>
      </w:r>
      <w:r w:rsidR="00C56EDA">
        <w:t xml:space="preserve">ice than agency and contracting theory. </w:t>
      </w:r>
      <w:r w:rsidR="00883507">
        <w:t>The analysis suggests</w:t>
      </w:r>
      <w:r w:rsidR="00C56EDA">
        <w:t xml:space="preserve"> that concepts of environmental uncertainty (</w:t>
      </w:r>
      <w:proofErr w:type="spellStart"/>
      <w:r w:rsidR="00C56EDA">
        <w:t>Agbejule</w:t>
      </w:r>
      <w:proofErr w:type="spellEnd"/>
      <w:r w:rsidR="00C56EDA">
        <w:t xml:space="preserve">, 2005), tolerance for ambiguity (Faircloth and </w:t>
      </w:r>
      <w:proofErr w:type="spellStart"/>
      <w:r w:rsidR="00C56EDA">
        <w:t>Ricchiute</w:t>
      </w:r>
      <w:proofErr w:type="spellEnd"/>
      <w:r w:rsidR="00C56EDA">
        <w:t xml:space="preserve">, 1981) and network economics (Farrell and </w:t>
      </w:r>
      <w:proofErr w:type="spellStart"/>
      <w:r w:rsidR="00C56EDA">
        <w:t>Saloner</w:t>
      </w:r>
      <w:proofErr w:type="spellEnd"/>
      <w:r w:rsidR="00C56EDA">
        <w:t xml:space="preserve"> 1986, 1987) are worthy avenues for future research in accounting policy choice. </w:t>
      </w:r>
    </w:p>
    <w:p w:rsidR="001D4164" w:rsidRDefault="00C56EDA" w:rsidP="001D4164">
      <w:pPr>
        <w:pStyle w:val="manuscript"/>
      </w:pPr>
      <w:r>
        <w:t xml:space="preserve">Fourth, </w:t>
      </w:r>
      <w:r w:rsidR="00883507">
        <w:t>t</w:t>
      </w:r>
      <w:r>
        <w:t xml:space="preserve">he adoption of IFRS is an important issue in its own right and </w:t>
      </w:r>
      <w:r w:rsidRPr="007F15CF">
        <w:t>has been described as one of the most significant changes in world accounting history (</w:t>
      </w:r>
      <w:proofErr w:type="spellStart"/>
      <w:r w:rsidRPr="007F15CF">
        <w:t>Daske</w:t>
      </w:r>
      <w:proofErr w:type="spellEnd"/>
      <w:r w:rsidR="00883507">
        <w:t xml:space="preserve">, Hail, </w:t>
      </w:r>
      <w:proofErr w:type="spellStart"/>
      <w:r w:rsidR="00883507">
        <w:t>Leuz</w:t>
      </w:r>
      <w:proofErr w:type="spellEnd"/>
      <w:r w:rsidR="00883507">
        <w:t xml:space="preserve"> and Verdi,</w:t>
      </w:r>
      <w:r w:rsidRPr="007F15CF">
        <w:t xml:space="preserve"> </w:t>
      </w:r>
      <w:r w:rsidRPr="00883507">
        <w:t>2008</w:t>
      </w:r>
      <w:r w:rsidRPr="007F15CF">
        <w:t>).</w:t>
      </w:r>
      <w:r w:rsidRPr="00C56EDA">
        <w:t xml:space="preserve"> </w:t>
      </w:r>
      <w:r w:rsidR="00883507">
        <w:t xml:space="preserve">Survey and interview approaches complement capital market studies of IFRS adoption. </w:t>
      </w:r>
      <w:r w:rsidR="001D4164">
        <w:t xml:space="preserve">Christensen, Hail and </w:t>
      </w:r>
      <w:proofErr w:type="spellStart"/>
      <w:r w:rsidR="001D4164">
        <w:t>Leuz</w:t>
      </w:r>
      <w:proofErr w:type="spellEnd"/>
      <w:r w:rsidR="001D4164">
        <w:t xml:space="preserve"> (2013) note that while the capital market effects of IFRS adoption have been extensively studied, the sources of this effect are not yet well understood. </w:t>
      </w:r>
      <w:r w:rsidR="00D4122A">
        <w:t xml:space="preserve"> </w:t>
      </w:r>
      <w:r w:rsidR="001D4164">
        <w:t xml:space="preserve">For example, capital market studies examine only the net impact of IFRS. In our survey and interview approach we address the issue of both costs and benefits.  Further, </w:t>
      </w:r>
      <w:proofErr w:type="spellStart"/>
      <w:r w:rsidR="001D4164">
        <w:t>Tsalavoutas</w:t>
      </w:r>
      <w:proofErr w:type="spellEnd"/>
      <w:r w:rsidR="00883507">
        <w:t xml:space="preserve"> </w:t>
      </w:r>
      <w:r w:rsidR="00883507" w:rsidRPr="00770CFD">
        <w:rPr>
          <w:i/>
        </w:rPr>
        <w:t>et al.</w:t>
      </w:r>
      <w:r w:rsidR="001D4164">
        <w:t xml:space="preserve"> (2012) and </w:t>
      </w:r>
      <w:proofErr w:type="spellStart"/>
      <w:r w:rsidR="001D4164">
        <w:t>Guerreiro</w:t>
      </w:r>
      <w:proofErr w:type="spellEnd"/>
      <w:r w:rsidR="001D4164">
        <w:t>, Rodrigues and Craig (2012) emphasise the need for more in-depth, single institutional setting studies on IFRS adoption.</w:t>
      </w:r>
    </w:p>
    <w:p w:rsidR="00A524AD" w:rsidRPr="007F15CF" w:rsidRDefault="0075599E" w:rsidP="001E6749">
      <w:pPr>
        <w:pStyle w:val="manuscript"/>
      </w:pPr>
      <w:r>
        <w:t xml:space="preserve">The </w:t>
      </w:r>
      <w:r w:rsidR="001D4164">
        <w:t xml:space="preserve">adoption of IFRS is </w:t>
      </w:r>
      <w:r>
        <w:t xml:space="preserve">still a major professional issue. For example, it is </w:t>
      </w:r>
      <w:r w:rsidR="001D4164">
        <w:t xml:space="preserve">currently a standing agenda item on the IFRS Advisory Council. </w:t>
      </w:r>
      <w:r w:rsidR="00A67617">
        <w:t xml:space="preserve">Evidence on the benefits and costs of IFRS adoption is useful for standard setters and regulators that have </w:t>
      </w:r>
      <w:r w:rsidR="006615AC">
        <w:t xml:space="preserve">not </w:t>
      </w:r>
      <w:r w:rsidR="00A67617">
        <w:t>already adopted IFRS</w:t>
      </w:r>
      <w:r w:rsidR="006615AC">
        <w:t>.</w:t>
      </w:r>
      <w:r w:rsidR="00737F37">
        <w:t xml:space="preserve"> </w:t>
      </w:r>
      <w:proofErr w:type="gramStart"/>
      <w:r w:rsidR="00737F37">
        <w:t>Christensen</w:t>
      </w:r>
      <w:r w:rsidR="006615AC">
        <w:t xml:space="preserve">, Lee and </w:t>
      </w:r>
      <w:r w:rsidR="006615AC">
        <w:lastRenderedPageBreak/>
        <w:t>Walker</w:t>
      </w:r>
      <w:r w:rsidR="00737F37">
        <w:t xml:space="preserve"> (2007) show that the results of IFRS ad</w:t>
      </w:r>
      <w:r w:rsidR="006A4387">
        <w:t xml:space="preserve">option in one economy provide </w:t>
      </w:r>
      <w:r w:rsidR="00737F37">
        <w:t>useful accounting policy information for another jurisdiction.</w:t>
      </w:r>
      <w:proofErr w:type="gramEnd"/>
    </w:p>
    <w:p w:rsidR="00546925" w:rsidRDefault="00805D16">
      <w:pPr>
        <w:pStyle w:val="manuscript"/>
      </w:pPr>
      <w:r w:rsidRPr="007F15CF">
        <w:t xml:space="preserve">The next section </w:t>
      </w:r>
      <w:r w:rsidR="006615AC">
        <w:t xml:space="preserve">provides background </w:t>
      </w:r>
      <w:r w:rsidR="009A2407" w:rsidRPr="00B10AC4">
        <w:t xml:space="preserve">literature that covers the institutional </w:t>
      </w:r>
      <w:r w:rsidR="00D44D81" w:rsidRPr="00B53B2B">
        <w:t>setting</w:t>
      </w:r>
      <w:r w:rsidR="00B10AC4" w:rsidRPr="00B10AC4">
        <w:t xml:space="preserve"> </w:t>
      </w:r>
      <w:r w:rsidR="009A2407" w:rsidRPr="00B10AC4">
        <w:t>and the survey evidence on IFRS adoption.</w:t>
      </w:r>
      <w:r w:rsidRPr="00B10AC4">
        <w:t xml:space="preserve"> </w:t>
      </w:r>
      <w:r w:rsidR="00016FE9" w:rsidRPr="00B10AC4">
        <w:t xml:space="preserve">We then </w:t>
      </w:r>
      <w:r w:rsidR="00D44D81">
        <w:t xml:space="preserve">report the hypotheses, </w:t>
      </w:r>
      <w:r w:rsidR="00135271">
        <w:t xml:space="preserve">the </w:t>
      </w:r>
      <w:r w:rsidR="00D44D81">
        <w:t>method</w:t>
      </w:r>
      <w:r w:rsidR="00135271">
        <w:t xml:space="preserve"> and</w:t>
      </w:r>
      <w:r w:rsidR="00D44D81">
        <w:t xml:space="preserve"> data</w:t>
      </w:r>
      <w:r w:rsidR="00135271">
        <w:t>,</w:t>
      </w:r>
      <w:r w:rsidR="00016FE9" w:rsidRPr="007F15CF">
        <w:t xml:space="preserve"> </w:t>
      </w:r>
      <w:r w:rsidR="0053727E" w:rsidRPr="007F15CF">
        <w:t>and results</w:t>
      </w:r>
      <w:r w:rsidR="0053727E">
        <w:t>. The last section is</w:t>
      </w:r>
      <w:r w:rsidR="000726B8" w:rsidRPr="007F15CF">
        <w:t xml:space="preserve"> a</w:t>
      </w:r>
      <w:r w:rsidR="002A7AB1">
        <w:t xml:space="preserve"> discussion</w:t>
      </w:r>
      <w:r w:rsidR="00737F37">
        <w:t xml:space="preserve">. </w:t>
      </w:r>
    </w:p>
    <w:p w:rsidR="009C67CC" w:rsidRPr="008149D4" w:rsidRDefault="00BC5EF8" w:rsidP="00AC6046">
      <w:pPr>
        <w:pStyle w:val="Heading1"/>
      </w:pPr>
      <w:r>
        <w:t>Background l</w:t>
      </w:r>
      <w:r w:rsidR="009C67CC" w:rsidRPr="008149D4">
        <w:t>iterature</w:t>
      </w:r>
    </w:p>
    <w:p w:rsidR="00514841" w:rsidRPr="00AC6046" w:rsidRDefault="00A23A75" w:rsidP="00AC6046">
      <w:pPr>
        <w:pStyle w:val="manuscript"/>
        <w:rPr>
          <w:i/>
        </w:rPr>
      </w:pPr>
      <w:r>
        <w:rPr>
          <w:i/>
        </w:rPr>
        <w:t>2</w:t>
      </w:r>
      <w:r w:rsidR="00AC6046" w:rsidRPr="00AC6046">
        <w:rPr>
          <w:i/>
        </w:rPr>
        <w:t xml:space="preserve">.1. </w:t>
      </w:r>
      <w:r w:rsidR="00805D16" w:rsidRPr="00AC6046">
        <w:rPr>
          <w:i/>
        </w:rPr>
        <w:t xml:space="preserve">Institutional </w:t>
      </w:r>
      <w:r w:rsidR="00BC5EF8">
        <w:rPr>
          <w:i/>
        </w:rPr>
        <w:t>s</w:t>
      </w:r>
      <w:r w:rsidR="009C67CC" w:rsidRPr="00AC6046">
        <w:rPr>
          <w:i/>
        </w:rPr>
        <w:t>etting</w:t>
      </w:r>
      <w:r w:rsidR="00B10AC4">
        <w:rPr>
          <w:i/>
        </w:rPr>
        <w:t xml:space="preserve"> and IFRS</w:t>
      </w:r>
    </w:p>
    <w:p w:rsidR="00514841" w:rsidRDefault="00514841" w:rsidP="008149D4">
      <w:pPr>
        <w:pStyle w:val="manuscript"/>
      </w:pPr>
      <w:r w:rsidRPr="007F15CF">
        <w:t>The</w:t>
      </w:r>
      <w:r w:rsidR="00A23A1E" w:rsidRPr="007F15CF">
        <w:t xml:space="preserve"> </w:t>
      </w:r>
      <w:r w:rsidR="001A53A5">
        <w:t>decision to adopt</w:t>
      </w:r>
      <w:r w:rsidR="00A23A1E" w:rsidRPr="007F15CF">
        <w:t xml:space="preserve"> IFRS in Australia</w:t>
      </w:r>
      <w:r w:rsidRPr="007F15CF">
        <w:t xml:space="preserve"> provided the catalyst for New Zealand’s decision to adopt IFRS </w:t>
      </w:r>
      <w:r w:rsidR="00FB0CF9" w:rsidRPr="007F15CF">
        <w:fldChar w:fldCharType="begin"/>
      </w:r>
      <w:r w:rsidR="00D50403" w:rsidRPr="007F15CF">
        <w:instrText xml:space="preserve"> ADDIN EN.CITE &lt;EndNote&gt;&lt;Cite&gt;&lt;Author&gt;Bradbury&lt;/Author&gt;&lt;Year&gt;2006&lt;/Year&gt;&lt;RecNum&gt;109&lt;/RecNum&gt;&lt;record&gt;&lt;rec-number&gt;109&lt;/rec-number&gt;&lt;ref-type name="Journal Article"&gt;17&lt;/ref-type&gt;&lt;contributors&gt;&lt;authors&gt;&lt;author&gt;M Bradbury  &lt;/author&gt;&lt;author&gt;van Zijl,T&lt;/author&gt;&lt;/authors&gt;&lt;/contributors&gt;&lt;titles&gt;&lt;title&gt;Due Process and the Adoption of IFRS in New Zealand&lt;/title&gt;&lt;secondary-title&gt;Australian Accounting Review&lt;/secondary-title&gt;&lt;/titles&gt;&lt;periodical&gt;&lt;full-title&gt;Australian Accounting Review&lt;/full-title&gt;&lt;/periodical&gt;&lt;pages&gt;86-94&lt;/pages&gt;&lt;volume&gt;16&lt;/volume&gt;&lt;number&gt;39&lt;/number&gt;&lt;keywords&gt;&lt;keyword&gt;IFRS Adoption in New Zealand, standard setting, due process&lt;/keyword&gt;&lt;/keywords&gt;&lt;dates&gt;&lt;year&gt;2006&lt;/year&gt;&lt;pub-dates&gt;&lt;date&gt;July 2006&lt;/date&gt;&lt;/pub-dates&gt;&lt;/dates&gt;&lt;urls&gt;&lt;/urls&gt;&lt;/record&gt;&lt;/Cite&gt;&lt;/EndNote&gt;</w:instrText>
      </w:r>
      <w:r w:rsidR="00FB0CF9" w:rsidRPr="007F15CF">
        <w:fldChar w:fldCharType="separate"/>
      </w:r>
      <w:r w:rsidRPr="007F15CF">
        <w:t xml:space="preserve">(Bradbury </w:t>
      </w:r>
      <w:r w:rsidR="00E814F4" w:rsidRPr="007F15CF">
        <w:t>and</w:t>
      </w:r>
      <w:r w:rsidRPr="007F15CF">
        <w:t xml:space="preserve"> van Zijl, 2006)</w:t>
      </w:r>
      <w:r w:rsidR="00FB0CF9" w:rsidRPr="007F15CF">
        <w:fldChar w:fldCharType="end"/>
      </w:r>
      <w:r w:rsidRPr="007F15CF">
        <w:t>.</w:t>
      </w:r>
      <w:r w:rsidR="00950BDD">
        <w:t xml:space="preserve"> </w:t>
      </w:r>
      <w:r w:rsidR="00E81AED" w:rsidRPr="007F15CF">
        <w:t>T</w:t>
      </w:r>
      <w:r w:rsidRPr="007F15CF">
        <w:t xml:space="preserve">he </w:t>
      </w:r>
      <w:r w:rsidR="00E81AED" w:rsidRPr="007F15CF">
        <w:t xml:space="preserve">New Zealand </w:t>
      </w:r>
      <w:r w:rsidRPr="007F15CF">
        <w:t>A</w:t>
      </w:r>
      <w:r w:rsidR="00E81AED" w:rsidRPr="007F15CF">
        <w:t xml:space="preserve">ccounting </w:t>
      </w:r>
      <w:r w:rsidRPr="007F15CF">
        <w:t>S</w:t>
      </w:r>
      <w:r w:rsidR="00E81AED" w:rsidRPr="007F15CF">
        <w:t xml:space="preserve">tandards </w:t>
      </w:r>
      <w:r w:rsidRPr="007F15CF">
        <w:t>R</w:t>
      </w:r>
      <w:r w:rsidR="00E81AED" w:rsidRPr="007F15CF">
        <w:t xml:space="preserve">eview </w:t>
      </w:r>
      <w:r w:rsidRPr="007F15CF">
        <w:t>B</w:t>
      </w:r>
      <w:r w:rsidR="00E81AED" w:rsidRPr="007F15CF">
        <w:t>oard</w:t>
      </w:r>
      <w:r w:rsidRPr="007F15CF">
        <w:t xml:space="preserve"> and F</w:t>
      </w:r>
      <w:r w:rsidR="00E81AED" w:rsidRPr="007F15CF">
        <w:t xml:space="preserve">inancial </w:t>
      </w:r>
      <w:r w:rsidRPr="007F15CF">
        <w:t>R</w:t>
      </w:r>
      <w:r w:rsidR="00E81AED" w:rsidRPr="007F15CF">
        <w:t xml:space="preserve">eporting </w:t>
      </w:r>
      <w:r w:rsidRPr="007F15CF">
        <w:t>S</w:t>
      </w:r>
      <w:r w:rsidR="00E81AED" w:rsidRPr="007F15CF">
        <w:t xml:space="preserve">tandards </w:t>
      </w:r>
      <w:r w:rsidRPr="007F15CF">
        <w:t>B</w:t>
      </w:r>
      <w:r w:rsidR="00E81AED" w:rsidRPr="007F15CF">
        <w:t>oard</w:t>
      </w:r>
      <w:r w:rsidRPr="007F15CF">
        <w:t xml:space="preserve"> conducted extensive consultations show</w:t>
      </w:r>
      <w:r w:rsidR="00E81AED" w:rsidRPr="007F15CF">
        <w:t>ing</w:t>
      </w:r>
      <w:r w:rsidRPr="007F15CF">
        <w:t xml:space="preserve"> strong support for adopting IFRS</w:t>
      </w:r>
      <w:r w:rsidR="00E81AED" w:rsidRPr="007F15CF">
        <w:t xml:space="preserve"> (Hickey</w:t>
      </w:r>
      <w:r w:rsidR="006A5B38">
        <w:t xml:space="preserve">, Spencer, van </w:t>
      </w:r>
      <w:proofErr w:type="spellStart"/>
      <w:r w:rsidR="006A5B38">
        <w:t>Zijl</w:t>
      </w:r>
      <w:proofErr w:type="spellEnd"/>
      <w:r w:rsidR="006A5B38">
        <w:t xml:space="preserve"> and Perry</w:t>
      </w:r>
      <w:r w:rsidR="0053727E">
        <w:t>,</w:t>
      </w:r>
      <w:r w:rsidR="00E81AED" w:rsidRPr="007F15CF">
        <w:t xml:space="preserve"> </w:t>
      </w:r>
      <w:r w:rsidR="00FB0CF9" w:rsidRPr="007F15CF">
        <w:fldChar w:fldCharType="begin"/>
      </w:r>
      <w:r w:rsidR="00E81AED" w:rsidRPr="007F15CF">
        <w:instrText xml:space="preserve"> ADDIN EN.CITE &lt;EndNote&gt;&lt;Cite ExcludeAuth="1"&gt;&lt;Author&gt;Hickey&lt;/Author&gt;&lt;Year&gt;2003&lt;/Year&gt;&lt;RecNum&gt;72&lt;/RecNum&gt;&lt;record&gt;&lt;rec-number&gt;72&lt;/rec-number&gt;&lt;ref-type name="Journal Article"&gt;17&lt;/ref-type&gt;&lt;contributors&gt;&lt;authors&gt;&lt;author&gt;Liz Hickey&lt;/author&gt;&lt;author&gt;John Spencer&lt;/author&gt;&lt;author&gt;van Zijl, Tony&lt;/author&gt;&lt;author&gt;Joanna Perry&lt;/author&gt;&lt;/authors&gt;&lt;/contributors&gt;&lt;titles&gt;&lt;title&gt;Adoption of IFRS - Background and Process&lt;/title&gt;&lt;secondary-title&gt;Chartered Accountants Journal of New Zealand&lt;/secondary-title&gt;&lt;/titles&gt;&lt;periodical&gt;&lt;full-title&gt;Chartered Accountants Journal of New Zealand&lt;/full-title&gt;&lt;/periodical&gt;&lt;pages&gt;4-7&lt;/pages&gt;&lt;volume&gt;82&lt;/volume&gt;&lt;number&gt;6&lt;/number&gt;&lt;dates&gt;&lt;year&gt;2003&lt;/year&gt;&lt;pub-dates&gt;&lt;date&gt;July 2003&lt;/date&gt;&lt;/pub-dates&gt;&lt;/dates&gt;&lt;urls&gt;&lt;/urls&gt;&lt;/record&gt;&lt;/Cite&gt;&lt;/EndNote&gt;</w:instrText>
      </w:r>
      <w:r w:rsidR="00FB0CF9" w:rsidRPr="007F15CF">
        <w:fldChar w:fldCharType="separate"/>
      </w:r>
      <w:r w:rsidR="00E81AED" w:rsidRPr="007F15CF">
        <w:t>2003</w:t>
      </w:r>
      <w:r w:rsidR="001D6414">
        <w:t>;</w:t>
      </w:r>
      <w:r w:rsidR="00E81AED" w:rsidRPr="007F15CF">
        <w:t xml:space="preserve"> </w:t>
      </w:r>
      <w:r w:rsidR="00FB0CF9" w:rsidRPr="007F15CF">
        <w:fldChar w:fldCharType="end"/>
      </w:r>
      <w:r w:rsidR="00C841EA" w:rsidRPr="007F15CF">
        <w:t xml:space="preserve">Bradbury and van </w:t>
      </w:r>
      <w:proofErr w:type="spellStart"/>
      <w:r w:rsidR="00C841EA" w:rsidRPr="007F15CF">
        <w:t>Zijl</w:t>
      </w:r>
      <w:proofErr w:type="spellEnd"/>
      <w:r w:rsidR="00CA2555">
        <w:t>,</w:t>
      </w:r>
      <w:r w:rsidR="00C841EA" w:rsidRPr="007F15CF">
        <w:t xml:space="preserve"> 2007).</w:t>
      </w:r>
      <w:r w:rsidRPr="007F15CF">
        <w:t xml:space="preserve"> </w:t>
      </w:r>
      <w:r w:rsidR="00805D16" w:rsidRPr="007F15CF">
        <w:t>A</w:t>
      </w:r>
      <w:r w:rsidRPr="007F15CF">
        <w:t xml:space="preserve"> surv</w:t>
      </w:r>
      <w:r w:rsidR="007866F9" w:rsidRPr="007F15CF">
        <w:t xml:space="preserve">ey by </w:t>
      </w:r>
      <w:r w:rsidR="00733B96">
        <w:t>Ernst and Young</w:t>
      </w:r>
      <w:r w:rsidR="007866F9" w:rsidRPr="007F15CF">
        <w:t xml:space="preserve"> (</w:t>
      </w:r>
      <w:r w:rsidRPr="007F15CF">
        <w:t>200</w:t>
      </w:r>
      <w:r w:rsidR="00733B96">
        <w:t>4</w:t>
      </w:r>
      <w:r w:rsidR="007866F9" w:rsidRPr="007F15CF">
        <w:t>)</w:t>
      </w:r>
      <w:r w:rsidRPr="007F15CF">
        <w:t xml:space="preserve"> corroborated the level of support for the adoption of IFRS (88% in favour). </w:t>
      </w:r>
      <w:r w:rsidR="007866F9" w:rsidRPr="007F15CF">
        <w:t>Other</w:t>
      </w:r>
      <w:r w:rsidR="00805D16" w:rsidRPr="007F15CF">
        <w:t xml:space="preserve"> </w:t>
      </w:r>
      <w:r w:rsidR="007866F9" w:rsidRPr="007F15CF">
        <w:t xml:space="preserve">normative </w:t>
      </w:r>
      <w:r w:rsidR="00805D16" w:rsidRPr="007F15CF">
        <w:t>support</w:t>
      </w:r>
      <w:r w:rsidR="007866F9" w:rsidRPr="007F15CF">
        <w:t xml:space="preserve"> for</w:t>
      </w:r>
      <w:r w:rsidR="00805D16" w:rsidRPr="007F15CF">
        <w:t xml:space="preserve"> the </w:t>
      </w:r>
      <w:r w:rsidR="007866F9" w:rsidRPr="007F15CF">
        <w:t xml:space="preserve">proposed </w:t>
      </w:r>
      <w:r w:rsidR="00805D16" w:rsidRPr="007F15CF">
        <w:t xml:space="preserve">move to </w:t>
      </w:r>
      <w:r w:rsidR="007866F9" w:rsidRPr="007F15CF">
        <w:t xml:space="preserve">NZ </w:t>
      </w:r>
      <w:r w:rsidR="00805D16" w:rsidRPr="007F15CF">
        <w:t xml:space="preserve">IFRS </w:t>
      </w:r>
      <w:r w:rsidR="004C1B1B">
        <w:t>i</w:t>
      </w:r>
      <w:r w:rsidR="00C841EA" w:rsidRPr="007F15CF">
        <w:t>s provide</w:t>
      </w:r>
      <w:r w:rsidR="00B60015">
        <w:t>d</w:t>
      </w:r>
      <w:r w:rsidR="00C841EA" w:rsidRPr="007F15CF">
        <w:t xml:space="preserve"> by</w:t>
      </w:r>
      <w:r w:rsidR="00805D16" w:rsidRPr="007F15CF">
        <w:t xml:space="preserve"> </w:t>
      </w:r>
      <w:proofErr w:type="spellStart"/>
      <w:r w:rsidR="00551A4C">
        <w:t>Teixeira</w:t>
      </w:r>
      <w:proofErr w:type="spellEnd"/>
      <w:r w:rsidRPr="007F15CF">
        <w:t xml:space="preserve"> </w:t>
      </w:r>
      <w:r w:rsidR="00E814F4" w:rsidRPr="007F15CF">
        <w:t>and</w:t>
      </w:r>
      <w:r w:rsidRPr="007F15CF">
        <w:t xml:space="preserve"> Pickens </w:t>
      </w:r>
      <w:r w:rsidR="00FB0CF9" w:rsidRPr="007F15CF">
        <w:fldChar w:fldCharType="begin"/>
      </w:r>
      <w:r w:rsidR="00D50403" w:rsidRPr="007F15CF">
        <w:instrText xml:space="preserve"> ADDIN EN.CITE &lt;EndNote&gt;&lt;Cite ExcludeAuth="1"&gt;&lt;Author&gt;Texeira&lt;/Author&gt;&lt;Year&gt;2004&lt;/Year&gt;&lt;RecNum&gt;73&lt;/RecNum&gt;&lt;record&gt;&lt;rec-number&gt;73&lt;/rec-number&gt;&lt;ref-type name="Journal Article"&gt;17&lt;/ref-type&gt;&lt;contributors&gt;&lt;authors&gt;&lt;author&gt;Alan Texeira&lt;/author&gt;&lt;author&gt;David Pickens&lt;/author&gt;&lt;/authors&gt;&lt;/contributors&gt;&lt;titles&gt;&lt;title&gt;Global FRS: Risks and Strategies&lt;/title&gt;&lt;secondary-title&gt;Chartered Accountants Journal of New Zealand&lt;/secondary-title&gt;&lt;/titles&gt;&lt;periodical&gt;&lt;full-title&gt;Chartered Accountants Journal of New Zealand&lt;/full-title&gt;&lt;/periodical&gt;&lt;pages&gt;18-19&lt;/pages&gt;&lt;volume&gt;83&lt;/volume&gt;&lt;number&gt;11&lt;/number&gt;&lt;dates&gt;&lt;year&gt;2004&lt;/year&gt;&lt;pub-dates&gt;&lt;date&gt;December 2004&lt;/date&gt;&lt;/pub-dates&gt;&lt;/dates&gt;&lt;urls&gt;&lt;/urls&gt;&lt;/record&gt;&lt;/Cite&gt;&lt;/EndNote&gt;</w:instrText>
      </w:r>
      <w:r w:rsidR="00FB0CF9" w:rsidRPr="007F15CF">
        <w:fldChar w:fldCharType="separate"/>
      </w:r>
      <w:r w:rsidRPr="007F15CF">
        <w:t>(2004)</w:t>
      </w:r>
      <w:r w:rsidR="00FB0CF9" w:rsidRPr="007F15CF">
        <w:fldChar w:fldCharType="end"/>
      </w:r>
      <w:r w:rsidR="00805D16" w:rsidRPr="007F15CF">
        <w:t xml:space="preserve"> and </w:t>
      </w:r>
      <w:r w:rsidR="00FB0CF9" w:rsidRPr="007F15CF">
        <w:fldChar w:fldCharType="begin"/>
      </w:r>
      <w:r w:rsidR="00D50403" w:rsidRPr="007F15CF">
        <w:instrText xml:space="preserve"> ADDIN EN.CITE &lt;EndNote&gt;&lt;Cite&gt;&lt;Author&gt;Dunstan&lt;/Author&gt;&lt;Year&gt;2002&lt;/Year&gt;&lt;RecNum&gt;19&lt;/RecNum&gt;&lt;record&gt;&lt;rec-number&gt;19&lt;/rec-number&gt;&lt;ref-type name="Report"&gt;27&lt;/ref-type&gt;&lt;contributors&gt;&lt;authors&gt;&lt;author&gt;Dunstan, Keitha L.&lt;/author&gt;&lt;/authors&gt;&lt;/contributors&gt;&lt;titles&gt;&lt;title&gt;The Case for the Use of International Financial Reporting Standards in New Zealand : A Briefing Paper prepared on behalf of the New Zealand Securities Commission&lt;/title&gt;&lt;/titles&gt;&lt;keywords&gt;&lt;keyword&gt;Financial statements -- Standards -- New Zealand&lt;/keyword&gt;&lt;keyword&gt;Accounting -- Standards -- New Zealand&lt;/keyword&gt;&lt;/keywords&gt;&lt;dates&gt;&lt;year&gt;2002&lt;/year&gt;&lt;/dates&gt;&lt;pub-location&gt;Wellington, N.Z.&lt;/pub-location&gt;&lt;publisher&gt;Centre for Accounting Governance and Taxation Research School of Accounting and Commercial Law Victoria University of Wellington&lt;/publisher&gt;&lt;urls&gt;&lt;related-urls&gt;&lt;url&gt;http://www.sec-com.govt.nz/publications/documents/seccom_report.doc&lt;/url&gt;&lt;url&gt;Also available at Available at SSRN: http://ssrn.com/abstract=1281656&lt;/url&gt;&lt;/related-urls&gt;&lt;/urls&gt;&lt;research-notes&gt;IFRS - What, Why, How&lt;/research-notes&gt;&lt;/record&gt;&lt;/Cite&gt;&lt;/EndNote&gt;</w:instrText>
      </w:r>
      <w:r w:rsidR="00FB0CF9" w:rsidRPr="007F15CF">
        <w:fldChar w:fldCharType="separate"/>
      </w:r>
      <w:r w:rsidR="00805D16" w:rsidRPr="007F15CF">
        <w:t>Dunstan</w:t>
      </w:r>
      <w:r w:rsidRPr="007F15CF">
        <w:t xml:space="preserve"> </w:t>
      </w:r>
      <w:r w:rsidR="00805D16" w:rsidRPr="007F15CF">
        <w:t>(</w:t>
      </w:r>
      <w:r w:rsidRPr="007F15CF">
        <w:t>2002)</w:t>
      </w:r>
      <w:r w:rsidR="00FB0CF9" w:rsidRPr="007F15CF">
        <w:fldChar w:fldCharType="end"/>
      </w:r>
      <w:r w:rsidR="00C841EA" w:rsidRPr="007F15CF">
        <w:t>.</w:t>
      </w:r>
      <w:r w:rsidR="007D3BA8" w:rsidRPr="007F15CF">
        <w:t xml:space="preserve"> Pre-adoption estimates of the overall financial statement impact of IFRS </w:t>
      </w:r>
      <w:r w:rsidR="0099081E">
        <w:t>are</w:t>
      </w:r>
      <w:r w:rsidR="0040164C">
        <w:t xml:space="preserve"> reported</w:t>
      </w:r>
      <w:r w:rsidR="007D3BA8" w:rsidRPr="007F15CF">
        <w:t xml:space="preserve"> </w:t>
      </w:r>
      <w:r w:rsidR="007D3BA8" w:rsidRPr="00CA2555">
        <w:t xml:space="preserve">by van </w:t>
      </w:r>
      <w:proofErr w:type="spellStart"/>
      <w:r w:rsidR="007D3BA8" w:rsidRPr="00CA2555">
        <w:t>Zijl</w:t>
      </w:r>
      <w:proofErr w:type="spellEnd"/>
      <w:r w:rsidR="007D3BA8" w:rsidRPr="00CA2555">
        <w:t xml:space="preserve"> </w:t>
      </w:r>
      <w:r w:rsidR="00CA2555" w:rsidRPr="00CA2555">
        <w:t xml:space="preserve">and Walker </w:t>
      </w:r>
      <w:r w:rsidR="0040164C">
        <w:t>(</w:t>
      </w:r>
      <w:r w:rsidR="00CA2555" w:rsidRPr="00CA2555">
        <w:t>2001</w:t>
      </w:r>
      <w:r w:rsidR="007D3BA8" w:rsidRPr="00CA2555">
        <w:t>),</w:t>
      </w:r>
      <w:r w:rsidR="007D3BA8" w:rsidRPr="007F15CF">
        <w:t xml:space="preserve"> </w:t>
      </w:r>
      <w:r w:rsidR="0040164C">
        <w:t xml:space="preserve">while </w:t>
      </w:r>
      <w:r w:rsidR="007D3BA8" w:rsidRPr="007F15CF">
        <w:t>Bishop</w:t>
      </w:r>
      <w:r w:rsidR="005F4150">
        <w:t xml:space="preserve">, Bradbury and van </w:t>
      </w:r>
      <w:proofErr w:type="spellStart"/>
      <w:r w:rsidR="005F4150">
        <w:t>Zijl</w:t>
      </w:r>
      <w:proofErr w:type="spellEnd"/>
      <w:r w:rsidR="007D3BA8" w:rsidRPr="007F15CF">
        <w:t xml:space="preserve"> (</w:t>
      </w:r>
      <w:r w:rsidR="0054319C" w:rsidRPr="007F15CF">
        <w:t>2005</w:t>
      </w:r>
      <w:r w:rsidR="007D3BA8" w:rsidRPr="007F15CF">
        <w:t xml:space="preserve">) examine the </w:t>
      </w:r>
      <w:r w:rsidR="006C3B55">
        <w:t xml:space="preserve">potential </w:t>
      </w:r>
      <w:r w:rsidR="007D3BA8" w:rsidRPr="007F15CF">
        <w:t>im</w:t>
      </w:r>
      <w:r w:rsidR="00CA2555">
        <w:t>pact o</w:t>
      </w:r>
      <w:r w:rsidR="001A53A5">
        <w:t>n</w:t>
      </w:r>
      <w:r w:rsidR="00CA2555">
        <w:t xml:space="preserve"> convertible instruments.</w:t>
      </w:r>
      <w:r w:rsidR="007D3BA8" w:rsidRPr="007F15CF">
        <w:t xml:space="preserve"> </w:t>
      </w:r>
      <w:r w:rsidR="0054319C" w:rsidRPr="007F15CF">
        <w:t>Post-adoption</w:t>
      </w:r>
      <w:r w:rsidR="007866F9" w:rsidRPr="007F15CF">
        <w:t xml:space="preserve"> studies have examined the financial sta</w:t>
      </w:r>
      <w:r w:rsidR="00F729D2">
        <w:t>tement impact of NZ IFRS (</w:t>
      </w:r>
      <w:proofErr w:type="spellStart"/>
      <w:r w:rsidR="00F729D2">
        <w:t>Kabir</w:t>
      </w:r>
      <w:proofErr w:type="spellEnd"/>
      <w:r w:rsidR="00F729D2">
        <w:t>, Laswad and Islam</w:t>
      </w:r>
      <w:r w:rsidR="0053727E">
        <w:t>,</w:t>
      </w:r>
      <w:r w:rsidR="007866F9" w:rsidRPr="007F15CF">
        <w:t xml:space="preserve"> 2010; Stent </w:t>
      </w:r>
      <w:r w:rsidR="007866F9" w:rsidRPr="007F15CF">
        <w:rPr>
          <w:i/>
        </w:rPr>
        <w:t>et al.</w:t>
      </w:r>
      <w:r w:rsidR="0053727E">
        <w:t>,</w:t>
      </w:r>
      <w:r w:rsidR="007866F9" w:rsidRPr="007F15CF">
        <w:t xml:space="preserve"> 2010</w:t>
      </w:r>
      <w:r w:rsidR="00B60015">
        <w:t>;</w:t>
      </w:r>
      <w:r w:rsidR="007866F9" w:rsidRPr="007F15CF">
        <w:t xml:space="preserve"> </w:t>
      </w:r>
      <w:proofErr w:type="spellStart"/>
      <w:r w:rsidR="007866F9" w:rsidRPr="007F15CF">
        <w:t>Morunga</w:t>
      </w:r>
      <w:proofErr w:type="spellEnd"/>
      <w:r w:rsidR="009C67CC" w:rsidRPr="007F15CF">
        <w:t xml:space="preserve"> and Bradbury,</w:t>
      </w:r>
      <w:r w:rsidR="007866F9" w:rsidRPr="007F15CF">
        <w:t xml:space="preserve"> 2012). Indications of the cost of IFRS have been reported by </w:t>
      </w:r>
      <w:proofErr w:type="spellStart"/>
      <w:r w:rsidR="007866F9" w:rsidRPr="007F15CF">
        <w:t>PriceWaterhouseCoopers</w:t>
      </w:r>
      <w:proofErr w:type="spellEnd"/>
      <w:r w:rsidR="007866F9" w:rsidRPr="007F15CF">
        <w:t xml:space="preserve"> </w:t>
      </w:r>
      <w:r w:rsidR="00FB0CF9" w:rsidRPr="007F15CF">
        <w:fldChar w:fldCharType="begin"/>
      </w:r>
      <w:r w:rsidR="007866F9" w:rsidRPr="007F15CF">
        <w:instrText xml:space="preserve"> ADDIN EN.CITE &lt;EndNote&gt;&lt;Cite ExcludeAuth="1"&gt;&lt;Author&gt;PriceWaterhouseCoopers&lt;/Author&gt;&lt;Year&gt;2006&lt;/Year&gt;&lt;RecNum&gt;79&lt;/RecNum&gt;&lt;record&gt;&lt;rec-number&gt;79&lt;/rec-number&gt;&lt;ref-type name="Audiovisual Material"&gt;3&lt;/ref-type&gt;&lt;contributors&gt;&lt;authors&gt;&lt;author&gt;PriceWaterhouseCoopers&lt;/author&gt;&lt;/authors&gt;&lt;/contributors&gt;&lt;titles&gt;&lt;title&gt;New Zealand 2006 Corporate Issues Report&lt;/title&gt;&lt;/titles&gt;&lt;dates&gt;&lt;year&gt;2006&lt;/year&gt;&lt;pub-dates&gt;&lt;date&gt;2006&lt;/date&gt;&lt;/pub-dates&gt;&lt;/dates&gt;&lt;urls&gt;&lt;/urls&gt;&lt;/record&gt;&lt;/Cite&gt;&lt;/EndNote&gt;</w:instrText>
      </w:r>
      <w:r w:rsidR="00FB0CF9" w:rsidRPr="007F15CF">
        <w:fldChar w:fldCharType="separate"/>
      </w:r>
      <w:r w:rsidR="007866F9" w:rsidRPr="007F15CF">
        <w:t>(2006)</w:t>
      </w:r>
      <w:r w:rsidR="00FB0CF9" w:rsidRPr="007F15CF">
        <w:fldChar w:fldCharType="end"/>
      </w:r>
      <w:r w:rsidR="007866F9" w:rsidRPr="007F15CF">
        <w:t xml:space="preserve"> and Griffin</w:t>
      </w:r>
      <w:r w:rsidR="00893AF7">
        <w:t xml:space="preserve"> </w:t>
      </w:r>
      <w:r w:rsidR="00893AF7" w:rsidRPr="00770CFD">
        <w:rPr>
          <w:i/>
        </w:rPr>
        <w:t>et al</w:t>
      </w:r>
      <w:r w:rsidR="00893AF7">
        <w:t xml:space="preserve">. </w:t>
      </w:r>
      <w:r w:rsidR="00FB0CF9" w:rsidRPr="007F15CF">
        <w:fldChar w:fldCharType="begin"/>
      </w:r>
      <w:r w:rsidR="007866F9" w:rsidRPr="007F15CF">
        <w:instrText xml:space="preserve"> ADDIN EN.CITE &lt;EndNote&gt;&lt;Cite ExcludeAuth="1"&gt;&lt;Author&gt;Griffin&lt;/Author&gt;&lt;Year&gt;2009&lt;/Year&gt;&lt;RecNum&gt;210&lt;/RecNum&gt;&lt;record&gt;&lt;rec-number&gt;210&lt;/rec-number&gt;&lt;ref-type name="Journal Article"&gt;17&lt;/ref-type&gt;&lt;contributors&gt;&lt;authors&gt;&lt;author&gt;Griffin, Paul A.&lt;/author&gt;&lt;author&gt;Lont, David H.&lt;/author&gt;&lt;author&gt;Sun, Yuan&lt;/author&gt;&lt;/authors&gt;&lt;/contributors&gt;&lt;titles&gt;&lt;title&gt;Governance Regulatory Changes, International Financial Reporting Standards Adoption, and New Zealand Audit and Non-Audit Fees: Empirical Evidence&lt;/title&gt;&lt;secondary-title&gt;Accounting and Finance&lt;/secondary-title&gt;&lt;/titles&gt;&lt;periodical&gt;&lt;full-title&gt;Accounting and Finance&lt;/full-title&gt;&lt;/periodical&gt;&lt;pages&gt;697 - 724&lt;/pages&gt;&lt;volume&gt;49&lt;/volume&gt;&lt;number&gt;4&lt;/number&gt;&lt;dates&gt;&lt;year&gt;2009&lt;/year&gt;&lt;pub-dates&gt;&lt;date&gt;December&lt;/date&gt;&lt;/pub-dates&gt;&lt;/dates&gt;&lt;publisher&gt;Wiley-Blackwell&lt;/publisher&gt;&lt;call-num&gt;English&lt;/call-num&gt;&lt;urls&gt;&lt;related-urls&gt;&lt;url&gt;http://ssrn.com/paper=1512867 &lt;/url&gt;&lt;/related-urls&gt;&lt;/urls&gt;&lt;electronic-resource-num&gt;10.1111/j.1467-629X.2009.00310.x&lt;/electronic-resource-num&gt;&lt;research-notes&gt;Impact of IFRS&lt;/research-notes&gt;&lt;/record&gt;&lt;/Cite&gt;&lt;/EndNote&gt;</w:instrText>
      </w:r>
      <w:r w:rsidR="00FB0CF9" w:rsidRPr="007F15CF">
        <w:fldChar w:fldCharType="separate"/>
      </w:r>
      <w:r w:rsidR="007866F9" w:rsidRPr="007F15CF">
        <w:t>(2009)</w:t>
      </w:r>
      <w:r w:rsidR="00FB0CF9" w:rsidRPr="007F15CF">
        <w:fldChar w:fldCharType="end"/>
      </w:r>
      <w:r w:rsidR="007866F9" w:rsidRPr="007F15CF">
        <w:t xml:space="preserve">. The </w:t>
      </w:r>
      <w:proofErr w:type="spellStart"/>
      <w:r w:rsidR="007866F9" w:rsidRPr="007F15CF">
        <w:t>PriceWaterhouseCoopers</w:t>
      </w:r>
      <w:proofErr w:type="spellEnd"/>
      <w:r w:rsidR="007866F9" w:rsidRPr="007F15CF">
        <w:t xml:space="preserve"> </w:t>
      </w:r>
      <w:r w:rsidR="00FB0CF9" w:rsidRPr="007F15CF">
        <w:fldChar w:fldCharType="begin"/>
      </w:r>
      <w:r w:rsidR="007866F9" w:rsidRPr="007F15CF">
        <w:instrText xml:space="preserve"> ADDIN EN.CITE &lt;EndNote&gt;&lt;Cite ExcludeAuth="1"&gt;&lt;Author&gt;PriceWaterhouseCoopers&lt;/Author&gt;&lt;Year&gt;2006&lt;/Year&gt;&lt;RecNum&gt;79&lt;/RecNum&gt;&lt;record&gt;&lt;rec-number&gt;79&lt;/rec-number&gt;&lt;ref-type name="Audiovisual Material"&gt;3&lt;/ref-type&gt;&lt;contributors&gt;&lt;authors&gt;&lt;author&gt;PriceWaterhouseCoopers&lt;/author&gt;&lt;/authors&gt;&lt;/contributors&gt;&lt;titles&gt;&lt;title&gt;New Zealand 2006 Corporate Issues Report&lt;/title&gt;&lt;/titles&gt;&lt;dates&gt;&lt;year&gt;2006&lt;/year&gt;&lt;pub-dates&gt;&lt;date&gt;2006&lt;/date&gt;&lt;/pub-dates&gt;&lt;/dates&gt;&lt;urls&gt;&lt;/urls&gt;&lt;/record&gt;&lt;/Cite&gt;&lt;/EndNote&gt;</w:instrText>
      </w:r>
      <w:r w:rsidR="00FB0CF9" w:rsidRPr="007F15CF">
        <w:fldChar w:fldCharType="separate"/>
      </w:r>
      <w:r w:rsidR="007866F9" w:rsidRPr="007F15CF">
        <w:t>(2006)</w:t>
      </w:r>
      <w:r w:rsidR="00FB0CF9" w:rsidRPr="007F15CF">
        <w:fldChar w:fldCharType="end"/>
      </w:r>
      <w:r w:rsidR="007866F9" w:rsidRPr="007F15CF">
        <w:t xml:space="preserve"> survey of senior executives indicate</w:t>
      </w:r>
      <w:r w:rsidR="007052CC">
        <w:t>d</w:t>
      </w:r>
      <w:r w:rsidR="007866F9" w:rsidRPr="007F15CF">
        <w:t xml:space="preserve"> that only 14% of respondents were convinced that benefits</w:t>
      </w:r>
      <w:r w:rsidR="00893AF7">
        <w:t xml:space="preserve"> </w:t>
      </w:r>
      <w:r w:rsidR="00893AF7" w:rsidRPr="007F15CF">
        <w:t xml:space="preserve">(comparability and </w:t>
      </w:r>
      <w:r w:rsidR="00893AF7">
        <w:t>consistency)</w:t>
      </w:r>
      <w:r w:rsidR="007866F9" w:rsidRPr="007F15CF">
        <w:t xml:space="preserve"> would aris</w:t>
      </w:r>
      <w:r w:rsidR="009C67CC" w:rsidRPr="007F15CF">
        <w:t xml:space="preserve">e </w:t>
      </w:r>
      <w:r w:rsidR="00893AF7">
        <w:t>from</w:t>
      </w:r>
      <w:r w:rsidR="009C67CC" w:rsidRPr="007F15CF">
        <w:t xml:space="preserve"> IFRS adoption</w:t>
      </w:r>
      <w:r w:rsidR="00893AF7">
        <w:t>,</w:t>
      </w:r>
      <w:r w:rsidR="007866F9" w:rsidRPr="007F15CF">
        <w:t xml:space="preserve"> whereas 38% </w:t>
      </w:r>
      <w:r w:rsidR="005B1385">
        <w:t>had a negative view</w:t>
      </w:r>
      <w:r w:rsidR="007866F9" w:rsidRPr="007F15CF">
        <w:t xml:space="preserve"> (</w:t>
      </w:r>
      <w:r w:rsidR="00893AF7">
        <w:t>stating</w:t>
      </w:r>
      <w:r w:rsidR="007866F9" w:rsidRPr="007F15CF">
        <w:t xml:space="preserve"> that IFRS was </w:t>
      </w:r>
      <w:r w:rsidR="007866F9" w:rsidRPr="007F15CF">
        <w:lastRenderedPageBreak/>
        <w:t xml:space="preserve">inappropriate to their firm or industry </w:t>
      </w:r>
      <w:r w:rsidR="009C67CC" w:rsidRPr="007F15CF">
        <w:t>or</w:t>
      </w:r>
      <w:r w:rsidR="007866F9" w:rsidRPr="007F15CF">
        <w:t xml:space="preserve"> added considerable cost and complexity). </w:t>
      </w:r>
      <w:r w:rsidRPr="007F15CF">
        <w:t xml:space="preserve">Griffin </w:t>
      </w:r>
      <w:r w:rsidRPr="00770CFD">
        <w:rPr>
          <w:i/>
        </w:rPr>
        <w:t>et al</w:t>
      </w:r>
      <w:r w:rsidRPr="00FF3BCB">
        <w:t>.</w:t>
      </w:r>
      <w:r w:rsidR="0053727E" w:rsidRPr="00893AF7">
        <w:t>,</w:t>
      </w:r>
      <w:r w:rsidRPr="007F15CF">
        <w:t xml:space="preserve"> </w:t>
      </w:r>
      <w:r w:rsidR="00FB0CF9" w:rsidRPr="007F15CF">
        <w:fldChar w:fldCharType="begin"/>
      </w:r>
      <w:r w:rsidR="00D50403" w:rsidRPr="007F15CF">
        <w:instrText xml:space="preserve"> ADDIN EN.CITE &lt;EndNote&gt;&lt;Cite ExcludeAuth="1"&gt;&lt;Author&gt;Griffin&lt;/Author&gt;&lt;Year&gt;2009&lt;/Year&gt;&lt;RecNum&gt;210&lt;/RecNum&gt;&lt;record&gt;&lt;rec-number&gt;210&lt;/rec-number&gt;&lt;ref-type name="Journal Article"&gt;17&lt;/ref-type&gt;&lt;contributors&gt;&lt;authors&gt;&lt;author&gt;Griffin, Paul A.&lt;/author&gt;&lt;author&gt;Lont, David H.&lt;/author&gt;&lt;author&gt;Sun, Yuan&lt;/author&gt;&lt;/authors&gt;&lt;/contributors&gt;&lt;titles&gt;&lt;title&gt;Governance Regulatory Changes, International Financial Reporting Standards Adoption, and New Zealand Audit and Non-Audit Fees: Empirical Evidence&lt;/title&gt;&lt;secondary-title&gt;Accounting and Finance&lt;/secondary-title&gt;&lt;/titles&gt;&lt;periodical&gt;&lt;full-title&gt;Accounting and Finance&lt;/full-title&gt;&lt;/periodical&gt;&lt;pages&gt;697 - 724&lt;/pages&gt;&lt;volume&gt;49&lt;/volume&gt;&lt;number&gt;4&lt;/number&gt;&lt;dates&gt;&lt;year&gt;2009&lt;/year&gt;&lt;pub-dates&gt;&lt;date&gt;December&lt;/date&gt;&lt;/pub-dates&gt;&lt;/dates&gt;&lt;publisher&gt;Wiley-Blackwell&lt;/publisher&gt;&lt;call-num&gt;English&lt;/call-num&gt;&lt;urls&gt;&lt;related-urls&gt;&lt;url&gt;http://ssrn.com/paper=1512867 &lt;/url&gt;&lt;/related-urls&gt;&lt;/urls&gt;&lt;electronic-resource-num&gt;10.1111/j.1467-629X.2009.00310.x&lt;/electronic-resource-num&gt;&lt;research-notes&gt;Impact of IFRS&lt;/research-notes&gt;&lt;/record&gt;&lt;/Cite&gt;&lt;/EndNote&gt;</w:instrText>
      </w:r>
      <w:r w:rsidR="00FB0CF9" w:rsidRPr="007F15CF">
        <w:fldChar w:fldCharType="separate"/>
      </w:r>
      <w:r w:rsidRPr="007F15CF">
        <w:t>(2009)</w:t>
      </w:r>
      <w:r w:rsidR="00FB0CF9" w:rsidRPr="007F15CF">
        <w:fldChar w:fldCharType="end"/>
      </w:r>
      <w:r w:rsidRPr="007F15CF">
        <w:t xml:space="preserve"> find an increase in audit fees over 2002 – 2006</w:t>
      </w:r>
      <w:r w:rsidR="00AF690C" w:rsidRPr="007F15CF">
        <w:t xml:space="preserve">, which they associate </w:t>
      </w:r>
      <w:r w:rsidRPr="007F15CF">
        <w:t>with IFRS adoption.</w:t>
      </w:r>
    </w:p>
    <w:p w:rsidR="00CE6B38" w:rsidRDefault="00A23A75" w:rsidP="00B53B2B">
      <w:pPr>
        <w:pStyle w:val="manuscript"/>
        <w:keepNext/>
        <w:rPr>
          <w:i/>
        </w:rPr>
      </w:pPr>
      <w:r>
        <w:rPr>
          <w:i/>
        </w:rPr>
        <w:t>2</w:t>
      </w:r>
      <w:r w:rsidR="00AC6046">
        <w:rPr>
          <w:i/>
        </w:rPr>
        <w:t xml:space="preserve">.2. </w:t>
      </w:r>
      <w:r w:rsidR="00BC5EF8">
        <w:rPr>
          <w:i/>
        </w:rPr>
        <w:t>Survey s</w:t>
      </w:r>
      <w:r w:rsidR="00CA2555">
        <w:rPr>
          <w:i/>
        </w:rPr>
        <w:t>tudi</w:t>
      </w:r>
      <w:r w:rsidR="00BC5EF8">
        <w:rPr>
          <w:i/>
        </w:rPr>
        <w:t>es relating t</w:t>
      </w:r>
      <w:r w:rsidR="00691971" w:rsidRPr="00AC6046">
        <w:rPr>
          <w:i/>
        </w:rPr>
        <w:t>o IFRS</w:t>
      </w:r>
      <w:r w:rsidR="00893AF7">
        <w:rPr>
          <w:i/>
        </w:rPr>
        <w:t xml:space="preserve"> adoption</w:t>
      </w:r>
    </w:p>
    <w:p w:rsidR="00D63EED" w:rsidRPr="007F15CF" w:rsidRDefault="00AF690C" w:rsidP="006E1AA9">
      <w:pPr>
        <w:pStyle w:val="manuscript"/>
        <w:keepNext/>
      </w:pPr>
      <w:r w:rsidRPr="007F15CF">
        <w:t>R</w:t>
      </w:r>
      <w:r w:rsidR="00D63EED" w:rsidRPr="007F15CF">
        <w:t>elatively few survey</w:t>
      </w:r>
      <w:r w:rsidR="00420507" w:rsidRPr="007F15CF">
        <w:t>s</w:t>
      </w:r>
      <w:r w:rsidR="00D63EED" w:rsidRPr="007F15CF">
        <w:t xml:space="preserve"> have been carried out </w:t>
      </w:r>
      <w:r w:rsidR="009A64F9" w:rsidRPr="007F15CF">
        <w:t>in relation</w:t>
      </w:r>
      <w:r w:rsidR="00D63EED" w:rsidRPr="007F15CF">
        <w:t xml:space="preserve"> to IFRS adoption.</w:t>
      </w:r>
      <w:r w:rsidR="00E3059C">
        <w:t xml:space="preserve"> </w:t>
      </w:r>
      <w:r w:rsidR="00D63EED" w:rsidRPr="007F15CF">
        <w:t xml:space="preserve"> Jones </w:t>
      </w:r>
      <w:r w:rsidR="00E814F4" w:rsidRPr="007F15CF">
        <w:t>and</w:t>
      </w:r>
      <w:r w:rsidR="00D63EED" w:rsidRPr="007F15CF">
        <w:t xml:space="preserve"> Higgins </w:t>
      </w:r>
      <w:r w:rsidR="00FB0CF9" w:rsidRPr="007F15CF">
        <w:fldChar w:fldCharType="begin"/>
      </w:r>
      <w:r w:rsidR="00D50403" w:rsidRPr="007F15CF">
        <w:instrText xml:space="preserve"> ADDIN EN.CITE &lt;EndNote&gt;&lt;Cite ExcludeAuth="1"&gt;&lt;Author&gt;Jones&lt;/Author&gt;&lt;Year&gt;2006&lt;/Year&gt;&lt;RecNum&gt;92&lt;/RecNum&gt;&lt;record&gt;&lt;rec-number&gt;92&lt;/rec-number&gt;&lt;ref-type name="Journal Article"&gt;17&lt;/ref-type&gt;&lt;contributors&gt;&lt;authors&gt;&lt;author&gt;Jones,Stewart&lt;/author&gt;&lt;author&gt;Higgins,Alison D.&lt;/author&gt;&lt;/authors&gt;&lt;/contributors&gt;&lt;titles&gt;&lt;title&gt;Australia&amp;apos;s switch to international financial reporting standards: a perspective from account preparers&lt;/title&gt;&lt;secondary-title&gt;Accounting and Finance&lt;/secondary-title&gt;&lt;alt-title&gt;Accounting and Finance&lt;/alt-title&gt;&lt;/titles&gt;&lt;periodical&gt;&lt;full-title&gt;Accounting and Finance&lt;/full-title&gt;&lt;/periodical&gt;&lt;alt-periodical&gt;&lt;full-title&gt;Accounting and Finance&lt;/full-title&gt;&lt;/alt-periodical&gt;&lt;pages&gt;629-652&lt;/pages&gt;&lt;volume&gt;46&lt;/volume&gt;&lt;number&gt;4&lt;/number&gt;&lt;dates&gt;&lt;year&gt;2006&lt;/year&gt;&lt;/dates&gt;&lt;urls&gt;&lt;related-urls&gt;&lt;url&gt;http://www.blackwell-synergy.com/doi/abs/10.1111/j.1467-629X.2006.00186.x&lt;/url&gt;&lt;/related-urls&gt;&lt;/urls&gt;&lt;/record&gt;&lt;/Cite&gt;&lt;/EndNote&gt;</w:instrText>
      </w:r>
      <w:r w:rsidR="00FB0CF9" w:rsidRPr="007F15CF">
        <w:fldChar w:fldCharType="separate"/>
      </w:r>
      <w:r w:rsidR="00D63EED" w:rsidRPr="007F15CF">
        <w:t>(2006)</w:t>
      </w:r>
      <w:r w:rsidR="00FB0CF9" w:rsidRPr="007F15CF">
        <w:fldChar w:fldCharType="end"/>
      </w:r>
      <w:r w:rsidR="006C3B55">
        <w:t xml:space="preserve"> conduct</w:t>
      </w:r>
      <w:r w:rsidR="00D63EED" w:rsidRPr="007F15CF">
        <w:t xml:space="preserve"> a telephone survey of 60 of Australia’s top 200 corporations. </w:t>
      </w:r>
      <w:r w:rsidR="009A64F9" w:rsidRPr="007F15CF">
        <w:t>T</w:t>
      </w:r>
      <w:r w:rsidRPr="007F15CF">
        <w:t>h</w:t>
      </w:r>
      <w:r w:rsidR="009A64F9" w:rsidRPr="007F15CF">
        <w:t>ey</w:t>
      </w:r>
      <w:r w:rsidR="00D63EED" w:rsidRPr="007F15CF">
        <w:t xml:space="preserve"> find </w:t>
      </w:r>
      <w:r w:rsidR="009A64F9" w:rsidRPr="007F15CF">
        <w:t xml:space="preserve">the expected </w:t>
      </w:r>
      <w:r w:rsidR="004C1B1B">
        <w:t xml:space="preserve">(i.e., </w:t>
      </w:r>
      <w:r w:rsidR="004C1B1B">
        <w:rPr>
          <w:i/>
        </w:rPr>
        <w:t>ex ante</w:t>
      </w:r>
      <w:r w:rsidR="004C1B1B">
        <w:t xml:space="preserve">) </w:t>
      </w:r>
      <w:r w:rsidR="009A64F9" w:rsidRPr="007F15CF">
        <w:t xml:space="preserve">impact of </w:t>
      </w:r>
      <w:r w:rsidR="006C3B55">
        <w:t>IFRS on financial information i</w:t>
      </w:r>
      <w:r w:rsidR="009A64F9" w:rsidRPr="007F15CF">
        <w:t xml:space="preserve">s </w:t>
      </w:r>
      <w:r w:rsidR="00D63EED" w:rsidRPr="007F15CF">
        <w:t>strong</w:t>
      </w:r>
      <w:r w:rsidR="009A64F9" w:rsidRPr="007F15CF">
        <w:t>ly</w:t>
      </w:r>
      <w:r w:rsidRPr="007F15CF">
        <w:t xml:space="preserve"> related to firm size and </w:t>
      </w:r>
      <w:r w:rsidR="00D63EED" w:rsidRPr="007F15CF">
        <w:t>industry</w:t>
      </w:r>
      <w:r w:rsidR="009A64F9" w:rsidRPr="007F15CF">
        <w:t>.</w:t>
      </w:r>
      <w:r w:rsidR="00967693" w:rsidRPr="007F15CF">
        <w:t xml:space="preserve"> </w:t>
      </w:r>
      <w:r w:rsidR="009A64F9" w:rsidRPr="007F15CF">
        <w:t>Ma</w:t>
      </w:r>
      <w:r w:rsidR="00D63EED" w:rsidRPr="007F15CF">
        <w:t xml:space="preserve">ny respondents were not well prepared for the transition and were </w:t>
      </w:r>
      <w:r w:rsidR="00595A7C" w:rsidRPr="007F15CF">
        <w:t>s</w:t>
      </w:r>
      <w:r w:rsidR="00595A7C">
        <w:t>c</w:t>
      </w:r>
      <w:r w:rsidR="00595A7C" w:rsidRPr="007F15CF">
        <w:t>eptical</w:t>
      </w:r>
      <w:r w:rsidR="00D63EED" w:rsidRPr="007F15CF">
        <w:t xml:space="preserve"> about the claimed benefits of IFRS.</w:t>
      </w:r>
    </w:p>
    <w:p w:rsidR="00691971" w:rsidRPr="007F15CF" w:rsidRDefault="00DF462C" w:rsidP="008149D4">
      <w:pPr>
        <w:pStyle w:val="manuscript"/>
      </w:pPr>
      <w:proofErr w:type="spellStart"/>
      <w:r w:rsidRPr="007F15CF">
        <w:t>Lantto</w:t>
      </w:r>
      <w:proofErr w:type="spellEnd"/>
      <w:r w:rsidRPr="007F15CF">
        <w:t xml:space="preserve"> </w:t>
      </w:r>
      <w:r w:rsidR="00FB0CF9" w:rsidRPr="007F15CF">
        <w:fldChar w:fldCharType="begin"/>
      </w:r>
      <w:r w:rsidR="00D50403" w:rsidRPr="007F15CF">
        <w:instrText xml:space="preserve"> ADDIN EN.CITE &lt;EndNote&gt;&lt;Cite ExcludeAuth="1"&gt;&lt;Author&gt;Lantto&lt;/Author&gt;&lt;Year&gt;2006&lt;/Year&gt;&lt;RecNum&gt;99&lt;/RecNum&gt;&lt;record&gt;&lt;rec-number&gt;99&lt;/rec-number&gt;&lt;ref-type name="Conference Proceedings"&gt;10&lt;/ref-type&gt;&lt;contributors&gt;&lt;authors&gt;&lt;author&gt;Lantto, Anna-Maija &lt;/author&gt;&lt;/authors&gt;&lt;/contributors&gt;&lt;titles&gt;&lt;title&gt;Usefulness of Accounting Information: IFRS Compared to Domestic GAAP&lt;/title&gt;&lt;secondary-title&gt;SSRN eLibrary&lt;/secondary-title&gt;&lt;alt-title&gt;SSRN eLibrary&lt;/alt-title&gt;&lt;/titles&gt;&lt;periodical&gt;&lt;full-title&gt;De Economist (forthcoming)&lt;/full-title&gt;&lt;abbr-1&gt;SSRN eLibrary&lt;/abbr-1&gt;&lt;/periodical&gt;&lt;alt-periodical&gt;&lt;full-title&gt;De Economist (forthcoming)&lt;/full-title&gt;&lt;abbr-1&gt;SSRN eLibrary&lt;/abbr-1&gt;&lt;/alt-periodical&gt;&lt;keywords&gt;&lt;keyword&gt;International Financial Reporting Standards, IFRS, International Accounting Standards, IAS, usefulness, relevance, reliability, International Accounting Standard Board, IASB&lt;/keyword&gt;&lt;/keywords&gt;&lt;dates&gt;&lt;year&gt;2006&lt;/year&gt;&lt;/dates&gt;&lt;publisher&gt;SSRN&lt;/publisher&gt;&lt;call-num&gt;English&lt;/call-num&gt;&lt;urls&gt;&lt;related-urls&gt;&lt;url&gt;http://ssrn.com/paper=905218&lt;/url&gt;&lt;/related-urls&gt;&lt;/urls&gt;&lt;research-notes&gt;Impact of IFRS&lt;/research-notes&gt;&lt;/record&gt;&lt;/Cite&gt;&lt;/EndNote&gt;</w:instrText>
      </w:r>
      <w:r w:rsidR="00FB0CF9" w:rsidRPr="007F15CF">
        <w:fldChar w:fldCharType="separate"/>
      </w:r>
      <w:r w:rsidR="00281D86" w:rsidRPr="007F15CF">
        <w:t>(2006)</w:t>
      </w:r>
      <w:r w:rsidR="00FB0CF9" w:rsidRPr="007F15CF">
        <w:fldChar w:fldCharType="end"/>
      </w:r>
      <w:r w:rsidRPr="007F15CF">
        <w:t xml:space="preserve"> survey</w:t>
      </w:r>
      <w:r w:rsidR="00CE6B38">
        <w:t>s</w:t>
      </w:r>
      <w:r w:rsidRPr="007F15CF">
        <w:t xml:space="preserve"> </w:t>
      </w:r>
      <w:r w:rsidR="001E6FD2" w:rsidRPr="007F15CF">
        <w:t xml:space="preserve">approximately 20 people from </w:t>
      </w:r>
      <w:r w:rsidR="002A0BE5">
        <w:t>each group</w:t>
      </w:r>
      <w:r w:rsidR="00CE6B38">
        <w:t xml:space="preserve"> of</w:t>
      </w:r>
      <w:r w:rsidR="001E6FD2" w:rsidRPr="007F15CF">
        <w:t xml:space="preserve"> </w:t>
      </w:r>
      <w:r w:rsidRPr="007F15CF">
        <w:t>analysts, management and auditors</w:t>
      </w:r>
      <w:r w:rsidR="008A3FD1" w:rsidRPr="007F15CF">
        <w:t xml:space="preserve"> in Finland</w:t>
      </w:r>
      <w:r w:rsidR="001E6FD2" w:rsidRPr="007F15CF">
        <w:t xml:space="preserve">. </w:t>
      </w:r>
      <w:r w:rsidR="00E3059C">
        <w:t xml:space="preserve"> </w:t>
      </w:r>
      <w:r w:rsidR="008A3FD1" w:rsidRPr="007F15CF">
        <w:t>M</w:t>
      </w:r>
      <w:r w:rsidR="00651ECD" w:rsidRPr="007F15CF">
        <w:t xml:space="preserve">ost </w:t>
      </w:r>
      <w:r w:rsidR="00E611BA">
        <w:t xml:space="preserve">analysts </w:t>
      </w:r>
      <w:r w:rsidR="00EA653E" w:rsidRPr="007F15CF">
        <w:t>(</w:t>
      </w:r>
      <w:r w:rsidR="00E611BA">
        <w:t xml:space="preserve">i.e., </w:t>
      </w:r>
      <w:r w:rsidR="00EA653E" w:rsidRPr="007F15CF">
        <w:t xml:space="preserve">80%) </w:t>
      </w:r>
      <w:r w:rsidR="00E611BA">
        <w:t>consider the</w:t>
      </w:r>
      <w:r w:rsidR="00651ECD" w:rsidRPr="007F15CF">
        <w:t xml:space="preserve"> new</w:t>
      </w:r>
      <w:r w:rsidR="00E611BA">
        <w:t xml:space="preserve"> IFRS information </w:t>
      </w:r>
      <w:r w:rsidR="00651ECD" w:rsidRPr="007F15CF">
        <w:t>usefu</w:t>
      </w:r>
      <w:r w:rsidR="00E611BA">
        <w:t>l</w:t>
      </w:r>
      <w:r w:rsidR="00651ECD" w:rsidRPr="007F15CF">
        <w:t xml:space="preserve">. </w:t>
      </w:r>
      <w:r w:rsidR="00CE6B38">
        <w:t>M</w:t>
      </w:r>
      <w:r w:rsidR="00651ECD" w:rsidRPr="007F15CF">
        <w:t xml:space="preserve">anagement and auditors are neutral </w:t>
      </w:r>
      <w:r w:rsidR="00EA653E" w:rsidRPr="007F15CF">
        <w:t xml:space="preserve">or negative </w:t>
      </w:r>
      <w:r w:rsidR="00651ECD" w:rsidRPr="007F15CF">
        <w:t>as to whether IFRS provides a ‘true view’</w:t>
      </w:r>
      <w:r w:rsidR="008A3FD1" w:rsidRPr="007F15CF">
        <w:t xml:space="preserve">. The concerns </w:t>
      </w:r>
      <w:r w:rsidR="0040164C">
        <w:t xml:space="preserve">expressed </w:t>
      </w:r>
      <w:r w:rsidR="008A3FD1" w:rsidRPr="007F15CF">
        <w:t xml:space="preserve">relate to the use of </w:t>
      </w:r>
      <w:r w:rsidR="00A1238D" w:rsidRPr="007F15CF">
        <w:t>judgment</w:t>
      </w:r>
      <w:r w:rsidR="008A3FD1" w:rsidRPr="007F15CF">
        <w:t xml:space="preserve"> and estimation when</w:t>
      </w:r>
      <w:r w:rsidR="00651ECD" w:rsidRPr="007F15CF">
        <w:t xml:space="preserve"> market prices are not used</w:t>
      </w:r>
      <w:r w:rsidR="00EA653E" w:rsidRPr="007F15CF">
        <w:t xml:space="preserve"> </w:t>
      </w:r>
      <w:r w:rsidR="008A3FD1" w:rsidRPr="007F15CF">
        <w:t>(e.g.</w:t>
      </w:r>
      <w:r w:rsidR="00CA2555">
        <w:t>,</w:t>
      </w:r>
      <w:r w:rsidR="008A3FD1" w:rsidRPr="007F15CF">
        <w:t xml:space="preserve"> the</w:t>
      </w:r>
      <w:r w:rsidR="00EA653E" w:rsidRPr="007F15CF">
        <w:t xml:space="preserve"> fair value measurement</w:t>
      </w:r>
      <w:r w:rsidR="008A3FD1" w:rsidRPr="007F15CF">
        <w:t>).</w:t>
      </w:r>
    </w:p>
    <w:p w:rsidR="005B3C63" w:rsidRPr="007F15CF" w:rsidRDefault="005B3C63" w:rsidP="008149D4">
      <w:pPr>
        <w:pStyle w:val="manuscript"/>
      </w:pPr>
      <w:r w:rsidRPr="007F15CF">
        <w:t xml:space="preserve">A survey of DAX-30 company executives in Germany found that most </w:t>
      </w:r>
      <w:r w:rsidR="00A26786" w:rsidRPr="007F15CF">
        <w:t xml:space="preserve">(87%) </w:t>
      </w:r>
      <w:r w:rsidRPr="007F15CF">
        <w:t>agreed that IFRS should improve comparability of financial statements</w:t>
      </w:r>
      <w:r w:rsidR="00975A24" w:rsidRPr="007F15CF">
        <w:t xml:space="preserve"> </w:t>
      </w:r>
      <w:r w:rsidR="00FB0CF9" w:rsidRPr="007F15CF">
        <w:fldChar w:fldCharType="begin"/>
      </w:r>
      <w:r w:rsidR="00D50403" w:rsidRPr="007F15CF">
        <w:instrText xml:space="preserve"> ADDIN EN.CITE &lt;EndNote&gt;&lt;Cite&gt;&lt;Author&gt;Jermakowicz&lt;/Author&gt;&lt;Year&gt;2007&lt;/Year&gt;&lt;RecNum&gt;214&lt;/RecNum&gt;&lt;record&gt;&lt;rec-number&gt;214&lt;/rec-number&gt;&lt;ref-type name="Journal Article"&gt;17&lt;/ref-type&gt;&lt;contributors&gt;&lt;authors&gt;&lt;author&gt;Jermakowicz, Eva K.&lt;/author&gt;&lt;author&gt;Prather-Kinsey, Jenice&lt;/author&gt;&lt;author&gt;Wulf, Inge&lt;/author&gt;&lt;/authors&gt;&lt;/contributors&gt;&lt;titles&gt;&lt;title&gt;The Value Relevance of Accounting Income Reported by DAX-30 German Companies&lt;/title&gt;&lt;secondary-title&gt;Journal of International Financial Management &amp;amp; Accounting&lt;/secondary-title&gt;&lt;/titles&gt;&lt;periodical&gt;&lt;full-title&gt;Journal of International Financial Management &amp;amp; Accounting&lt;/full-title&gt;&lt;/periodical&gt;&lt;pages&gt;151-191&lt;/pages&gt;&lt;volume&gt;18&lt;/volume&gt;&lt;number&gt;3&lt;/number&gt;&lt;keywords&gt;&lt;keyword&gt;INTERNATIONAL finance&lt;/keyword&gt;&lt;keyword&gt;RESEARCH&lt;/keyword&gt;&lt;keyword&gt;FINANCIAL management&lt;/keyword&gt;&lt;keyword&gt;FINANCIAL statements&lt;/keyword&gt;&lt;keyword&gt;CORPORATION reports&lt;/keyword&gt;&lt;keyword&gt;CORPORATIONS -- Valuation&lt;/keyword&gt;&lt;keyword&gt;BOOK value&lt;/keyword&gt;&lt;keyword&gt;FINANCIAL disclosure&lt;/keyword&gt;&lt;keyword&gt;CORPORATIONS, German&lt;/keyword&gt;&lt;/keywords&gt;&lt;dates&gt;&lt;year&gt;2007&lt;/year&gt;&lt;/dates&gt;&lt;publisher&gt;Blackwell Publishing Limited&lt;/publisher&gt;&lt;urls&gt;&lt;related-urls&gt;&lt;url&gt;10.1111/j.1467-646X.2007.01011.x&lt;/url&gt;&lt;url&gt;http://ezproxy.massey.ac.nz/login?url=http://search.ebscohost.com/login.aspx?direct=true&amp;amp;AuthType=ip,cookie,url,uid&amp;amp;db=buh&amp;amp;AN=26516942&amp;amp;site=ehost-live &lt;/url&gt;&lt;/related-urls&gt;&lt;/urls&gt;&lt;research-notes&gt;Impact of IFRS&lt;/research-notes&gt;&lt;/record&gt;&lt;/Cite&gt;&lt;/EndNote&gt;</w:instrText>
      </w:r>
      <w:r w:rsidR="00FB0CF9" w:rsidRPr="007F15CF">
        <w:fldChar w:fldCharType="separate"/>
      </w:r>
      <w:r w:rsidR="00975A24" w:rsidRPr="007F15CF">
        <w:t>(Jermako</w:t>
      </w:r>
      <w:r w:rsidR="009B2CC2" w:rsidRPr="007F15CF">
        <w:t xml:space="preserve">wicz </w:t>
      </w:r>
      <w:r w:rsidR="009B2CC2" w:rsidRPr="007F15CF">
        <w:rPr>
          <w:i/>
        </w:rPr>
        <w:t>et al.</w:t>
      </w:r>
      <w:r w:rsidR="0053727E">
        <w:t xml:space="preserve">, </w:t>
      </w:r>
      <w:r w:rsidR="00975A24" w:rsidRPr="007F15CF">
        <w:t>2007)</w:t>
      </w:r>
      <w:r w:rsidR="00FB0CF9" w:rsidRPr="007F15CF">
        <w:fldChar w:fldCharType="end"/>
      </w:r>
      <w:r w:rsidR="00A26786" w:rsidRPr="007F15CF">
        <w:t>.</w:t>
      </w:r>
      <w:r w:rsidR="001D6414">
        <w:t xml:space="preserve"> </w:t>
      </w:r>
      <w:r w:rsidR="00A26786" w:rsidRPr="007F15CF">
        <w:t xml:space="preserve"> </w:t>
      </w:r>
      <w:r w:rsidR="0040164C">
        <w:t>Fewer e</w:t>
      </w:r>
      <w:r w:rsidR="00975A24" w:rsidRPr="007F15CF">
        <w:t>xecutives</w:t>
      </w:r>
      <w:r w:rsidR="00A26786" w:rsidRPr="007F15CF">
        <w:t xml:space="preserve"> were convinced </w:t>
      </w:r>
      <w:r w:rsidR="0040164C">
        <w:t>of</w:t>
      </w:r>
      <w:r w:rsidR="0040164C" w:rsidRPr="007F15CF">
        <w:t xml:space="preserve"> </w:t>
      </w:r>
      <w:r w:rsidR="009B2CC2" w:rsidRPr="007F15CF">
        <w:t>the be</w:t>
      </w:r>
      <w:r w:rsidR="00A26786" w:rsidRPr="007F15CF">
        <w:t xml:space="preserve">nefits </w:t>
      </w:r>
      <w:r w:rsidR="009B2CC2" w:rsidRPr="007F15CF">
        <w:t>of</w:t>
      </w:r>
      <w:r w:rsidR="00A26786" w:rsidRPr="007F15CF">
        <w:t xml:space="preserve"> </w:t>
      </w:r>
      <w:r w:rsidR="00D50403" w:rsidRPr="007F15CF">
        <w:t>‘</w:t>
      </w:r>
      <w:r w:rsidR="00A26786" w:rsidRPr="007F15CF">
        <w:t>transparency</w:t>
      </w:r>
      <w:r w:rsidR="00D50403" w:rsidRPr="007F15CF">
        <w:t>’</w:t>
      </w:r>
      <w:r w:rsidR="009B2CC2" w:rsidRPr="007F15CF">
        <w:t xml:space="preserve"> (</w:t>
      </w:r>
      <w:r w:rsidR="00A26786" w:rsidRPr="007F15CF">
        <w:t>58%</w:t>
      </w:r>
      <w:r w:rsidR="009B2CC2" w:rsidRPr="007F15CF">
        <w:t>)</w:t>
      </w:r>
      <w:r w:rsidR="00A26786" w:rsidRPr="007F15CF">
        <w:t xml:space="preserve">. </w:t>
      </w:r>
      <w:r w:rsidR="009B2CC2" w:rsidRPr="007F15CF">
        <w:t xml:space="preserve">The challenges that respondents were most concerned about were </w:t>
      </w:r>
      <w:r w:rsidR="00D50403" w:rsidRPr="007F15CF">
        <w:t>‘</w:t>
      </w:r>
      <w:r w:rsidR="00671058" w:rsidRPr="007F15CF">
        <w:t>c</w:t>
      </w:r>
      <w:r w:rsidRPr="007F15CF">
        <w:t>omplex</w:t>
      </w:r>
      <w:r w:rsidR="00A26786" w:rsidRPr="007F15CF">
        <w:t>ity</w:t>
      </w:r>
      <w:r w:rsidR="00D50403" w:rsidRPr="007F15CF">
        <w:t>’</w:t>
      </w:r>
      <w:r w:rsidR="00A26786" w:rsidRPr="007F15CF">
        <w:t xml:space="preserve"> (78%)</w:t>
      </w:r>
      <w:r w:rsidR="0090486E" w:rsidRPr="007F15CF">
        <w:t>,</w:t>
      </w:r>
      <w:r w:rsidR="00A26786" w:rsidRPr="007F15CF">
        <w:t xml:space="preserve"> </w:t>
      </w:r>
      <w:r w:rsidR="00D50403" w:rsidRPr="007F15CF">
        <w:t>‘</w:t>
      </w:r>
      <w:r w:rsidRPr="007F15CF">
        <w:t>cost</w:t>
      </w:r>
      <w:r w:rsidR="00D50403" w:rsidRPr="007F15CF">
        <w:t>’</w:t>
      </w:r>
      <w:r w:rsidRPr="007F15CF">
        <w:t xml:space="preserve"> </w:t>
      </w:r>
      <w:r w:rsidR="00A26786" w:rsidRPr="007F15CF">
        <w:t xml:space="preserve">(70%) </w:t>
      </w:r>
      <w:r w:rsidR="0090486E" w:rsidRPr="007F15CF">
        <w:t xml:space="preserve">and </w:t>
      </w:r>
      <w:r w:rsidR="00D50403" w:rsidRPr="007F15CF">
        <w:t>‘</w:t>
      </w:r>
      <w:r w:rsidR="0090486E" w:rsidRPr="007F15CF">
        <w:t>lack of implementation guidance</w:t>
      </w:r>
      <w:r w:rsidR="00D50403" w:rsidRPr="007F15CF">
        <w:t>’</w:t>
      </w:r>
      <w:r w:rsidR="00671058" w:rsidRPr="007F15CF">
        <w:t xml:space="preserve"> (65%)</w:t>
      </w:r>
      <w:r w:rsidR="0090486E" w:rsidRPr="007F15CF">
        <w:t>.</w:t>
      </w:r>
      <w:r w:rsidRPr="007F15CF">
        <w:t xml:space="preserve"> </w:t>
      </w:r>
      <w:r w:rsidR="0090486E" w:rsidRPr="007F15CF">
        <w:t>These results were based on electronic questionnaires returned by 28 of the 30 companies surveyed</w:t>
      </w:r>
      <w:r w:rsidR="0040164C">
        <w:t>,</w:t>
      </w:r>
      <w:r w:rsidR="0090486E" w:rsidRPr="007F15CF">
        <w:t xml:space="preserve"> as wel</w:t>
      </w:r>
      <w:r w:rsidR="00671058" w:rsidRPr="007F15CF">
        <w:t>l as follow-up interviews with four</w:t>
      </w:r>
      <w:r w:rsidR="00257AAE" w:rsidRPr="007F15CF">
        <w:t xml:space="preserve"> </w:t>
      </w:r>
      <w:r w:rsidR="0090486E" w:rsidRPr="007F15CF">
        <w:t>companies.</w:t>
      </w:r>
    </w:p>
    <w:p w:rsidR="00C45F37" w:rsidRDefault="00281D86" w:rsidP="008149D4">
      <w:pPr>
        <w:pStyle w:val="manuscript"/>
      </w:pPr>
      <w:r w:rsidRPr="007F15CF">
        <w:t xml:space="preserve">Lyle </w:t>
      </w:r>
      <w:r w:rsidR="00FB0CF9" w:rsidRPr="007F15CF">
        <w:fldChar w:fldCharType="begin"/>
      </w:r>
      <w:r w:rsidR="00D50403" w:rsidRPr="007F15CF">
        <w:instrText xml:space="preserve"> ADDIN EN.CITE &lt;EndNote&gt;&lt;Cite ExcludeAuth="1"&gt;&lt;Author&gt;Lyle&lt;/Author&gt;&lt;Year&gt;2008&lt;/Year&gt;&lt;RecNum&gt;174&lt;/RecNum&gt;&lt;record&gt;&lt;rec-number&gt;174&lt;/rec-number&gt;&lt;ref-type name="Report"&gt;27&lt;/ref-type&gt;&lt;contributors&gt;&lt;authors&gt;&lt;author&gt;Norman Lyle&lt;/author&gt;&lt;/authors&gt;&lt;/contributors&gt;&lt;auth-address&gt;FRSC@ifac.org&lt;/auth-address&gt;&lt;titles&gt;&lt;title&gt;Financial Reporting Supply Chain: Current Perspectives and Directions&lt;/title&gt;&lt;/titles&gt;&lt;keywords&gt;&lt;keyword&gt;Corporate Governance, Financial Reporting Process, Audit of Financial Reports, Usefulness of Financial Reports&lt;/keyword&gt;&lt;/keywords&gt;&lt;dates&gt;&lt;year&gt;2008&lt;/year&gt;&lt;pub-dates&gt;&lt;date&gt;March 2008&lt;/date&gt;&lt;/pub-dates&gt;&lt;/dates&gt;&lt;pub-location&gt;New York&lt;/pub-location&gt;&lt;publisher&gt;IFAC&lt;/publisher&gt;&lt;urls&gt;&lt;related-urls&gt;&lt;url&gt;http://www.ifac.org/frsc/ and http://www.ifac.org/Store/Details.tmpl?SID=12047547112246020&lt;/url&gt;&lt;/related-urls&gt;&lt;/urls&gt;&lt;research-notes&gt;IFRS - What, why, how&lt;/research-notes&gt;&lt;access-date&gt;27/5/08&lt;/access-date&gt;&lt;/record&gt;&lt;/Cite&gt;&lt;/EndNote&gt;</w:instrText>
      </w:r>
      <w:r w:rsidR="00FB0CF9" w:rsidRPr="007F15CF">
        <w:fldChar w:fldCharType="separate"/>
      </w:r>
      <w:r w:rsidRPr="007F15CF">
        <w:t>(2008)</w:t>
      </w:r>
      <w:r w:rsidR="00FB0CF9" w:rsidRPr="007F15CF">
        <w:fldChar w:fldCharType="end"/>
      </w:r>
      <w:r w:rsidR="006C3B55">
        <w:t xml:space="preserve"> conduct</w:t>
      </w:r>
      <w:r w:rsidR="007377F8">
        <w:t>s</w:t>
      </w:r>
      <w:r w:rsidRPr="007F15CF">
        <w:t xml:space="preserve"> a </w:t>
      </w:r>
      <w:r w:rsidR="000F46DB" w:rsidRPr="007F15CF">
        <w:t xml:space="preserve">global </w:t>
      </w:r>
      <w:r w:rsidRPr="007F15CF">
        <w:t xml:space="preserve">survey on behalf of the International Federation of Accountants (IFAC). </w:t>
      </w:r>
      <w:r w:rsidR="000F46DB" w:rsidRPr="007F15CF">
        <w:t>The</w:t>
      </w:r>
      <w:r w:rsidRPr="007F15CF">
        <w:t xml:space="preserve"> survey </w:t>
      </w:r>
      <w:r w:rsidR="000F46DB" w:rsidRPr="007F15CF">
        <w:t>relate</w:t>
      </w:r>
      <w:r w:rsidR="0040164C">
        <w:t>s</w:t>
      </w:r>
      <w:r w:rsidR="000F46DB" w:rsidRPr="007F15CF">
        <w:t xml:space="preserve"> to perspectives of various parties in the ‘financial reporting supply chain’ </w:t>
      </w:r>
      <w:r w:rsidR="00D764D6" w:rsidRPr="007F15CF">
        <w:t>(e.g., preparers: 37%</w:t>
      </w:r>
      <w:r w:rsidR="007052CC">
        <w:t>;</w:t>
      </w:r>
      <w:r w:rsidR="00D764D6" w:rsidRPr="007F15CF">
        <w:t xml:space="preserve"> auditors: 19%</w:t>
      </w:r>
      <w:r w:rsidR="007052CC">
        <w:t>;</w:t>
      </w:r>
      <w:r w:rsidR="00D764D6" w:rsidRPr="007F15CF">
        <w:t xml:space="preserve"> users: 13%) and include</w:t>
      </w:r>
      <w:r w:rsidR="0040164C">
        <w:t>s</w:t>
      </w:r>
      <w:r w:rsidRPr="007F15CF">
        <w:t xml:space="preserve"> 341 </w:t>
      </w:r>
      <w:r w:rsidR="00D764D6" w:rsidRPr="007F15CF">
        <w:t xml:space="preserve">questionnaire </w:t>
      </w:r>
      <w:r w:rsidRPr="007F15CF">
        <w:t xml:space="preserve">responses and 25 </w:t>
      </w:r>
      <w:r w:rsidRPr="007F15CF">
        <w:lastRenderedPageBreak/>
        <w:t xml:space="preserve">telephone </w:t>
      </w:r>
      <w:r w:rsidR="000F46DB" w:rsidRPr="007F15CF">
        <w:t xml:space="preserve">interviews. </w:t>
      </w:r>
      <w:r w:rsidR="005510B7" w:rsidRPr="007F15CF">
        <w:t xml:space="preserve">Results indicate that </w:t>
      </w:r>
      <w:r w:rsidR="00B1190F" w:rsidRPr="007F15CF">
        <w:t>convergence to IFRS le</w:t>
      </w:r>
      <w:r w:rsidR="00882B2F">
        <w:t>d</w:t>
      </w:r>
      <w:r w:rsidR="00B1190F" w:rsidRPr="007F15CF">
        <w:t xml:space="preserve"> to improvements such as increased comparability and transparency, but that there were a number of areas of concern (e.g., cost of adoption, slower financial reporting process, instability caused by ongoing changes to standards, increased complexity</w:t>
      </w:r>
      <w:r w:rsidR="005B3C63" w:rsidRPr="007F15CF">
        <w:t xml:space="preserve"> particularly with use of fair value</w:t>
      </w:r>
      <w:r w:rsidR="002434F9">
        <w:t>,</w:t>
      </w:r>
      <w:r w:rsidR="005B3C63" w:rsidRPr="007F15CF">
        <w:t xml:space="preserve"> and excessive disclosure requirements).</w:t>
      </w:r>
      <w:r w:rsidR="00B1190F" w:rsidRPr="007F15CF">
        <w:t xml:space="preserve"> </w:t>
      </w:r>
      <w:r w:rsidR="00C81152" w:rsidRPr="007F15CF">
        <w:t xml:space="preserve">Most respondents felt that, </w:t>
      </w:r>
      <w:r w:rsidR="00A763E6" w:rsidRPr="007F15CF">
        <w:t>while</w:t>
      </w:r>
      <w:r w:rsidR="00C81152" w:rsidRPr="007F15CF">
        <w:t xml:space="preserve"> financial reports had </w:t>
      </w:r>
      <w:r w:rsidR="00A763E6" w:rsidRPr="007F15CF">
        <w:t xml:space="preserve">become more </w:t>
      </w:r>
      <w:r w:rsidR="00C81152" w:rsidRPr="007F15CF">
        <w:t>relevan</w:t>
      </w:r>
      <w:r w:rsidR="00A763E6" w:rsidRPr="007F15CF">
        <w:t>t</w:t>
      </w:r>
      <w:r w:rsidR="00C81152" w:rsidRPr="007F15CF">
        <w:t xml:space="preserve"> and reliab</w:t>
      </w:r>
      <w:r w:rsidR="00A763E6" w:rsidRPr="007F15CF">
        <w:t>le</w:t>
      </w:r>
      <w:r w:rsidR="00C81152" w:rsidRPr="007F15CF">
        <w:t>, they had become less useful, as they were too complex for the average reader to understand.</w:t>
      </w:r>
    </w:p>
    <w:p w:rsidR="00654397" w:rsidRDefault="00654397" w:rsidP="008149D4">
      <w:pPr>
        <w:pStyle w:val="manuscript"/>
      </w:pPr>
      <w:proofErr w:type="spellStart"/>
      <w:r>
        <w:t>Pawsey</w:t>
      </w:r>
      <w:proofErr w:type="spellEnd"/>
      <w:r>
        <w:t xml:space="preserve"> (2010) conducts mail surveys of large listed Australian firms to explore perceptions of chief financial officers regarding quality and complexity of IFRS. He finds that while better guidance on some key issues is acknowledged, there is criticism regarding IFRS complexity, the additional time and cost this brings, as well as the increased confusion experienced by financial statement users. </w:t>
      </w:r>
    </w:p>
    <w:p w:rsidR="00C32848" w:rsidRDefault="00C32848" w:rsidP="00C32848">
      <w:pPr>
        <w:pStyle w:val="manuscript"/>
        <w:rPr>
          <w:rFonts w:cs="Times New Roman"/>
          <w:szCs w:val="24"/>
          <w:lang w:val="en-NZ" w:bidi="ar-SA"/>
        </w:rPr>
      </w:pPr>
      <w:proofErr w:type="spellStart"/>
      <w:r>
        <w:rPr>
          <w:rFonts w:cs="Times New Roman"/>
          <w:szCs w:val="24"/>
          <w:lang w:val="en-NZ" w:bidi="ar-SA"/>
        </w:rPr>
        <w:t>Litjens</w:t>
      </w:r>
      <w:proofErr w:type="spellEnd"/>
      <w:r w:rsidR="00CE6B38">
        <w:rPr>
          <w:rFonts w:cs="Times New Roman"/>
          <w:szCs w:val="24"/>
          <w:lang w:val="en-NZ" w:bidi="ar-SA"/>
        </w:rPr>
        <w:t xml:space="preserve">, </w:t>
      </w:r>
      <w:proofErr w:type="spellStart"/>
      <w:r w:rsidR="00CE6B38">
        <w:rPr>
          <w:rFonts w:cs="Times New Roman"/>
          <w:szCs w:val="24"/>
          <w:lang w:val="en-NZ" w:bidi="ar-SA"/>
        </w:rPr>
        <w:t>Bissessur</w:t>
      </w:r>
      <w:proofErr w:type="spellEnd"/>
      <w:r w:rsidR="00CE6B38">
        <w:rPr>
          <w:rFonts w:cs="Times New Roman"/>
          <w:szCs w:val="24"/>
          <w:lang w:val="en-NZ" w:bidi="ar-SA"/>
        </w:rPr>
        <w:t xml:space="preserve">, </w:t>
      </w:r>
      <w:proofErr w:type="spellStart"/>
      <w:r w:rsidR="00CE6B38">
        <w:rPr>
          <w:rFonts w:cs="Times New Roman"/>
          <w:szCs w:val="24"/>
          <w:lang w:val="en-NZ" w:bidi="ar-SA"/>
        </w:rPr>
        <w:t>Langendijk</w:t>
      </w:r>
      <w:proofErr w:type="spellEnd"/>
      <w:r w:rsidR="00CE6B38">
        <w:rPr>
          <w:rFonts w:cs="Times New Roman"/>
          <w:szCs w:val="24"/>
          <w:lang w:val="en-NZ" w:bidi="ar-SA"/>
        </w:rPr>
        <w:t xml:space="preserve"> and </w:t>
      </w:r>
      <w:proofErr w:type="spellStart"/>
      <w:r w:rsidR="00CE6B38">
        <w:rPr>
          <w:rFonts w:cs="Times New Roman"/>
          <w:szCs w:val="24"/>
          <w:lang w:val="en-NZ" w:bidi="ar-SA"/>
        </w:rPr>
        <w:t>Vergoossen</w:t>
      </w:r>
      <w:proofErr w:type="spellEnd"/>
      <w:r w:rsidR="00CE6B38">
        <w:rPr>
          <w:rFonts w:cs="Times New Roman"/>
          <w:szCs w:val="24"/>
          <w:lang w:val="en-NZ" w:bidi="ar-SA"/>
        </w:rPr>
        <w:t xml:space="preserve"> </w:t>
      </w:r>
      <w:r>
        <w:rPr>
          <w:rFonts w:cs="Times New Roman"/>
          <w:szCs w:val="24"/>
          <w:lang w:val="en-NZ" w:bidi="ar-SA"/>
        </w:rPr>
        <w:t xml:space="preserve">(2012) </w:t>
      </w:r>
      <w:r>
        <w:t xml:space="preserve">conduct a survey of preparers in </w:t>
      </w:r>
      <w:r>
        <w:rPr>
          <w:rFonts w:cs="Times New Roman"/>
          <w:szCs w:val="24"/>
          <w:lang w:val="en-NZ" w:bidi="ar-SA"/>
        </w:rPr>
        <w:t>small and medium sized entities in the Netherlands to evaluate the</w:t>
      </w:r>
      <w:r w:rsidRPr="00C32848">
        <w:rPr>
          <w:i/>
        </w:rPr>
        <w:t xml:space="preserve"> </w:t>
      </w:r>
      <w:r w:rsidRPr="00EF4348">
        <w:rPr>
          <w:i/>
        </w:rPr>
        <w:t>ex ante</w:t>
      </w:r>
      <w:r w:rsidR="00B10AC4" w:rsidRPr="00B10AC4">
        <w:rPr>
          <w:rFonts w:cs="Times New Roman"/>
          <w:szCs w:val="24"/>
          <w:lang w:val="en-NZ" w:bidi="ar-SA"/>
        </w:rPr>
        <w:t xml:space="preserve"> </w:t>
      </w:r>
      <w:r w:rsidR="00B10AC4">
        <w:rPr>
          <w:rFonts w:cs="Times New Roman"/>
          <w:szCs w:val="24"/>
          <w:lang w:val="en-NZ" w:bidi="ar-SA"/>
        </w:rPr>
        <w:t xml:space="preserve">perceived </w:t>
      </w:r>
      <w:r>
        <w:rPr>
          <w:rFonts w:cs="Times New Roman"/>
          <w:szCs w:val="24"/>
          <w:lang w:val="en-NZ" w:bidi="ar-SA"/>
        </w:rPr>
        <w:t xml:space="preserve">costs and benefits of IFRS. Their survey has three measures of the perceived administrative burden and four perceived measures of contracting with banks (to proxy for benefits). They collect financial data </w:t>
      </w:r>
      <w:r w:rsidR="00B10AC4">
        <w:rPr>
          <w:rFonts w:cs="Times New Roman"/>
          <w:szCs w:val="24"/>
          <w:lang w:val="en-NZ" w:bidi="ar-SA"/>
        </w:rPr>
        <w:t>(</w:t>
      </w:r>
      <w:r w:rsidR="00AE1032">
        <w:rPr>
          <w:rFonts w:cs="Times New Roman"/>
          <w:szCs w:val="24"/>
          <w:lang w:val="en-NZ" w:bidi="ar-SA"/>
        </w:rPr>
        <w:t>as a proxy</w:t>
      </w:r>
      <w:r>
        <w:rPr>
          <w:rFonts w:cs="Times New Roman"/>
          <w:szCs w:val="24"/>
          <w:lang w:val="en-NZ" w:bidi="ar-SA"/>
        </w:rPr>
        <w:t xml:space="preserve"> for </w:t>
      </w:r>
      <w:r w:rsidRPr="0002500C">
        <w:rPr>
          <w:rFonts w:cs="Times New Roman"/>
          <w:szCs w:val="24"/>
          <w:lang w:val="en-NZ" w:bidi="ar-SA"/>
        </w:rPr>
        <w:t>actual</w:t>
      </w:r>
      <w:r>
        <w:rPr>
          <w:rFonts w:cs="Times New Roman"/>
          <w:szCs w:val="24"/>
          <w:lang w:val="en-NZ" w:bidi="ar-SA"/>
        </w:rPr>
        <w:t xml:space="preserve"> costs and benefits</w:t>
      </w:r>
      <w:r w:rsidR="00B10AC4">
        <w:rPr>
          <w:rFonts w:cs="Times New Roman"/>
          <w:szCs w:val="24"/>
          <w:lang w:val="en-NZ" w:bidi="ar-SA"/>
        </w:rPr>
        <w:t>)</w:t>
      </w:r>
      <w:r>
        <w:rPr>
          <w:rFonts w:cs="Times New Roman"/>
          <w:szCs w:val="24"/>
          <w:lang w:val="en-NZ" w:bidi="ar-SA"/>
        </w:rPr>
        <w:t xml:space="preserve"> and test associations of these with perceptions. </w:t>
      </w:r>
      <w:proofErr w:type="spellStart"/>
      <w:r>
        <w:rPr>
          <w:rFonts w:cs="Times New Roman"/>
          <w:szCs w:val="24"/>
          <w:lang w:val="en-NZ" w:bidi="ar-SA"/>
        </w:rPr>
        <w:t>Litjens</w:t>
      </w:r>
      <w:proofErr w:type="spellEnd"/>
      <w:r>
        <w:rPr>
          <w:rFonts w:cs="Times New Roman"/>
          <w:szCs w:val="24"/>
          <w:lang w:val="en-NZ" w:bidi="ar-SA"/>
        </w:rPr>
        <w:t xml:space="preserve"> </w:t>
      </w:r>
      <w:r w:rsidRPr="00625B38">
        <w:rPr>
          <w:rFonts w:cs="Times New Roman"/>
          <w:i/>
          <w:szCs w:val="24"/>
          <w:lang w:val="en-NZ" w:bidi="ar-SA"/>
        </w:rPr>
        <w:t>et al.</w:t>
      </w:r>
      <w:r>
        <w:rPr>
          <w:rFonts w:cs="Times New Roman"/>
          <w:szCs w:val="24"/>
          <w:lang w:val="en-NZ" w:bidi="ar-SA"/>
        </w:rPr>
        <w:t xml:space="preserve"> (2012) find that preparers consider</w:t>
      </w:r>
      <w:r w:rsidRPr="00EF4348">
        <w:rPr>
          <w:rFonts w:cs="Times New Roman"/>
          <w:szCs w:val="24"/>
          <w:lang w:val="en-NZ" w:bidi="ar-SA"/>
        </w:rPr>
        <w:t xml:space="preserve"> costs and benefits of IFRS separately, </w:t>
      </w:r>
      <w:r>
        <w:rPr>
          <w:rFonts w:cs="Times New Roman"/>
          <w:szCs w:val="24"/>
          <w:lang w:val="en-NZ" w:bidi="ar-SA"/>
        </w:rPr>
        <w:t>rather than</w:t>
      </w:r>
      <w:r w:rsidRPr="00EF4348">
        <w:rPr>
          <w:rFonts w:cs="Times New Roman"/>
          <w:szCs w:val="24"/>
          <w:lang w:val="en-NZ" w:bidi="ar-SA"/>
        </w:rPr>
        <w:t xml:space="preserve"> concurrently, and evaluate them in relative terms</w:t>
      </w:r>
      <w:r>
        <w:rPr>
          <w:rFonts w:cs="Times New Roman"/>
          <w:szCs w:val="24"/>
          <w:lang w:val="en-NZ" w:bidi="ar-SA"/>
        </w:rPr>
        <w:t xml:space="preserve">. They also suggest that the preparer’s context (e.g., size) affects the cost-benefit analysis (and hence adoption decision). </w:t>
      </w:r>
    </w:p>
    <w:p w:rsidR="00386C89" w:rsidRPr="007F15CF" w:rsidRDefault="00386C89" w:rsidP="00C32848">
      <w:pPr>
        <w:pStyle w:val="manuscript"/>
      </w:pPr>
      <w:r>
        <w:rPr>
          <w:rFonts w:cs="Times New Roman"/>
          <w:szCs w:val="24"/>
          <w:lang w:val="en-NZ" w:bidi="ar-SA"/>
        </w:rPr>
        <w:t>There are two recent professional studies on IFRS adoption. The Korean Accounting Standards Board study</w:t>
      </w:r>
      <w:r w:rsidR="00780574">
        <w:rPr>
          <w:rFonts w:cs="Times New Roman"/>
          <w:szCs w:val="24"/>
          <w:lang w:val="en-NZ" w:bidi="ar-SA"/>
        </w:rPr>
        <w:t xml:space="preserve"> (KASB, 2013)</w:t>
      </w:r>
      <w:r>
        <w:rPr>
          <w:rFonts w:cs="Times New Roman"/>
          <w:szCs w:val="24"/>
          <w:lang w:val="en-NZ" w:bidi="ar-SA"/>
        </w:rPr>
        <w:t xml:space="preserve"> is a narrative description of the accounting and regulatory issues arising </w:t>
      </w:r>
      <w:r w:rsidR="002F04DE">
        <w:rPr>
          <w:rFonts w:cs="Times New Roman"/>
          <w:szCs w:val="24"/>
          <w:lang w:val="en-NZ" w:bidi="ar-SA"/>
        </w:rPr>
        <w:t>from</w:t>
      </w:r>
      <w:r>
        <w:rPr>
          <w:rFonts w:cs="Times New Roman"/>
          <w:szCs w:val="24"/>
          <w:lang w:val="en-NZ" w:bidi="ar-SA"/>
        </w:rPr>
        <w:t xml:space="preserve"> the adoption of IFRS. </w:t>
      </w:r>
      <w:r w:rsidR="004972B8" w:rsidRPr="00B11B74">
        <w:rPr>
          <w:rFonts w:cs="Times New Roman"/>
          <w:szCs w:val="24"/>
          <w:lang w:val="en-NZ" w:bidi="ar-SA"/>
        </w:rPr>
        <w:t>C</w:t>
      </w:r>
      <w:r w:rsidR="002F04DE">
        <w:rPr>
          <w:rFonts w:cs="Times New Roman"/>
          <w:szCs w:val="24"/>
          <w:lang w:val="en-NZ" w:bidi="ar-SA"/>
        </w:rPr>
        <w:t>FERF (2013)</w:t>
      </w:r>
      <w:r w:rsidRPr="00386C89">
        <w:rPr>
          <w:rFonts w:cs="Times New Roman"/>
          <w:szCs w:val="24"/>
          <w:lang w:val="en-NZ" w:bidi="ar-SA"/>
        </w:rPr>
        <w:t xml:space="preserve">, the research arm of </w:t>
      </w:r>
      <w:r w:rsidR="003623BA">
        <w:rPr>
          <w:rFonts w:cs="Times New Roman"/>
          <w:szCs w:val="24"/>
          <w:lang w:val="en-NZ" w:bidi="ar-SA"/>
        </w:rPr>
        <w:t xml:space="preserve">the </w:t>
      </w:r>
      <w:r w:rsidRPr="00386C89">
        <w:rPr>
          <w:rFonts w:cs="Times New Roman"/>
          <w:szCs w:val="24"/>
          <w:lang w:val="en-NZ" w:bidi="ar-SA"/>
        </w:rPr>
        <w:t>F</w:t>
      </w:r>
      <w:r w:rsidR="004972B8">
        <w:rPr>
          <w:rFonts w:cs="Times New Roman"/>
          <w:szCs w:val="24"/>
          <w:lang w:val="en-NZ" w:bidi="ar-SA"/>
        </w:rPr>
        <w:t xml:space="preserve">inancial </w:t>
      </w:r>
      <w:r w:rsidRPr="00386C89">
        <w:rPr>
          <w:rFonts w:cs="Times New Roman"/>
          <w:szCs w:val="24"/>
          <w:lang w:val="en-NZ" w:bidi="ar-SA"/>
        </w:rPr>
        <w:t>E</w:t>
      </w:r>
      <w:r w:rsidR="004972B8">
        <w:rPr>
          <w:rFonts w:cs="Times New Roman"/>
          <w:szCs w:val="24"/>
          <w:lang w:val="en-NZ" w:bidi="ar-SA"/>
        </w:rPr>
        <w:t xml:space="preserve">xecutives </w:t>
      </w:r>
      <w:r w:rsidRPr="00386C89">
        <w:rPr>
          <w:rFonts w:cs="Times New Roman"/>
          <w:szCs w:val="24"/>
          <w:lang w:val="en-NZ" w:bidi="ar-SA"/>
        </w:rPr>
        <w:t>I</w:t>
      </w:r>
      <w:r w:rsidR="004972B8">
        <w:rPr>
          <w:rFonts w:cs="Times New Roman"/>
          <w:szCs w:val="24"/>
          <w:lang w:val="en-NZ" w:bidi="ar-SA"/>
        </w:rPr>
        <w:t>nstitute</w:t>
      </w:r>
      <w:r w:rsidRPr="00386C89">
        <w:rPr>
          <w:rFonts w:cs="Times New Roman"/>
          <w:szCs w:val="24"/>
          <w:lang w:val="en-NZ" w:bidi="ar-SA"/>
        </w:rPr>
        <w:t xml:space="preserve">, </w:t>
      </w:r>
      <w:r w:rsidR="002F04DE">
        <w:rPr>
          <w:rFonts w:cs="Times New Roman"/>
          <w:szCs w:val="24"/>
          <w:lang w:val="en-NZ" w:bidi="ar-SA"/>
        </w:rPr>
        <w:t>reports on IFRS adoption from an online poll</w:t>
      </w:r>
      <w:r w:rsidRPr="00386C89">
        <w:rPr>
          <w:rFonts w:cs="Times New Roman"/>
          <w:szCs w:val="24"/>
          <w:lang w:val="en-NZ" w:bidi="ar-SA"/>
        </w:rPr>
        <w:t xml:space="preserve"> </w:t>
      </w:r>
      <w:r w:rsidR="002F04DE">
        <w:rPr>
          <w:rFonts w:cs="Times New Roman"/>
          <w:szCs w:val="24"/>
          <w:lang w:val="en-NZ" w:bidi="ar-SA"/>
        </w:rPr>
        <w:t xml:space="preserve">of </w:t>
      </w:r>
      <w:r w:rsidRPr="00386C89">
        <w:rPr>
          <w:rFonts w:cs="Times New Roman"/>
          <w:szCs w:val="24"/>
          <w:lang w:val="en-NZ" w:bidi="ar-SA"/>
        </w:rPr>
        <w:t xml:space="preserve">its members </w:t>
      </w:r>
      <w:r w:rsidR="002F04DE">
        <w:rPr>
          <w:rFonts w:cs="Times New Roman"/>
          <w:szCs w:val="24"/>
          <w:lang w:val="en-NZ" w:bidi="ar-SA"/>
        </w:rPr>
        <w:t>(105 re</w:t>
      </w:r>
      <w:r w:rsidR="00780574">
        <w:rPr>
          <w:rFonts w:cs="Times New Roman"/>
          <w:szCs w:val="24"/>
          <w:lang w:val="en-NZ" w:bidi="ar-SA"/>
        </w:rPr>
        <w:t>s</w:t>
      </w:r>
      <w:r w:rsidR="002F04DE">
        <w:rPr>
          <w:rFonts w:cs="Times New Roman"/>
          <w:szCs w:val="24"/>
          <w:lang w:val="en-NZ" w:bidi="ar-SA"/>
        </w:rPr>
        <w:t xml:space="preserve">ponses) </w:t>
      </w:r>
      <w:r w:rsidRPr="00386C89">
        <w:rPr>
          <w:rFonts w:cs="Times New Roman"/>
          <w:szCs w:val="24"/>
          <w:lang w:val="en-NZ" w:bidi="ar-SA"/>
        </w:rPr>
        <w:t xml:space="preserve">as well as </w:t>
      </w:r>
      <w:r w:rsidR="00780574">
        <w:rPr>
          <w:rFonts w:cs="Times New Roman"/>
          <w:szCs w:val="24"/>
          <w:lang w:val="en-NZ" w:bidi="ar-SA"/>
        </w:rPr>
        <w:t>intervie</w:t>
      </w:r>
      <w:r w:rsidR="00146096">
        <w:rPr>
          <w:rFonts w:cs="Times New Roman"/>
          <w:szCs w:val="24"/>
          <w:lang w:val="en-NZ" w:bidi="ar-SA"/>
        </w:rPr>
        <w:t>w</w:t>
      </w:r>
      <w:r w:rsidR="00780574">
        <w:rPr>
          <w:rFonts w:cs="Times New Roman"/>
          <w:szCs w:val="24"/>
          <w:lang w:val="en-NZ" w:bidi="ar-SA"/>
        </w:rPr>
        <w:t xml:space="preserve">s </w:t>
      </w:r>
      <w:r w:rsidR="00780574">
        <w:rPr>
          <w:rFonts w:cs="Times New Roman"/>
          <w:szCs w:val="24"/>
          <w:lang w:val="en-NZ" w:bidi="ar-SA"/>
        </w:rPr>
        <w:lastRenderedPageBreak/>
        <w:t xml:space="preserve">with </w:t>
      </w:r>
      <w:r w:rsidRPr="00386C89">
        <w:rPr>
          <w:rFonts w:cs="Times New Roman"/>
          <w:szCs w:val="24"/>
          <w:lang w:val="en-NZ" w:bidi="ar-SA"/>
        </w:rPr>
        <w:t>a selection of preparers of financial statements</w:t>
      </w:r>
      <w:r w:rsidR="00780574">
        <w:rPr>
          <w:rFonts w:cs="Times New Roman"/>
          <w:szCs w:val="24"/>
          <w:lang w:val="en-NZ" w:bidi="ar-SA"/>
        </w:rPr>
        <w:t xml:space="preserve"> (14 responses)</w:t>
      </w:r>
      <w:r w:rsidR="002F04DE">
        <w:rPr>
          <w:rFonts w:cs="Times New Roman"/>
          <w:szCs w:val="24"/>
          <w:lang w:val="en-NZ" w:bidi="ar-SA"/>
        </w:rPr>
        <w:t>.</w:t>
      </w:r>
      <w:r w:rsidRPr="00386C89">
        <w:rPr>
          <w:rFonts w:cs="Times New Roman"/>
          <w:szCs w:val="24"/>
          <w:lang w:val="en-NZ" w:bidi="ar-SA"/>
        </w:rPr>
        <w:t xml:space="preserve"> The </w:t>
      </w:r>
      <w:r w:rsidR="002F04DE">
        <w:rPr>
          <w:rFonts w:cs="Times New Roman"/>
          <w:szCs w:val="24"/>
          <w:lang w:val="en-NZ" w:bidi="ar-SA"/>
        </w:rPr>
        <w:t xml:space="preserve">results indicate </w:t>
      </w:r>
      <w:r w:rsidRPr="00386C89">
        <w:rPr>
          <w:rFonts w:cs="Times New Roman"/>
          <w:szCs w:val="24"/>
          <w:lang w:val="en-NZ" w:bidi="ar-SA"/>
        </w:rPr>
        <w:t>t</w:t>
      </w:r>
      <w:r w:rsidR="002F04DE">
        <w:rPr>
          <w:rFonts w:cs="Times New Roman"/>
          <w:szCs w:val="24"/>
          <w:lang w:val="en-NZ" w:bidi="ar-SA"/>
        </w:rPr>
        <w:t xml:space="preserve">hat </w:t>
      </w:r>
      <w:r w:rsidR="002F04DE" w:rsidRPr="002F04DE">
        <w:rPr>
          <w:rFonts w:cs="Times New Roman"/>
          <w:szCs w:val="24"/>
          <w:lang w:val="en-NZ" w:bidi="ar-SA"/>
        </w:rPr>
        <w:t xml:space="preserve">the costs </w:t>
      </w:r>
      <w:r w:rsidR="002F04DE">
        <w:rPr>
          <w:rFonts w:cs="Times New Roman"/>
          <w:szCs w:val="24"/>
          <w:lang w:val="en-NZ" w:bidi="ar-SA"/>
        </w:rPr>
        <w:t xml:space="preserve">of IFRS adoption </w:t>
      </w:r>
      <w:r w:rsidR="002F04DE" w:rsidRPr="002F04DE">
        <w:rPr>
          <w:rFonts w:cs="Times New Roman"/>
          <w:szCs w:val="24"/>
          <w:lang w:val="en-NZ" w:bidi="ar-SA"/>
        </w:rPr>
        <w:t xml:space="preserve">were significant but manageable, and broadly in line with </w:t>
      </w:r>
      <w:r w:rsidR="002F04DE">
        <w:rPr>
          <w:rFonts w:cs="Times New Roman"/>
          <w:szCs w:val="24"/>
          <w:lang w:val="en-NZ" w:bidi="ar-SA"/>
        </w:rPr>
        <w:t>those planned.</w:t>
      </w:r>
    </w:p>
    <w:p w:rsidR="000726B8" w:rsidRDefault="000726B8" w:rsidP="008149D4">
      <w:pPr>
        <w:pStyle w:val="manuscript"/>
      </w:pPr>
      <w:r w:rsidRPr="007F15CF">
        <w:t xml:space="preserve">This study contributes </w:t>
      </w:r>
      <w:r w:rsidR="004C1B1B">
        <w:t xml:space="preserve">to </w:t>
      </w:r>
      <w:r w:rsidR="00C32848">
        <w:t>prior</w:t>
      </w:r>
      <w:r w:rsidR="00C32848" w:rsidRPr="007F15CF">
        <w:t xml:space="preserve"> </w:t>
      </w:r>
      <w:r w:rsidR="004C1B1B">
        <w:t>survey</w:t>
      </w:r>
      <w:r w:rsidRPr="007F15CF">
        <w:t xml:space="preserve"> </w:t>
      </w:r>
      <w:r w:rsidR="00C32848">
        <w:t xml:space="preserve">findings and the accounting choice literature </w:t>
      </w:r>
      <w:r w:rsidR="004C1B1B">
        <w:t xml:space="preserve">by providing </w:t>
      </w:r>
      <w:r w:rsidR="005A5598">
        <w:t xml:space="preserve">more in-depth </w:t>
      </w:r>
      <w:r w:rsidR="00B10AC4">
        <w:t>evidence</w:t>
      </w:r>
      <w:r w:rsidR="004C1B1B">
        <w:t xml:space="preserve"> on </w:t>
      </w:r>
      <w:r w:rsidR="002F04DE">
        <w:t>a wide</w:t>
      </w:r>
      <w:r w:rsidR="005A5598">
        <w:t>r</w:t>
      </w:r>
      <w:r w:rsidR="00B10AC4">
        <w:t xml:space="preserve"> range of </w:t>
      </w:r>
      <w:r w:rsidR="0076601C">
        <w:t>benefits and costs</w:t>
      </w:r>
      <w:r w:rsidRPr="007F15CF">
        <w:t xml:space="preserve"> </w:t>
      </w:r>
      <w:r w:rsidR="004C1B1B">
        <w:t>of IFRS adoption</w:t>
      </w:r>
      <w:r w:rsidRPr="007F15CF">
        <w:t xml:space="preserve"> </w:t>
      </w:r>
      <w:r w:rsidR="004C1B1B">
        <w:t xml:space="preserve">and on the </w:t>
      </w:r>
      <w:r w:rsidR="00C32848">
        <w:t xml:space="preserve">potential </w:t>
      </w:r>
      <w:r w:rsidR="004C1B1B">
        <w:t>motivations for</w:t>
      </w:r>
      <w:r w:rsidR="00A25A82">
        <w:t xml:space="preserve"> IFRS adoption</w:t>
      </w:r>
      <w:r w:rsidRPr="007F15CF">
        <w:t>.</w:t>
      </w:r>
    </w:p>
    <w:p w:rsidR="00514841" w:rsidRPr="007F15CF" w:rsidRDefault="007B5A4D" w:rsidP="00A00C4A">
      <w:pPr>
        <w:pStyle w:val="Heading1"/>
      </w:pPr>
      <w:bookmarkStart w:id="0" w:name="_Toc303853687"/>
      <w:r>
        <w:t>Hypotheses</w:t>
      </w:r>
      <w:bookmarkEnd w:id="0"/>
    </w:p>
    <w:p w:rsidR="00CE6B38" w:rsidRDefault="007B5A4D" w:rsidP="00CE6B38">
      <w:pPr>
        <w:pStyle w:val="manuscript"/>
      </w:pPr>
      <w:r>
        <w:t xml:space="preserve">Archival evidence indicates that </w:t>
      </w:r>
      <w:r w:rsidR="00930202">
        <w:t xml:space="preserve">the </w:t>
      </w:r>
      <w:r w:rsidR="00F21AE7">
        <w:t xml:space="preserve">impact of IFRS on </w:t>
      </w:r>
      <w:r w:rsidR="00A5201E">
        <w:t xml:space="preserve">New Zealand listed </w:t>
      </w:r>
      <w:r w:rsidR="003D024A">
        <w:t xml:space="preserve">firms </w:t>
      </w:r>
      <w:r w:rsidR="00F21AE7">
        <w:t xml:space="preserve">is widespread </w:t>
      </w:r>
      <w:r w:rsidR="00CE6B38">
        <w:t xml:space="preserve">and material. Stent </w:t>
      </w:r>
      <w:r w:rsidR="00CE6B38" w:rsidRPr="00770CFD">
        <w:rPr>
          <w:i/>
        </w:rPr>
        <w:t>et al</w:t>
      </w:r>
      <w:r w:rsidR="00CE6B38" w:rsidRPr="00930202">
        <w:t>.</w:t>
      </w:r>
      <w:r w:rsidR="00CE6B38">
        <w:t xml:space="preserve"> (2010</w:t>
      </w:r>
      <w:proofErr w:type="gramStart"/>
      <w:r w:rsidR="00CE6B38">
        <w:t>)</w:t>
      </w:r>
      <w:r w:rsidR="006471C7">
        <w:t xml:space="preserve"> </w:t>
      </w:r>
      <w:r w:rsidR="00CE6B38">
        <w:t xml:space="preserve"> report</w:t>
      </w:r>
      <w:proofErr w:type="gramEnd"/>
      <w:r w:rsidR="00CE6B38">
        <w:t xml:space="preserve"> that</w:t>
      </w:r>
      <w:r w:rsidR="00F21AE7">
        <w:t xml:space="preserve"> </w:t>
      </w:r>
      <w:r w:rsidR="0012060D">
        <w:t>8</w:t>
      </w:r>
      <w:r w:rsidR="00F21AE7">
        <w:t xml:space="preserve">7 percent of firms </w:t>
      </w:r>
      <w:r w:rsidR="003D024A">
        <w:t>are affected</w:t>
      </w:r>
      <w:r w:rsidR="00F21AE7">
        <w:t xml:space="preserve"> </w:t>
      </w:r>
      <w:r w:rsidR="00CE6B38">
        <w:t xml:space="preserve">by IFRS. </w:t>
      </w:r>
      <w:r w:rsidR="00F21AE7">
        <w:t xml:space="preserve">The largest impact </w:t>
      </w:r>
      <w:r w:rsidR="00CE6B38">
        <w:t>is</w:t>
      </w:r>
      <w:r w:rsidR="00F21AE7">
        <w:t xml:space="preserve"> on liabilities</w:t>
      </w:r>
      <w:r w:rsidR="00F1397C">
        <w:t xml:space="preserve"> but the changes to </w:t>
      </w:r>
      <w:r w:rsidR="003D024A">
        <w:t>total asset</w:t>
      </w:r>
      <w:r w:rsidR="00F1397C">
        <w:t>s, equity and net</w:t>
      </w:r>
      <w:r w:rsidR="003D024A">
        <w:t xml:space="preserve"> profit </w:t>
      </w:r>
      <w:r w:rsidR="00CE6B38">
        <w:t xml:space="preserve">are </w:t>
      </w:r>
      <w:r w:rsidR="00F1397C">
        <w:t xml:space="preserve">also material. </w:t>
      </w:r>
    </w:p>
    <w:p w:rsidR="007B5A4D" w:rsidRDefault="00A936F0" w:rsidP="008149D4">
      <w:pPr>
        <w:pStyle w:val="manuscript"/>
      </w:pPr>
      <w:r>
        <w:t xml:space="preserve">The economic intuition behind our analysis is that firms that commit early to IFRS are those that </w:t>
      </w:r>
      <w:r w:rsidRPr="00592AAC">
        <w:t>perceive</w:t>
      </w:r>
      <w:r>
        <w:t xml:space="preserve"> there are </w:t>
      </w:r>
      <w:r w:rsidRPr="005F52FE">
        <w:t>net benefits of adoption</w:t>
      </w:r>
      <w:r>
        <w:t xml:space="preserve">. </w:t>
      </w:r>
      <w:r w:rsidR="00CE6B38">
        <w:t xml:space="preserve">Christensen (2012) notes that despite claims and evidence on the significant benefits of IFRS adoption, voluntary adopters </w:t>
      </w:r>
      <w:proofErr w:type="gramStart"/>
      <w:r w:rsidR="00CE6B38">
        <w:t>constitute</w:t>
      </w:r>
      <w:proofErr w:type="gramEnd"/>
      <w:r w:rsidR="00CE6B38">
        <w:t xml:space="preserve"> only a small percentage of the global population of firms. Christensen (</w:t>
      </w:r>
      <w:r w:rsidR="00CE6B38" w:rsidRPr="003D1A73">
        <w:t>2012</w:t>
      </w:r>
      <w:r w:rsidR="00CE6B38">
        <w:t xml:space="preserve">) argues that an understanding of </w:t>
      </w:r>
      <w:r w:rsidR="00731016" w:rsidRPr="003D1A73">
        <w:t xml:space="preserve">low voluntary adoption of IFRS </w:t>
      </w:r>
      <w:r w:rsidR="00731016">
        <w:t xml:space="preserve">requires evidence on the both the </w:t>
      </w:r>
      <w:r w:rsidR="00731016" w:rsidRPr="003D1A73">
        <w:t xml:space="preserve">benefits and </w:t>
      </w:r>
      <w:r w:rsidR="00731016">
        <w:t>the costs</w:t>
      </w:r>
      <w:r w:rsidR="00377A8E">
        <w:t xml:space="preserve">. </w:t>
      </w:r>
      <w:r w:rsidR="00CE6B38">
        <w:t>C</w:t>
      </w:r>
      <w:r w:rsidR="00731016" w:rsidRPr="003D1A73">
        <w:t xml:space="preserve">apital market research </w:t>
      </w:r>
      <w:r w:rsidR="00CE6B38">
        <w:t xml:space="preserve">typically </w:t>
      </w:r>
      <w:r w:rsidR="00731016">
        <w:t>examines the net benefits of IFRS adoption</w:t>
      </w:r>
      <w:r w:rsidR="00CE6B38">
        <w:t>.</w:t>
      </w:r>
      <w:r w:rsidR="00377A8E">
        <w:t xml:space="preserve"> </w:t>
      </w:r>
      <w:r w:rsidR="00CE6B38">
        <w:t xml:space="preserve"> Analysis of audit fees provides only a crude proxy for the costs of IFRS adoption. However,</w:t>
      </w:r>
      <w:r w:rsidR="00AB4EAF" w:rsidRPr="003D1A73">
        <w:t xml:space="preserve"> a survey </w:t>
      </w:r>
      <w:r w:rsidR="00731016">
        <w:t xml:space="preserve">approach </w:t>
      </w:r>
      <w:r w:rsidR="00AB4EAF" w:rsidRPr="003D1A73">
        <w:t>can disentangle the costs and benefits of IFRS adopti</w:t>
      </w:r>
      <w:r w:rsidR="00731016">
        <w:t>on, rather than simply report on</w:t>
      </w:r>
      <w:r w:rsidR="00AB4EAF" w:rsidRPr="003D1A73">
        <w:t xml:space="preserve"> the net benefits. </w:t>
      </w:r>
      <w:r w:rsidR="004C1B1B">
        <w:t>T</w:t>
      </w:r>
      <w:r w:rsidR="00746A06">
        <w:t xml:space="preserve">his </w:t>
      </w:r>
      <w:r w:rsidR="007B5A4D">
        <w:t>leads us to the following cross-sectional hypotheses (stated in the alternative form):</w:t>
      </w:r>
    </w:p>
    <w:p w:rsidR="00746A06" w:rsidRPr="00EE196F" w:rsidRDefault="007B5A4D" w:rsidP="008149D4">
      <w:pPr>
        <w:pStyle w:val="manuscript"/>
        <w:rPr>
          <w:i/>
        </w:rPr>
      </w:pPr>
      <w:r>
        <w:t>H</w:t>
      </w:r>
      <w:r w:rsidR="00746A06">
        <w:t xml:space="preserve"> </w:t>
      </w:r>
      <w:r>
        <w:t xml:space="preserve">1: </w:t>
      </w:r>
      <w:r w:rsidR="002E55B8">
        <w:rPr>
          <w:i/>
        </w:rPr>
        <w:t>Early</w:t>
      </w:r>
      <w:r w:rsidRPr="00EE196F">
        <w:rPr>
          <w:i/>
        </w:rPr>
        <w:t xml:space="preserve"> adopters of IFRS perceive there are </w:t>
      </w:r>
      <w:r w:rsidR="00746A06" w:rsidRPr="00EE196F">
        <w:rPr>
          <w:i/>
        </w:rPr>
        <w:t>greater</w:t>
      </w:r>
      <w:r w:rsidRPr="00EE196F">
        <w:rPr>
          <w:i/>
        </w:rPr>
        <w:t xml:space="preserve"> be</w:t>
      </w:r>
      <w:r w:rsidR="00746A06" w:rsidRPr="00EE196F">
        <w:rPr>
          <w:i/>
        </w:rPr>
        <w:t xml:space="preserve">nefits in adopting IFRS than </w:t>
      </w:r>
      <w:r w:rsidR="00595A7C">
        <w:rPr>
          <w:i/>
        </w:rPr>
        <w:t>late</w:t>
      </w:r>
      <w:r w:rsidRPr="00EE196F">
        <w:rPr>
          <w:i/>
        </w:rPr>
        <w:t xml:space="preserve"> adopters</w:t>
      </w:r>
      <w:r w:rsidR="009B5ADC">
        <w:rPr>
          <w:i/>
        </w:rPr>
        <w:t xml:space="preserve"> (the benefit hypothesis)</w:t>
      </w:r>
      <w:r w:rsidR="00746A06" w:rsidRPr="00EE196F">
        <w:rPr>
          <w:i/>
        </w:rPr>
        <w:t>.</w:t>
      </w:r>
    </w:p>
    <w:p w:rsidR="002973E1" w:rsidRPr="00EE196F" w:rsidRDefault="002973E1" w:rsidP="008149D4">
      <w:pPr>
        <w:pStyle w:val="manuscript"/>
        <w:rPr>
          <w:i/>
        </w:rPr>
      </w:pPr>
      <w:r w:rsidRPr="00EE196F">
        <w:lastRenderedPageBreak/>
        <w:t>H 2</w:t>
      </w:r>
      <w:r w:rsidR="00746A06" w:rsidRPr="00EE196F">
        <w:t>:</w:t>
      </w:r>
      <w:r w:rsidR="00746A06" w:rsidRPr="00EE196F">
        <w:rPr>
          <w:i/>
        </w:rPr>
        <w:t xml:space="preserve"> </w:t>
      </w:r>
      <w:r w:rsidR="002E55B8">
        <w:rPr>
          <w:i/>
        </w:rPr>
        <w:t>Early</w:t>
      </w:r>
      <w:r w:rsidR="00746A06" w:rsidRPr="00EE196F">
        <w:rPr>
          <w:i/>
        </w:rPr>
        <w:t xml:space="preserve"> adopters of IFRS </w:t>
      </w:r>
      <w:r w:rsidR="002E3EC8">
        <w:rPr>
          <w:i/>
        </w:rPr>
        <w:t>have</w:t>
      </w:r>
      <w:r w:rsidR="00746A06" w:rsidRPr="00EE196F">
        <w:rPr>
          <w:i/>
        </w:rPr>
        <w:t xml:space="preserve"> </w:t>
      </w:r>
      <w:r w:rsidR="00EE196F">
        <w:rPr>
          <w:i/>
        </w:rPr>
        <w:t>lower</w:t>
      </w:r>
      <w:r w:rsidR="00746A06" w:rsidRPr="00EE196F">
        <w:rPr>
          <w:i/>
        </w:rPr>
        <w:t xml:space="preserve"> </w:t>
      </w:r>
      <w:r w:rsidR="00565DD1">
        <w:rPr>
          <w:i/>
        </w:rPr>
        <w:t xml:space="preserve">transition </w:t>
      </w:r>
      <w:r w:rsidR="00746A06" w:rsidRPr="00EE196F">
        <w:rPr>
          <w:i/>
        </w:rPr>
        <w:t xml:space="preserve">costs </w:t>
      </w:r>
      <w:r w:rsidR="004C1B1B">
        <w:rPr>
          <w:i/>
        </w:rPr>
        <w:t>in</w:t>
      </w:r>
      <w:r w:rsidR="00EE196F">
        <w:rPr>
          <w:i/>
        </w:rPr>
        <w:t xml:space="preserve"> </w:t>
      </w:r>
      <w:r w:rsidR="004C1B1B">
        <w:rPr>
          <w:i/>
        </w:rPr>
        <w:t>adopti</w:t>
      </w:r>
      <w:r w:rsidR="00EE196F">
        <w:rPr>
          <w:i/>
        </w:rPr>
        <w:t>n</w:t>
      </w:r>
      <w:r w:rsidR="004C1B1B">
        <w:rPr>
          <w:i/>
        </w:rPr>
        <w:t>g</w:t>
      </w:r>
      <w:r w:rsidR="00746A06" w:rsidRPr="00EE196F">
        <w:rPr>
          <w:i/>
        </w:rPr>
        <w:t xml:space="preserve"> IFRS than </w:t>
      </w:r>
      <w:r w:rsidR="00595A7C">
        <w:rPr>
          <w:i/>
        </w:rPr>
        <w:t>late</w:t>
      </w:r>
      <w:r w:rsidR="00746A06" w:rsidRPr="00EE196F">
        <w:rPr>
          <w:i/>
        </w:rPr>
        <w:t xml:space="preserve"> adopters</w:t>
      </w:r>
      <w:r w:rsidR="009B5ADC">
        <w:rPr>
          <w:i/>
        </w:rPr>
        <w:t xml:space="preserve"> (the cost hypothesis)</w:t>
      </w:r>
      <w:r w:rsidR="00746A06" w:rsidRPr="00EE196F">
        <w:rPr>
          <w:i/>
        </w:rPr>
        <w:t>.</w:t>
      </w:r>
    </w:p>
    <w:p w:rsidR="00731016" w:rsidRPr="003D1A73" w:rsidRDefault="00731016" w:rsidP="00731016">
      <w:pPr>
        <w:pStyle w:val="manuscript"/>
      </w:pPr>
      <w:r w:rsidRPr="003D1A73">
        <w:t xml:space="preserve">Capital market studies examine </w:t>
      </w:r>
      <w:r>
        <w:t>net</w:t>
      </w:r>
      <w:r w:rsidRPr="003D1A73">
        <w:t xml:space="preserve"> benefits </w:t>
      </w:r>
      <w:r>
        <w:t xml:space="preserve">of IFRS </w:t>
      </w:r>
      <w:r w:rsidRPr="003D1A73">
        <w:t xml:space="preserve">at the firm level, whereas the benefits of IFRS may be achieved at the market level (i.e., increasing international trade, reducing standard setting costs).  In our survey we ask respondents’ views on the benefits of IFRS adoption at both firm and market level. </w:t>
      </w:r>
    </w:p>
    <w:p w:rsidR="00D907E9" w:rsidRDefault="00B667D0" w:rsidP="008149D4">
      <w:pPr>
        <w:pStyle w:val="manuscript"/>
      </w:pPr>
      <w:r>
        <w:t xml:space="preserve">Based on the arguments and findings in </w:t>
      </w:r>
      <w:proofErr w:type="spellStart"/>
      <w:r>
        <w:t>Daske</w:t>
      </w:r>
      <w:proofErr w:type="spellEnd"/>
      <w:r>
        <w:t xml:space="preserve"> </w:t>
      </w:r>
      <w:r w:rsidRPr="007E5290">
        <w:rPr>
          <w:i/>
        </w:rPr>
        <w:t>et al</w:t>
      </w:r>
      <w:r>
        <w:t xml:space="preserve">. (2011), Christensen (2012) speculates that the low rate of voluntary adoption may be </w:t>
      </w:r>
      <w:r w:rsidR="00377A8E">
        <w:t xml:space="preserve">due to </w:t>
      </w:r>
      <w:r w:rsidR="00D907E9">
        <w:t>contracting costs, in addition to the direct costs of compliance, caus</w:t>
      </w:r>
      <w:r w:rsidR="00377A8E">
        <w:t>ing</w:t>
      </w:r>
      <w:r w:rsidR="00D907E9">
        <w:t xml:space="preserve"> friction in IFRS adoption.</w:t>
      </w:r>
      <w:r>
        <w:rPr>
          <w:rStyle w:val="FootnoteReference"/>
        </w:rPr>
        <w:footnoteReference w:id="6"/>
      </w:r>
      <w:r w:rsidR="00D907E9">
        <w:t xml:space="preserve"> </w:t>
      </w:r>
      <w:r w:rsidR="00F330E7">
        <w:t xml:space="preserve"> </w:t>
      </w:r>
      <w:r w:rsidR="00A509FD">
        <w:t xml:space="preserve">Christensen, Lee and Walker (2009) investigate the effect of IFRS reconciliations on debt contracting and find a more pronounced market reaction among those firms for whom covenant violations are likely to be most costly. Dunstan (2002) suggests that accounting policy changes resulting from IFRS adoption could negatively affect contractual arrangements such as debt covenants. </w:t>
      </w:r>
      <w:r w:rsidR="00D907E9">
        <w:t>We therefore hypothesi</w:t>
      </w:r>
      <w:r w:rsidR="002C0A2D">
        <w:t>s</w:t>
      </w:r>
      <w:r w:rsidR="00D907E9">
        <w:t>e:</w:t>
      </w:r>
    </w:p>
    <w:p w:rsidR="00A07585" w:rsidRDefault="00D907E9" w:rsidP="00AF7B6A">
      <w:pPr>
        <w:pStyle w:val="manuscript"/>
        <w:rPr>
          <w:rFonts w:ascii="Verdana" w:hAnsi="Verdana"/>
          <w:i/>
          <w:sz w:val="20"/>
          <w:szCs w:val="20"/>
        </w:rPr>
      </w:pPr>
      <w:r>
        <w:t xml:space="preserve">H 3: </w:t>
      </w:r>
      <w:r w:rsidR="002E55B8">
        <w:rPr>
          <w:i/>
        </w:rPr>
        <w:t>Early</w:t>
      </w:r>
      <w:r w:rsidRPr="00EE196F">
        <w:rPr>
          <w:i/>
        </w:rPr>
        <w:t xml:space="preserve"> adopters of IFRS </w:t>
      </w:r>
      <w:r w:rsidR="002E3EC8">
        <w:rPr>
          <w:i/>
        </w:rPr>
        <w:t>have lower contracting</w:t>
      </w:r>
      <w:r w:rsidRPr="00EE196F">
        <w:rPr>
          <w:i/>
        </w:rPr>
        <w:t xml:space="preserve"> </w:t>
      </w:r>
      <w:r w:rsidR="002E3EC8">
        <w:rPr>
          <w:i/>
        </w:rPr>
        <w:t>costs</w:t>
      </w:r>
      <w:r w:rsidRPr="00EE196F">
        <w:rPr>
          <w:i/>
        </w:rPr>
        <w:t xml:space="preserve"> </w:t>
      </w:r>
      <w:r w:rsidR="002E3EC8">
        <w:rPr>
          <w:i/>
        </w:rPr>
        <w:t>in adopting</w:t>
      </w:r>
      <w:r w:rsidRPr="00EE196F">
        <w:rPr>
          <w:i/>
        </w:rPr>
        <w:t xml:space="preserve"> IFRS </w:t>
      </w:r>
      <w:r w:rsidR="002E3EC8">
        <w:rPr>
          <w:i/>
        </w:rPr>
        <w:t xml:space="preserve">than </w:t>
      </w:r>
      <w:r w:rsidR="00595A7C">
        <w:rPr>
          <w:i/>
        </w:rPr>
        <w:t>late</w:t>
      </w:r>
      <w:r w:rsidR="002E3EC8">
        <w:rPr>
          <w:i/>
        </w:rPr>
        <w:t xml:space="preserve"> adopters</w:t>
      </w:r>
      <w:r w:rsidR="009B5ADC">
        <w:rPr>
          <w:i/>
        </w:rPr>
        <w:t xml:space="preserve"> (the contracting cost hypothesis)</w:t>
      </w:r>
      <w:r w:rsidRPr="00EE196F">
        <w:rPr>
          <w:i/>
        </w:rPr>
        <w:t>.</w:t>
      </w:r>
      <w:r w:rsidR="002F1942">
        <w:rPr>
          <w:i/>
        </w:rPr>
        <w:t xml:space="preserve"> </w:t>
      </w:r>
    </w:p>
    <w:p w:rsidR="000219A4" w:rsidRPr="00AF7B6A" w:rsidRDefault="00826225" w:rsidP="00A00C4A">
      <w:pPr>
        <w:pStyle w:val="manuscript"/>
        <w:keepNext/>
        <w:rPr>
          <w:rFonts w:cs="Times New Roman"/>
          <w:b/>
          <w:szCs w:val="24"/>
        </w:rPr>
      </w:pPr>
      <w:r>
        <w:rPr>
          <w:rFonts w:cs="Times New Roman"/>
          <w:b/>
          <w:i/>
          <w:szCs w:val="24"/>
        </w:rPr>
        <w:t xml:space="preserve">4. </w:t>
      </w:r>
      <w:r w:rsidR="000219A4" w:rsidRPr="00AF7B6A">
        <w:rPr>
          <w:rFonts w:cs="Times New Roman"/>
          <w:b/>
          <w:i/>
          <w:szCs w:val="24"/>
        </w:rPr>
        <w:t xml:space="preserve"> </w:t>
      </w:r>
      <w:r w:rsidR="000219A4" w:rsidRPr="00AF7B6A">
        <w:rPr>
          <w:rFonts w:cs="Times New Roman"/>
          <w:b/>
          <w:szCs w:val="24"/>
        </w:rPr>
        <w:t>Method</w:t>
      </w:r>
      <w:r w:rsidRPr="00AF7B6A">
        <w:rPr>
          <w:rFonts w:cs="Times New Roman"/>
          <w:b/>
          <w:szCs w:val="24"/>
        </w:rPr>
        <w:t xml:space="preserve"> and data</w:t>
      </w:r>
    </w:p>
    <w:p w:rsidR="00A07585" w:rsidRPr="00AF7B6A" w:rsidRDefault="00826225" w:rsidP="002C4323">
      <w:pPr>
        <w:pStyle w:val="manuscript"/>
        <w:rPr>
          <w:rFonts w:cs="Times New Roman"/>
          <w:i/>
          <w:szCs w:val="24"/>
        </w:rPr>
      </w:pPr>
      <w:r>
        <w:rPr>
          <w:rFonts w:cs="Times New Roman"/>
          <w:i/>
          <w:szCs w:val="24"/>
        </w:rPr>
        <w:t>4.</w:t>
      </w:r>
      <w:r w:rsidR="00A07585" w:rsidRPr="00AF7B6A">
        <w:rPr>
          <w:rFonts w:cs="Times New Roman"/>
          <w:i/>
          <w:szCs w:val="24"/>
        </w:rPr>
        <w:t>1</w:t>
      </w:r>
      <w:r w:rsidR="00A07585" w:rsidRPr="00AF7B6A">
        <w:rPr>
          <w:rFonts w:cs="Times New Roman"/>
          <w:i/>
          <w:szCs w:val="24"/>
        </w:rPr>
        <w:tab/>
        <w:t>Companies surveyed</w:t>
      </w:r>
    </w:p>
    <w:p w:rsidR="00A07585" w:rsidRPr="00AF7B6A" w:rsidRDefault="00A07585" w:rsidP="00A07585">
      <w:pPr>
        <w:pStyle w:val="manuscript"/>
        <w:rPr>
          <w:rFonts w:cs="Times New Roman"/>
          <w:szCs w:val="24"/>
        </w:rPr>
      </w:pPr>
      <w:r w:rsidRPr="00AF7B6A">
        <w:rPr>
          <w:rFonts w:cs="Times New Roman"/>
          <w:szCs w:val="24"/>
        </w:rPr>
        <w:lastRenderedPageBreak/>
        <w:t xml:space="preserve">The survey sample was selected from the 161 companies listed on the New Zealand Stock Exchange on 1 March 2007. </w:t>
      </w:r>
      <w:r w:rsidR="004C4AE2">
        <w:rPr>
          <w:rFonts w:cs="Times New Roman"/>
          <w:szCs w:val="24"/>
        </w:rPr>
        <w:t xml:space="preserve"> Forty eight</w:t>
      </w:r>
      <w:r w:rsidR="00A936F0">
        <w:rPr>
          <w:rFonts w:cs="Times New Roman"/>
          <w:szCs w:val="24"/>
        </w:rPr>
        <w:t xml:space="preserve"> </w:t>
      </w:r>
      <w:r w:rsidRPr="00AF7B6A">
        <w:rPr>
          <w:rFonts w:cs="Times New Roman"/>
          <w:szCs w:val="24"/>
        </w:rPr>
        <w:t>early</w:t>
      </w:r>
      <w:r w:rsidR="004C4AE2">
        <w:rPr>
          <w:rFonts w:cs="Times New Roman"/>
          <w:szCs w:val="24"/>
        </w:rPr>
        <w:t xml:space="preserve"> </w:t>
      </w:r>
      <w:r w:rsidRPr="00AF7B6A">
        <w:rPr>
          <w:rFonts w:cs="Times New Roman"/>
          <w:szCs w:val="24"/>
        </w:rPr>
        <w:t>adopters were identified (i.e. before IFRS became mandatory for periods beginning on or after 1 January 2007). The remaining 113 firms were late adopters. Identification as an IFRS adopter was made only once the “… explicit and unreserved statement of compliance …” with NZ IFRS had been sighted in a first full-year set of financial statements.</w:t>
      </w:r>
      <w:r w:rsidRPr="00AF7B6A">
        <w:rPr>
          <w:rStyle w:val="FootnoteReference"/>
          <w:rFonts w:cs="Times New Roman"/>
          <w:bCs/>
          <w:spacing w:val="4"/>
          <w:szCs w:val="24"/>
        </w:rPr>
        <w:footnoteReference w:id="7"/>
      </w:r>
    </w:p>
    <w:p w:rsidR="00A07585" w:rsidRPr="00AF7B6A" w:rsidRDefault="00A07585" w:rsidP="00A07585">
      <w:pPr>
        <w:pStyle w:val="manuscript"/>
        <w:rPr>
          <w:rFonts w:cs="Times New Roman"/>
          <w:szCs w:val="24"/>
        </w:rPr>
      </w:pPr>
      <w:r w:rsidRPr="00AF7B6A">
        <w:rPr>
          <w:rFonts w:cs="Times New Roman"/>
          <w:szCs w:val="24"/>
        </w:rPr>
        <w:t>From the early adoption sample, observations were discarded because the entity used accounting policies other than NZ IFRS (4 observations); used a functional currency other than NZ dollars (2); or reported no reconciliation to NZ IFRS (2).   Questionnaires were sent to all 40 early adopters.</w:t>
      </w:r>
    </w:p>
    <w:p w:rsidR="00A07585" w:rsidRPr="00AF7B6A" w:rsidRDefault="00A07585" w:rsidP="00A07585">
      <w:pPr>
        <w:pStyle w:val="manuscript"/>
        <w:rPr>
          <w:rFonts w:cs="Times New Roman"/>
          <w:szCs w:val="24"/>
        </w:rPr>
      </w:pPr>
      <w:r w:rsidRPr="00AF7B6A">
        <w:rPr>
          <w:rFonts w:cs="Times New Roman"/>
          <w:szCs w:val="24"/>
        </w:rPr>
        <w:t xml:space="preserve">From the 113 late adopters, 12 observations were lost where companies delisted after 1 March 2007. </w:t>
      </w:r>
      <w:r w:rsidR="00984D7F" w:rsidRPr="00AF7B6A">
        <w:rPr>
          <w:rFonts w:cs="Times New Roman"/>
          <w:szCs w:val="24"/>
        </w:rPr>
        <w:t xml:space="preserve"> </w:t>
      </w:r>
      <w:r w:rsidRPr="00AF7B6A">
        <w:rPr>
          <w:rFonts w:cs="Times New Roman"/>
          <w:szCs w:val="24"/>
        </w:rPr>
        <w:t>From the available 101 companies, a random sample of 40 was selected and surveyed.</w:t>
      </w:r>
      <w:r w:rsidRPr="00AF7B6A">
        <w:rPr>
          <w:rStyle w:val="FootnoteReference"/>
          <w:rFonts w:cs="Times New Roman"/>
          <w:szCs w:val="24"/>
        </w:rPr>
        <w:footnoteReference w:id="8"/>
      </w:r>
      <w:r w:rsidRPr="00AF7B6A">
        <w:rPr>
          <w:rFonts w:cs="Times New Roman"/>
          <w:szCs w:val="24"/>
        </w:rPr>
        <w:t xml:space="preserve"> After the process began, surveys on three Christchurch late adopters were discontinued because of sensitivity to their situation and priorities after the major earthquake in 2010. </w:t>
      </w:r>
    </w:p>
    <w:p w:rsidR="00A07585" w:rsidRPr="00AF7B6A" w:rsidRDefault="00826225" w:rsidP="002C4323">
      <w:pPr>
        <w:pStyle w:val="manuscript"/>
        <w:rPr>
          <w:rFonts w:cs="Times New Roman"/>
          <w:i/>
          <w:szCs w:val="24"/>
        </w:rPr>
      </w:pPr>
      <w:r>
        <w:rPr>
          <w:rFonts w:cs="Times New Roman"/>
          <w:i/>
          <w:szCs w:val="24"/>
        </w:rPr>
        <w:t>4.</w:t>
      </w:r>
      <w:r w:rsidR="00984D7F" w:rsidRPr="00AF7B6A">
        <w:rPr>
          <w:rFonts w:cs="Times New Roman"/>
          <w:i/>
          <w:szCs w:val="24"/>
        </w:rPr>
        <w:t>2</w:t>
      </w:r>
      <w:r w:rsidR="00984D7F" w:rsidRPr="00AF7B6A">
        <w:rPr>
          <w:rFonts w:cs="Times New Roman"/>
          <w:i/>
          <w:szCs w:val="24"/>
        </w:rPr>
        <w:tab/>
        <w:t>Survey respondents</w:t>
      </w:r>
    </w:p>
    <w:p w:rsidR="00984D7F" w:rsidRPr="00AF7B6A" w:rsidRDefault="00984D7F" w:rsidP="00984D7F">
      <w:pPr>
        <w:pStyle w:val="manuscript"/>
        <w:rPr>
          <w:rFonts w:cs="Times New Roman"/>
          <w:szCs w:val="24"/>
        </w:rPr>
      </w:pPr>
      <w:r w:rsidRPr="00AF7B6A">
        <w:rPr>
          <w:rFonts w:cs="Times New Roman"/>
          <w:szCs w:val="24"/>
        </w:rPr>
        <w:t xml:space="preserve">Care was taken to identify and approach senior financial executives who had key roles in overseeing the adoption of IFRS (e.g., more than 70 percent were described as Chief Financial Officer or Financial Controller; the remainder were designated with titles such as Finance Manager, Group Accountant). These individuals were then contacted by telephone to explain the research project and to request their assistance. A questionnaire was sent by mail and email, specifically addressed to each </w:t>
      </w:r>
      <w:r w:rsidRPr="00AF7B6A">
        <w:rPr>
          <w:rFonts w:cs="Times New Roman"/>
          <w:szCs w:val="24"/>
        </w:rPr>
        <w:lastRenderedPageBreak/>
        <w:t>individual who agreed to assist. A personally addressed questionnaire was sent and then followed up with a request for a telephone or face-to-face interview to clarify responses and to obtain more detailed answers.</w:t>
      </w:r>
      <w:r w:rsidRPr="00AF7B6A">
        <w:rPr>
          <w:rStyle w:val="FootnoteReference"/>
          <w:rFonts w:cs="Times New Roman"/>
          <w:bCs/>
          <w:spacing w:val="4"/>
          <w:szCs w:val="24"/>
        </w:rPr>
        <w:footnoteReference w:id="9"/>
      </w:r>
    </w:p>
    <w:p w:rsidR="00984D7F" w:rsidRPr="00AF7B6A" w:rsidRDefault="00826225" w:rsidP="00984D7F">
      <w:pPr>
        <w:pStyle w:val="manuscript"/>
        <w:rPr>
          <w:rFonts w:cs="Times New Roman"/>
          <w:i/>
          <w:szCs w:val="24"/>
        </w:rPr>
      </w:pPr>
      <w:r>
        <w:rPr>
          <w:rFonts w:cs="Times New Roman"/>
          <w:i/>
          <w:szCs w:val="24"/>
        </w:rPr>
        <w:t>4</w:t>
      </w:r>
      <w:r w:rsidR="00984D7F" w:rsidRPr="00AF7B6A">
        <w:rPr>
          <w:rFonts w:cs="Times New Roman"/>
          <w:i/>
          <w:szCs w:val="24"/>
        </w:rPr>
        <w:t>.3 Design of questionnaire</w:t>
      </w:r>
    </w:p>
    <w:p w:rsidR="00984D7F" w:rsidRPr="00AF7B6A" w:rsidRDefault="00984D7F" w:rsidP="00984D7F">
      <w:pPr>
        <w:pStyle w:val="manuscript"/>
        <w:rPr>
          <w:rFonts w:cs="Times New Roman"/>
          <w:szCs w:val="24"/>
        </w:rPr>
      </w:pPr>
      <w:r w:rsidRPr="00AF7B6A">
        <w:rPr>
          <w:rFonts w:cs="Times New Roman"/>
          <w:szCs w:val="24"/>
        </w:rPr>
        <w:t xml:space="preserve">The questionnaire and covering letter were designed to minimise bias and achieve conformity with accepted principles of wording, measurement and general appearance </w:t>
      </w:r>
      <w:r w:rsidRPr="00AF7B6A">
        <w:rPr>
          <w:rFonts w:cs="Times New Roman"/>
          <w:szCs w:val="24"/>
        </w:rPr>
        <w:fldChar w:fldCharType="begin"/>
      </w:r>
      <w:r w:rsidRPr="00AF7B6A">
        <w:rPr>
          <w:rFonts w:cs="Times New Roman"/>
          <w:szCs w:val="24"/>
        </w:rPr>
        <w:instrText xml:space="preserve"> ADDIN EN.CITE &lt;EndNote&gt;&lt;Cite ExcludeAuth="1"&gt;&lt;Author&gt;Cavana&lt;/Author&gt;&lt;Year&gt;2001&lt;/Year&gt;&lt;RecNum&gt;84&lt;/RecNum&gt;&lt;Prefix&gt;e.g., Cavana et al., &lt;/Prefix&gt;&lt;record&gt;&lt;rec-number&gt;84&lt;/rec-number&gt;&lt;ref-type name="Book"&gt;6&lt;/ref-type&gt;&lt;contributors&gt;&lt;authors&gt;&lt;author&gt;Robert Y Cavana&lt;/author&gt;&lt;author&gt;Brian L Delahaye&lt;/author&gt;&lt;author&gt;Uma Sekaran&lt;/author&gt;&lt;/authors&gt;&lt;/contributors&gt;&lt;titles&gt;&lt;title&gt;Applied Business Research: Qualitative and Quantitative Methods&lt;/title&gt;&lt;/titles&gt;&lt;dates&gt;&lt;year&gt;2001&lt;/year&gt;&lt;/dates&gt;&lt;pub-location&gt;Milton, Queensland&lt;/pub-location&gt;&lt;publisher&gt;John Wiley &amp;amp; Sons&lt;/publisher&gt;&lt;isbn&gt;0 471 34126 6&lt;/isbn&gt;&lt;urls&gt;&lt;/urls&gt;&lt;/record&gt;&lt;/Cite&gt;&lt;Cite&gt;&lt;Author&gt;Creswell&lt;/Author&gt;&lt;Year&gt;2003&lt;/Year&gt;&lt;RecNum&gt;83&lt;/RecNum&gt;&lt;record&gt;&lt;rec-number&gt;83&lt;/rec-number&gt;&lt;ref-type name="Book"&gt;6&lt;/ref-type&gt;&lt;contributors&gt;&lt;authors&gt;&lt;author&gt;John W Creswell&lt;/author&gt;&lt;/authors&gt;&lt;/contributors&gt;&lt;titles&gt;&lt;title&gt;Research Design: Qualitative, Quantitative, and Mixed Methods Approaches&lt;/title&gt;&lt;/titles&gt;&lt;edition&gt;Second&lt;/edition&gt;&lt;dates&gt;&lt;year&gt;2003&lt;/year&gt;&lt;/dates&gt;&lt;publisher&gt;Sage Publications&lt;/publisher&gt;&lt;urls&gt;&lt;/urls&gt;&lt;/record&gt;&lt;/Cite&gt;&lt;/EndNote&gt;</w:instrText>
      </w:r>
      <w:r w:rsidRPr="00AF7B6A">
        <w:rPr>
          <w:rFonts w:cs="Times New Roman"/>
          <w:szCs w:val="24"/>
        </w:rPr>
        <w:fldChar w:fldCharType="separate"/>
      </w:r>
      <w:r w:rsidRPr="00AF7B6A">
        <w:rPr>
          <w:rFonts w:cs="Times New Roman"/>
          <w:szCs w:val="24"/>
        </w:rPr>
        <w:t>(e.g., Cavana, Delahaye and Sekaran, 2001; Creswell, 2003)</w:t>
      </w:r>
      <w:r w:rsidRPr="00AF7B6A">
        <w:rPr>
          <w:rFonts w:cs="Times New Roman"/>
          <w:szCs w:val="24"/>
        </w:rPr>
        <w:fldChar w:fldCharType="end"/>
      </w:r>
      <w:r w:rsidRPr="00AF7B6A">
        <w:rPr>
          <w:rFonts w:cs="Times New Roman"/>
          <w:szCs w:val="24"/>
        </w:rPr>
        <w:t xml:space="preserve">. Closed questions were used throughout the questionnaire to make completion easier and quicker for respondents and to facilitate coding for subsequent analysis. However, each question was also supplemented with space for comments to provide an open-ended option for respondents. </w:t>
      </w:r>
    </w:p>
    <w:p w:rsidR="00984D7F" w:rsidRPr="00CC0B03" w:rsidRDefault="00984D7F" w:rsidP="00984D7F">
      <w:pPr>
        <w:pStyle w:val="manuscript"/>
        <w:rPr>
          <w:rFonts w:cs="Times New Roman"/>
          <w:szCs w:val="24"/>
        </w:rPr>
      </w:pPr>
      <w:r w:rsidRPr="00AF7B6A">
        <w:rPr>
          <w:rFonts w:cs="Times New Roman"/>
          <w:szCs w:val="24"/>
        </w:rPr>
        <w:t>The questionnaire was pre-tested for face and content validity by five academics and by four senior financial executives (i.e., similar to the intended respondents). Issues raised were discussed with the pre-testers and amendments made where necessary. The questionnaire was included in project material reviewed and approved by the authors’ University Human Ethics Committee</w:t>
      </w:r>
      <w:r w:rsidR="000E3413">
        <w:rPr>
          <w:rFonts w:cs="Times New Roman"/>
          <w:szCs w:val="24"/>
        </w:rPr>
        <w:t>.</w:t>
      </w:r>
      <w:r w:rsidRPr="00AF7B6A">
        <w:rPr>
          <w:rStyle w:val="FootnoteReference"/>
          <w:rFonts w:cs="Times New Roman"/>
          <w:szCs w:val="24"/>
        </w:rPr>
        <w:footnoteReference w:id="10"/>
      </w:r>
      <w:r w:rsidRPr="00AF7B6A">
        <w:rPr>
          <w:rFonts w:cs="Times New Roman"/>
          <w:szCs w:val="24"/>
        </w:rPr>
        <w:t xml:space="preserve"> </w:t>
      </w:r>
      <w:r w:rsidR="009C05E2" w:rsidRPr="00CC0B03">
        <w:rPr>
          <w:rFonts w:cs="Times New Roman"/>
          <w:szCs w:val="24"/>
        </w:rPr>
        <w:t xml:space="preserve">  </w:t>
      </w:r>
      <w:r w:rsidR="009C05E2" w:rsidRPr="00AF7B6A">
        <w:rPr>
          <w:rFonts w:cs="Times New Roman"/>
          <w:szCs w:val="24"/>
        </w:rPr>
        <w:t xml:space="preserve">The questionnaire was sent to early adopters over the period July 2007 to August 2008 and to late </w:t>
      </w:r>
      <w:r w:rsidR="009C05E2" w:rsidRPr="00CC0B03">
        <w:rPr>
          <w:rFonts w:cs="Times New Roman"/>
          <w:szCs w:val="24"/>
        </w:rPr>
        <w:t>adopters in March 2011.</w:t>
      </w:r>
    </w:p>
    <w:p w:rsidR="00984D7F" w:rsidRPr="00AF7B6A" w:rsidRDefault="00984D7F" w:rsidP="00984D7F">
      <w:pPr>
        <w:pStyle w:val="manuscript"/>
        <w:rPr>
          <w:rFonts w:cs="Times New Roman"/>
          <w:szCs w:val="24"/>
        </w:rPr>
      </w:pPr>
      <w:r w:rsidRPr="00AF7B6A">
        <w:rPr>
          <w:rFonts w:cs="Times New Roman"/>
          <w:szCs w:val="24"/>
        </w:rPr>
        <w:t>An adapted version of the questionnaire was used for the follow-up interviews. This adapted version included potential interview prompts (optional dependi</w:t>
      </w:r>
      <w:bookmarkStart w:id="1" w:name="_GoBack"/>
      <w:bookmarkEnd w:id="1"/>
      <w:r w:rsidRPr="00AF7B6A">
        <w:rPr>
          <w:rFonts w:cs="Times New Roman"/>
          <w:szCs w:val="24"/>
        </w:rPr>
        <w:t xml:space="preserve">ng on completion of the original </w:t>
      </w:r>
      <w:r w:rsidRPr="00AF7B6A">
        <w:rPr>
          <w:rFonts w:cs="Times New Roman"/>
          <w:szCs w:val="24"/>
        </w:rPr>
        <w:lastRenderedPageBreak/>
        <w:t>questionnaire) and an additional final open-ended question relating to the respondent’s motivations for their adoption timing choice. All interviews were recorded with the permission of respondents and transcribed. Both the recorded and transcribed versions have been retained as evidence.</w:t>
      </w:r>
    </w:p>
    <w:p w:rsidR="00826225" w:rsidRPr="00AF7B6A" w:rsidRDefault="00984D7F" w:rsidP="00984D7F">
      <w:pPr>
        <w:pStyle w:val="manuscript"/>
        <w:rPr>
          <w:rFonts w:cs="Times New Roman"/>
          <w:szCs w:val="24"/>
          <w:highlight w:val="yellow"/>
        </w:rPr>
      </w:pPr>
      <w:proofErr w:type="spellStart"/>
      <w:r w:rsidRPr="00AF7B6A">
        <w:rPr>
          <w:rFonts w:cs="Times New Roman"/>
          <w:szCs w:val="24"/>
        </w:rPr>
        <w:t>Cavana</w:t>
      </w:r>
      <w:proofErr w:type="spellEnd"/>
      <w:r w:rsidRPr="00AF7B6A">
        <w:rPr>
          <w:rFonts w:cs="Times New Roman"/>
          <w:szCs w:val="24"/>
        </w:rPr>
        <w:t xml:space="preserve"> </w:t>
      </w:r>
      <w:r w:rsidRPr="00AF7B6A">
        <w:rPr>
          <w:rFonts w:cs="Times New Roman"/>
          <w:i/>
          <w:szCs w:val="24"/>
        </w:rPr>
        <w:t>et al.</w:t>
      </w:r>
      <w:r w:rsidRPr="00AF7B6A">
        <w:rPr>
          <w:rFonts w:cs="Times New Roman"/>
          <w:szCs w:val="24"/>
        </w:rPr>
        <w:t xml:space="preserve"> (2001) identify two potential issues in data collection: response equivalence and timing of data collection. The steps taken to promote response equivalence included only one of the authors conducting all survey procedures; the use of standardised procedures for introducing the research project to respondents; and the use of standardised survey instruments</w:t>
      </w:r>
      <w:r w:rsidR="009C05E2">
        <w:rPr>
          <w:rFonts w:cs="Times New Roman"/>
          <w:szCs w:val="24"/>
        </w:rPr>
        <w:t>.</w:t>
      </w:r>
      <w:r w:rsidR="00A936F0" w:rsidRPr="00A936F0">
        <w:rPr>
          <w:rStyle w:val="FootnoteReference"/>
          <w:rFonts w:cs="Times New Roman"/>
          <w:szCs w:val="24"/>
        </w:rPr>
        <w:t xml:space="preserve"> </w:t>
      </w:r>
      <w:r w:rsidR="00A936F0" w:rsidRPr="00CC0B03">
        <w:rPr>
          <w:rStyle w:val="FootnoteReference"/>
          <w:rFonts w:cs="Times New Roman"/>
          <w:szCs w:val="24"/>
        </w:rPr>
        <w:footnoteReference w:id="11"/>
      </w:r>
    </w:p>
    <w:p w:rsidR="00022FEC" w:rsidRPr="00AF7B6A" w:rsidRDefault="00826225" w:rsidP="00AF7B6A">
      <w:pPr>
        <w:pStyle w:val="manuscript"/>
        <w:keepNext/>
        <w:rPr>
          <w:rFonts w:cs="Times New Roman"/>
          <w:i/>
          <w:szCs w:val="24"/>
        </w:rPr>
      </w:pPr>
      <w:r>
        <w:rPr>
          <w:rFonts w:cs="Times New Roman"/>
          <w:i/>
          <w:szCs w:val="24"/>
        </w:rPr>
        <w:t>4</w:t>
      </w:r>
      <w:r w:rsidR="00022FEC" w:rsidRPr="00AF7B6A">
        <w:rPr>
          <w:rFonts w:cs="Times New Roman"/>
          <w:i/>
          <w:szCs w:val="24"/>
        </w:rPr>
        <w:t>.4 Number of responses</w:t>
      </w:r>
    </w:p>
    <w:p w:rsidR="00022FEC" w:rsidRPr="00AF7B6A" w:rsidRDefault="00022FEC" w:rsidP="00022FEC">
      <w:pPr>
        <w:pStyle w:val="manuscript"/>
        <w:rPr>
          <w:rFonts w:cs="Times New Roman"/>
          <w:szCs w:val="24"/>
        </w:rPr>
      </w:pPr>
      <w:r w:rsidRPr="00AF7B6A">
        <w:rPr>
          <w:rFonts w:cs="Times New Roman"/>
          <w:szCs w:val="24"/>
        </w:rPr>
        <w:t xml:space="preserve">Questionnaire responses were received from 17 early adopters (43 percent) and 17 late adopters (46 percent). This response rate compares favourably with the 35 percent response rate in Jones and Higgins </w:t>
      </w:r>
      <w:r w:rsidRPr="00AF7B6A">
        <w:rPr>
          <w:rFonts w:cs="Times New Roman"/>
          <w:szCs w:val="24"/>
        </w:rPr>
        <w:fldChar w:fldCharType="begin"/>
      </w:r>
      <w:r w:rsidRPr="00AF7B6A">
        <w:rPr>
          <w:rFonts w:cs="Times New Roman"/>
          <w:szCs w:val="24"/>
        </w:rPr>
        <w:instrText xml:space="preserve"> ADDIN EN.CITE &lt;EndNote&gt;&lt;Cite ExcludeAuth="1"&gt;&lt;Author&gt;Jones&lt;/Author&gt;&lt;Year&gt;2006&lt;/Year&gt;&lt;RecNum&gt;92&lt;/RecNum&gt;&lt;record&gt;&lt;rec-number&gt;92&lt;/rec-number&gt;&lt;ref-type name="Journal Article"&gt;17&lt;/ref-type&gt;&lt;contributors&gt;&lt;authors&gt;&lt;author&gt;Jones,Stewart&lt;/author&gt;&lt;author&gt;Higgins,Alison D.&lt;/author&gt;&lt;/authors&gt;&lt;/contributors&gt;&lt;titles&gt;&lt;title&gt;Australia&amp;apos;s switch to international financial reporting standards: a perspective from account preparers&lt;/title&gt;&lt;secondary-title&gt;Accounting and Finance&lt;/secondary-title&gt;&lt;alt-title&gt;Accounting and Finance&lt;/alt-title&gt;&lt;/titles&gt;&lt;periodical&gt;&lt;full-title&gt;Accounting and Finance&lt;/full-title&gt;&lt;/periodical&gt;&lt;alt-periodical&gt;&lt;full-title&gt;Accounting and Finance&lt;/full-title&gt;&lt;/alt-periodical&gt;&lt;pages&gt;629-652&lt;/pages&gt;&lt;volume&gt;46&lt;/volume&gt;&lt;number&gt;4&lt;/number&gt;&lt;dates&gt;&lt;year&gt;2006&lt;/year&gt;&lt;/dates&gt;&lt;urls&gt;&lt;related-urls&gt;&lt;url&gt;http://www.blackwell-synergy.com/doi/abs/10.1111/j.1467-629X.2006.00186.x&lt;/url&gt;&lt;/related-urls&gt;&lt;/urls&gt;&lt;/record&gt;&lt;/Cite&gt;&lt;/EndNote&gt;</w:instrText>
      </w:r>
      <w:r w:rsidRPr="00AF7B6A">
        <w:rPr>
          <w:rFonts w:cs="Times New Roman"/>
          <w:szCs w:val="24"/>
        </w:rPr>
        <w:fldChar w:fldCharType="separate"/>
      </w:r>
      <w:r w:rsidRPr="00AF7B6A">
        <w:rPr>
          <w:rFonts w:cs="Times New Roman"/>
          <w:szCs w:val="24"/>
        </w:rPr>
        <w:t>(2006)</w:t>
      </w:r>
      <w:r w:rsidRPr="00AF7B6A">
        <w:rPr>
          <w:rFonts w:cs="Times New Roman"/>
          <w:szCs w:val="24"/>
        </w:rPr>
        <w:fldChar w:fldCharType="end"/>
      </w:r>
      <w:r w:rsidRPr="00AF7B6A">
        <w:rPr>
          <w:rFonts w:cs="Times New Roman"/>
          <w:szCs w:val="24"/>
        </w:rPr>
        <w:t xml:space="preserve"> and the 11 percent in </w:t>
      </w:r>
      <w:proofErr w:type="spellStart"/>
      <w:r w:rsidRPr="00AF7B6A">
        <w:rPr>
          <w:rFonts w:cs="Times New Roman"/>
          <w:szCs w:val="24"/>
        </w:rPr>
        <w:t>Litjens</w:t>
      </w:r>
      <w:proofErr w:type="spellEnd"/>
      <w:r w:rsidRPr="00AF7B6A">
        <w:rPr>
          <w:rFonts w:cs="Times New Roman"/>
          <w:szCs w:val="24"/>
        </w:rPr>
        <w:t xml:space="preserve"> </w:t>
      </w:r>
      <w:r w:rsidRPr="00AF7B6A">
        <w:rPr>
          <w:rFonts w:cs="Times New Roman"/>
          <w:i/>
          <w:szCs w:val="24"/>
        </w:rPr>
        <w:t xml:space="preserve">et al. </w:t>
      </w:r>
      <w:r w:rsidRPr="00AF7B6A">
        <w:rPr>
          <w:rFonts w:cs="Times New Roman"/>
          <w:szCs w:val="24"/>
        </w:rPr>
        <w:t>(2012</w:t>
      </w:r>
      <w:r w:rsidRPr="00AF7B6A">
        <w:rPr>
          <w:rFonts w:cs="Times New Roman"/>
          <w:i/>
          <w:szCs w:val="24"/>
        </w:rPr>
        <w:t>)</w:t>
      </w:r>
      <w:r w:rsidRPr="00AF7B6A">
        <w:rPr>
          <w:rFonts w:cs="Times New Roman"/>
          <w:szCs w:val="24"/>
        </w:rPr>
        <w:t>. Mann-Whitney tests were carried out to compare early and late responses across the range of survey questions (these included firm chara</w:t>
      </w:r>
      <w:r w:rsidRPr="00130642">
        <w:rPr>
          <w:rFonts w:cs="Times New Roman"/>
          <w:b/>
          <w:szCs w:val="24"/>
        </w:rPr>
        <w:t>c</w:t>
      </w:r>
      <w:r w:rsidRPr="00AF7B6A">
        <w:rPr>
          <w:rFonts w:cs="Times New Roman"/>
          <w:szCs w:val="24"/>
        </w:rPr>
        <w:t>teristics such as size and audit fees). No statistically significant differences were found, suggesting that non-response bias is unlikely to be a serious issue. Twenty six of the 34 questionnaire respondents agreed to be interviewed (13 early adopters and 13 late adopters).</w:t>
      </w:r>
    </w:p>
    <w:p w:rsidR="00022FEC" w:rsidRPr="00AF7B6A" w:rsidRDefault="00B37C01" w:rsidP="00022FEC">
      <w:pPr>
        <w:pStyle w:val="manuscript"/>
        <w:rPr>
          <w:rFonts w:cs="Times New Roman"/>
          <w:i/>
          <w:szCs w:val="24"/>
        </w:rPr>
      </w:pPr>
      <w:r>
        <w:rPr>
          <w:rFonts w:cs="Times New Roman"/>
          <w:i/>
          <w:szCs w:val="24"/>
        </w:rPr>
        <w:t>4</w:t>
      </w:r>
      <w:r w:rsidR="00022FEC" w:rsidRPr="00AF7B6A">
        <w:rPr>
          <w:rFonts w:cs="Times New Roman"/>
          <w:i/>
          <w:szCs w:val="24"/>
        </w:rPr>
        <w:t>.5</w:t>
      </w:r>
      <w:r w:rsidR="00022FEC" w:rsidRPr="00AF7B6A">
        <w:rPr>
          <w:rFonts w:cs="Times New Roman"/>
          <w:i/>
          <w:szCs w:val="24"/>
        </w:rPr>
        <w:tab/>
        <w:t>Information sought from questionnaires and interviews</w:t>
      </w:r>
    </w:p>
    <w:p w:rsidR="00A447EB" w:rsidRPr="00AF7B6A" w:rsidRDefault="00A447EB" w:rsidP="00F948B2">
      <w:pPr>
        <w:pStyle w:val="manuscript"/>
        <w:spacing w:line="360" w:lineRule="auto"/>
        <w:rPr>
          <w:rFonts w:cs="Times New Roman"/>
          <w:szCs w:val="24"/>
        </w:rPr>
      </w:pPr>
      <w:r w:rsidRPr="00AF7B6A">
        <w:rPr>
          <w:rFonts w:cs="Times New Roman"/>
          <w:szCs w:val="24"/>
        </w:rPr>
        <w:t xml:space="preserve">To test the stated hypotheses, the questionnaire and interview process sought information </w:t>
      </w:r>
      <w:r w:rsidRPr="00F948B2">
        <w:rPr>
          <w:rFonts w:cs="Times New Roman"/>
          <w:szCs w:val="24"/>
        </w:rPr>
        <w:t>on</w:t>
      </w:r>
      <w:r w:rsidR="00F948B2">
        <w:rPr>
          <w:rFonts w:cs="Times New Roman"/>
          <w:szCs w:val="24"/>
        </w:rPr>
        <w:t>:</w:t>
      </w:r>
      <w:r w:rsidRPr="00F948B2">
        <w:rPr>
          <w:rFonts w:cs="Times New Roman"/>
          <w:szCs w:val="24"/>
        </w:rPr>
        <w:t xml:space="preserve"> </w:t>
      </w:r>
    </w:p>
    <w:p w:rsidR="00A447EB" w:rsidRPr="00AF7B6A" w:rsidRDefault="00A447EB" w:rsidP="00AF7B6A">
      <w:pPr>
        <w:pStyle w:val="manuscript"/>
        <w:numPr>
          <w:ilvl w:val="0"/>
          <w:numId w:val="35"/>
        </w:numPr>
        <w:spacing w:line="360" w:lineRule="auto"/>
        <w:rPr>
          <w:rFonts w:cs="Times New Roman"/>
          <w:szCs w:val="24"/>
        </w:rPr>
      </w:pPr>
      <w:r w:rsidRPr="00AF7B6A">
        <w:rPr>
          <w:rFonts w:cs="Times New Roman"/>
          <w:szCs w:val="24"/>
        </w:rPr>
        <w:t xml:space="preserve">the benefits and costs of IFRS adoption, </w:t>
      </w:r>
    </w:p>
    <w:p w:rsidR="00A447EB" w:rsidRPr="00AF7B6A" w:rsidRDefault="00A447EB" w:rsidP="00AF7B6A">
      <w:pPr>
        <w:pStyle w:val="manuscript"/>
        <w:numPr>
          <w:ilvl w:val="0"/>
          <w:numId w:val="35"/>
        </w:numPr>
        <w:spacing w:line="360" w:lineRule="auto"/>
        <w:rPr>
          <w:rFonts w:cs="Times New Roman"/>
          <w:szCs w:val="24"/>
        </w:rPr>
      </w:pPr>
      <w:r w:rsidRPr="00AF7B6A">
        <w:rPr>
          <w:rFonts w:cs="Times New Roman"/>
          <w:szCs w:val="24"/>
        </w:rPr>
        <w:lastRenderedPageBreak/>
        <w:t xml:space="preserve">the impact of IFRS on the firms’ contracts, and </w:t>
      </w:r>
    </w:p>
    <w:p w:rsidR="00A447EB" w:rsidRPr="00AF7B6A" w:rsidRDefault="00A447EB" w:rsidP="00AF7B6A">
      <w:pPr>
        <w:pStyle w:val="manuscript"/>
        <w:numPr>
          <w:ilvl w:val="0"/>
          <w:numId w:val="35"/>
        </w:numPr>
        <w:spacing w:line="360" w:lineRule="auto"/>
        <w:rPr>
          <w:rFonts w:cs="Times New Roman"/>
          <w:szCs w:val="24"/>
        </w:rPr>
      </w:pPr>
      <w:proofErr w:type="gramStart"/>
      <w:r w:rsidRPr="00AF7B6A">
        <w:rPr>
          <w:rFonts w:cs="Times New Roman"/>
          <w:szCs w:val="24"/>
        </w:rPr>
        <w:t>the</w:t>
      </w:r>
      <w:proofErr w:type="gramEnd"/>
      <w:r w:rsidRPr="00AF7B6A">
        <w:rPr>
          <w:rFonts w:cs="Times New Roman"/>
          <w:szCs w:val="24"/>
        </w:rPr>
        <w:t xml:space="preserve"> reason for the timing of adoption. </w:t>
      </w:r>
    </w:p>
    <w:p w:rsidR="00A447EB" w:rsidRPr="00AF7B6A" w:rsidRDefault="00A447EB" w:rsidP="00A447EB">
      <w:pPr>
        <w:pStyle w:val="manuscript"/>
        <w:rPr>
          <w:rFonts w:cs="Times New Roman"/>
          <w:szCs w:val="24"/>
        </w:rPr>
      </w:pPr>
      <w:r w:rsidRPr="00AF7B6A">
        <w:rPr>
          <w:rFonts w:cs="Times New Roman"/>
          <w:szCs w:val="24"/>
        </w:rPr>
        <w:t xml:space="preserve">The potential list of benefits and costs was drawn from the professional and academic literature (e.g., Barth, Clinch and </w:t>
      </w:r>
      <w:proofErr w:type="spellStart"/>
      <w:r w:rsidRPr="00AF7B6A">
        <w:rPr>
          <w:rFonts w:cs="Times New Roman"/>
          <w:szCs w:val="24"/>
        </w:rPr>
        <w:t>Shibano</w:t>
      </w:r>
      <w:proofErr w:type="spellEnd"/>
      <w:r w:rsidRPr="00AF7B6A">
        <w:rPr>
          <w:rFonts w:cs="Times New Roman"/>
          <w:szCs w:val="24"/>
        </w:rPr>
        <w:t xml:space="preserve">, 1999; </w:t>
      </w:r>
      <w:proofErr w:type="spellStart"/>
      <w:r w:rsidRPr="00AF7B6A">
        <w:rPr>
          <w:rFonts w:cs="Times New Roman"/>
          <w:szCs w:val="24"/>
        </w:rPr>
        <w:t>Leuz</w:t>
      </w:r>
      <w:proofErr w:type="spellEnd"/>
      <w:r w:rsidRPr="00AF7B6A">
        <w:rPr>
          <w:rFonts w:cs="Times New Roman"/>
          <w:szCs w:val="24"/>
        </w:rPr>
        <w:t xml:space="preserve"> and </w:t>
      </w:r>
      <w:proofErr w:type="spellStart"/>
      <w:r w:rsidRPr="00AF7B6A">
        <w:rPr>
          <w:rFonts w:cs="Times New Roman"/>
          <w:szCs w:val="24"/>
        </w:rPr>
        <w:t>Verrechia</w:t>
      </w:r>
      <w:proofErr w:type="spellEnd"/>
      <w:r w:rsidRPr="00AF7B6A">
        <w:rPr>
          <w:rFonts w:cs="Times New Roman"/>
          <w:szCs w:val="24"/>
        </w:rPr>
        <w:t xml:space="preserve">, 2000; Dunstan, 2002; Hickey </w:t>
      </w:r>
      <w:r w:rsidRPr="00AF7B6A">
        <w:rPr>
          <w:rFonts w:cs="Times New Roman"/>
          <w:i/>
          <w:szCs w:val="24"/>
        </w:rPr>
        <w:t>et al.</w:t>
      </w:r>
      <w:r w:rsidRPr="00AF7B6A">
        <w:rPr>
          <w:rFonts w:cs="Times New Roman"/>
          <w:szCs w:val="24"/>
        </w:rPr>
        <w:t>,</w:t>
      </w:r>
      <w:r w:rsidRPr="00AF7B6A">
        <w:rPr>
          <w:rFonts w:cs="Times New Roman"/>
          <w:i/>
          <w:szCs w:val="24"/>
        </w:rPr>
        <w:t xml:space="preserve"> </w:t>
      </w:r>
      <w:r w:rsidRPr="00AF7B6A">
        <w:rPr>
          <w:rFonts w:cs="Times New Roman"/>
          <w:szCs w:val="24"/>
        </w:rPr>
        <w:fldChar w:fldCharType="begin"/>
      </w:r>
      <w:r w:rsidRPr="00AF7B6A">
        <w:rPr>
          <w:rFonts w:cs="Times New Roman"/>
          <w:szCs w:val="24"/>
        </w:rPr>
        <w:instrText xml:space="preserve"> ADDIN EN.CITE &lt;EndNote&gt;&lt;Cite ExcludeAuth="1"&gt;&lt;Author&gt;Hickey&lt;/Author&gt;&lt;Year&gt;2003&lt;/Year&gt;&lt;RecNum&gt;72&lt;/RecNum&gt;&lt;record&gt;&lt;rec-number&gt;72&lt;/rec-number&gt;&lt;ref-type name="Journal Article"&gt;17&lt;/ref-type&gt;&lt;contributors&gt;&lt;authors&gt;&lt;author&gt;Liz Hickey&lt;/author&gt;&lt;author&gt;John Spencer&lt;/author&gt;&lt;author&gt;van Zijl, Tony&lt;/author&gt;&lt;author&gt;Joanna Perry&lt;/author&gt;&lt;/authors&gt;&lt;/contributors&gt;&lt;titles&gt;&lt;title&gt;Adoption of IFRS - Background and Process&lt;/title&gt;&lt;secondary-title&gt;Chartered Accountants Journal of New Zealand&lt;/secondary-title&gt;&lt;/titles&gt;&lt;periodical&gt;&lt;full-title&gt;Chartered Accountants Journal of New Zealand&lt;/full-title&gt;&lt;/periodical&gt;&lt;pages&gt;4-7&lt;/pages&gt;&lt;volume&gt;82&lt;/volume&gt;&lt;number&gt;6&lt;/number&gt;&lt;dates&gt;&lt;year&gt;2003&lt;/year&gt;&lt;pub-dates&gt;&lt;date&gt;July 2003&lt;/date&gt;&lt;/pub-dates&gt;&lt;/dates&gt;&lt;urls&gt;&lt;/urls&gt;&lt;/record&gt;&lt;/Cite&gt;&lt;/EndNote&gt;</w:instrText>
      </w:r>
      <w:r w:rsidRPr="00AF7B6A">
        <w:rPr>
          <w:rFonts w:cs="Times New Roman"/>
          <w:szCs w:val="24"/>
        </w:rPr>
        <w:fldChar w:fldCharType="separate"/>
      </w:r>
      <w:r w:rsidRPr="00AF7B6A">
        <w:rPr>
          <w:rFonts w:cs="Times New Roman"/>
          <w:szCs w:val="24"/>
        </w:rPr>
        <w:t xml:space="preserve">2003; </w:t>
      </w:r>
      <w:r w:rsidRPr="00AF7B6A">
        <w:rPr>
          <w:rFonts w:cs="Times New Roman"/>
          <w:szCs w:val="24"/>
        </w:rPr>
        <w:fldChar w:fldCharType="end"/>
      </w:r>
      <w:r w:rsidRPr="00AF7B6A">
        <w:rPr>
          <w:rFonts w:cs="Times New Roman"/>
          <w:szCs w:val="24"/>
        </w:rPr>
        <w:t xml:space="preserve"> </w:t>
      </w:r>
      <w:proofErr w:type="spellStart"/>
      <w:r w:rsidRPr="00AF7B6A">
        <w:rPr>
          <w:rFonts w:cs="Times New Roman"/>
          <w:szCs w:val="24"/>
        </w:rPr>
        <w:t>Teixeira</w:t>
      </w:r>
      <w:proofErr w:type="spellEnd"/>
      <w:r w:rsidRPr="00AF7B6A">
        <w:rPr>
          <w:rFonts w:cs="Times New Roman"/>
          <w:szCs w:val="24"/>
        </w:rPr>
        <w:t xml:space="preserve"> and Pickens, 2004). The questionnaire sought information regarding </w:t>
      </w:r>
      <w:r w:rsidRPr="00AF7B6A">
        <w:rPr>
          <w:rFonts w:cs="Times New Roman"/>
          <w:i/>
          <w:szCs w:val="24"/>
        </w:rPr>
        <w:t>direct costs</w:t>
      </w:r>
      <w:r w:rsidRPr="00AF7B6A">
        <w:rPr>
          <w:rFonts w:cs="Times New Roman"/>
          <w:szCs w:val="24"/>
        </w:rPr>
        <w:t xml:space="preserve"> (in terms of the level of staffing, time, and financial commitment) and </w:t>
      </w:r>
      <w:r w:rsidRPr="00AF7B6A">
        <w:rPr>
          <w:rFonts w:cs="Times New Roman"/>
          <w:i/>
          <w:szCs w:val="24"/>
        </w:rPr>
        <w:t>contracting costs</w:t>
      </w:r>
      <w:r w:rsidRPr="00AF7B6A">
        <w:rPr>
          <w:rFonts w:cs="Times New Roman"/>
          <w:szCs w:val="24"/>
        </w:rPr>
        <w:t xml:space="preserve"> (the costs of and need to renegotiate contracts arising from IFRS adoption). We elaborate further on these costs and benefits in our discussion of results. Interviews were concluded by asking the following open-ended question:</w:t>
      </w:r>
    </w:p>
    <w:p w:rsidR="00A447EB" w:rsidRPr="00AF7B6A" w:rsidRDefault="00A447EB" w:rsidP="00A447EB">
      <w:pPr>
        <w:pStyle w:val="manuscript"/>
        <w:ind w:left="720" w:right="538"/>
        <w:rPr>
          <w:rFonts w:cs="Times New Roman"/>
          <w:szCs w:val="24"/>
        </w:rPr>
      </w:pPr>
      <w:r w:rsidRPr="00AF7B6A">
        <w:rPr>
          <w:rFonts w:cs="Times New Roman"/>
          <w:szCs w:val="24"/>
        </w:rPr>
        <w:t>“Adoption of IFRS was possible from 1 January 2005 (on a voluntary basis); mandatory from 1 January 2007.  Your organisation elected to adopt early/wait until it became mandatory. Could you give me your insights/background as to why early/ late?”</w:t>
      </w:r>
    </w:p>
    <w:p w:rsidR="00A447EB" w:rsidRPr="00AF7B6A" w:rsidRDefault="00A447EB" w:rsidP="00A447EB">
      <w:pPr>
        <w:pStyle w:val="manuscript"/>
        <w:ind w:right="538"/>
        <w:rPr>
          <w:rFonts w:cs="Times New Roman"/>
          <w:szCs w:val="24"/>
        </w:rPr>
      </w:pPr>
      <w:r w:rsidRPr="00AF7B6A">
        <w:rPr>
          <w:rFonts w:cs="Times New Roman"/>
          <w:szCs w:val="24"/>
        </w:rPr>
        <w:t xml:space="preserve">The average duration of interviews was 37 minutes for early adopters and 19 minutes for late adopters, with average transcript word counts of 5,386 and 2,431 respectively. </w:t>
      </w:r>
    </w:p>
    <w:p w:rsidR="00EC0BDB" w:rsidRPr="00AF7B6A" w:rsidRDefault="00B37C01" w:rsidP="00A447EB">
      <w:pPr>
        <w:pStyle w:val="manuscript"/>
        <w:ind w:right="538"/>
        <w:rPr>
          <w:rFonts w:cs="Times New Roman"/>
          <w:i/>
          <w:szCs w:val="24"/>
        </w:rPr>
      </w:pPr>
      <w:r>
        <w:rPr>
          <w:rFonts w:cs="Times New Roman"/>
          <w:i/>
          <w:szCs w:val="24"/>
        </w:rPr>
        <w:t>4</w:t>
      </w:r>
      <w:r w:rsidR="00EC0BDB" w:rsidRPr="00AF7B6A">
        <w:rPr>
          <w:rFonts w:cs="Times New Roman"/>
          <w:i/>
          <w:szCs w:val="24"/>
        </w:rPr>
        <w:t>.6 Interview analysis</w:t>
      </w:r>
    </w:p>
    <w:p w:rsidR="00A447EB" w:rsidRPr="00AF7B6A" w:rsidRDefault="00A447EB" w:rsidP="00A447EB">
      <w:pPr>
        <w:pStyle w:val="manuscript"/>
        <w:ind w:right="538"/>
        <w:rPr>
          <w:rFonts w:cs="Times New Roman"/>
          <w:szCs w:val="24"/>
        </w:rPr>
      </w:pPr>
      <w:r w:rsidRPr="00AF7B6A">
        <w:rPr>
          <w:rFonts w:cs="Times New Roman"/>
          <w:szCs w:val="24"/>
        </w:rPr>
        <w:t xml:space="preserve">The interviews were transcribed into </w:t>
      </w:r>
      <w:proofErr w:type="spellStart"/>
      <w:r w:rsidRPr="00AF7B6A">
        <w:rPr>
          <w:rFonts w:cs="Times New Roman"/>
          <w:szCs w:val="24"/>
        </w:rPr>
        <w:t>NVivo</w:t>
      </w:r>
      <w:proofErr w:type="spellEnd"/>
      <w:r w:rsidRPr="00AF7B6A">
        <w:rPr>
          <w:rFonts w:cs="Times New Roman"/>
          <w:szCs w:val="24"/>
        </w:rPr>
        <w:t>. Content analysis was applied to the interview transcripts to classify and summarise responses to the open-ended question.</w:t>
      </w:r>
      <w:r w:rsidRPr="00AF7B6A">
        <w:rPr>
          <w:rFonts w:cs="Times New Roman"/>
          <w:szCs w:val="24"/>
          <w:vertAlign w:val="superscript"/>
        </w:rPr>
        <w:footnoteReference w:id="12"/>
      </w:r>
      <w:r w:rsidRPr="00AF7B6A">
        <w:rPr>
          <w:rFonts w:cs="Times New Roman"/>
          <w:szCs w:val="24"/>
        </w:rPr>
        <w:t xml:space="preserve"> </w:t>
      </w:r>
      <w:r w:rsidRPr="00AF7B6A">
        <w:rPr>
          <w:rFonts w:cs="Times New Roman"/>
          <w:bCs/>
          <w:spacing w:val="4"/>
          <w:szCs w:val="24"/>
        </w:rPr>
        <w:t xml:space="preserve">The coding approach allowed for multiple themes to be present within a single sentence and that a number of sentences may comprise a single theme </w:t>
      </w:r>
      <w:r w:rsidRPr="00AF7B6A">
        <w:rPr>
          <w:rFonts w:cs="Times New Roman"/>
          <w:bCs/>
          <w:spacing w:val="4"/>
          <w:szCs w:val="24"/>
        </w:rPr>
        <w:fldChar w:fldCharType="begin"/>
      </w:r>
      <w:r w:rsidRPr="00AF7B6A">
        <w:rPr>
          <w:rFonts w:cs="Times New Roman"/>
          <w:bCs/>
          <w:spacing w:val="4"/>
          <w:szCs w:val="24"/>
        </w:rPr>
        <w:instrText xml:space="preserve"> ADDIN EN.CITE &lt;EndNote&gt;&lt;Cite&gt;&lt;Author&gt;Holsti&lt;/Author&gt;&lt;Year&gt;1969&lt;/Year&gt;&lt;RecNum&gt;232&lt;/RecNum&gt;&lt;record&gt;&lt;rec-number&gt;232&lt;/rec-number&gt;&lt;ref-type name="Book"&gt;6&lt;/ref-type&gt;&lt;contributors&gt;&lt;authors&gt;&lt;author&gt;Holsti, O R&lt;/author&gt;&lt;/authors&gt;&lt;/contributors&gt;&lt;titles&gt;&lt;title&gt;Content Analysis for the Social Sciences&lt;/title&gt;&lt;/titles&gt;&lt;dates&gt;&lt;year&gt;1969&lt;/year&gt;&lt;/dates&gt;&lt;pub-location&gt;Reading, Massachussetts&lt;/pub-location&gt;&lt;publisher&gt;Addison-Wesley&lt;/publisher&gt;&lt;urls&gt;&lt;/urls&gt;&lt;/record&gt;&lt;/Cite&gt;&lt;Cite&gt;&lt;Author&gt;Krippendorff&lt;/Author&gt;&lt;Year&gt;2004&lt;/Year&gt;&lt;RecNum&gt;233&lt;/RecNum&gt;&lt;record&gt;&lt;rec-number&gt;233&lt;/rec-number&gt;&lt;ref-type name="Book"&gt;6&lt;/ref-type&gt;&lt;contributors&gt;&lt;authors&gt;&lt;author&gt;Krippendorff, K&lt;/author&gt;&lt;/authors&gt;&lt;/contributors&gt;&lt;titles&gt;&lt;title&gt;Content Analysis: An Introduction to its Methodology&lt;/title&gt;&lt;/titles&gt;&lt;edition&gt;2nd&lt;/edition&gt;&lt;dates&gt;&lt;year&gt;2004&lt;/year&gt;&lt;/dates&gt;&lt;pub-location&gt;London&lt;/pub-location&gt;&lt;publisher&gt;Sage Publications&lt;/publisher&gt;&lt;urls&gt;&lt;/urls&gt;&lt;/record&gt;&lt;/Cite&gt;&lt;Cite&gt;&lt;Author&gt;Steenkamp&lt;/Author&gt;&lt;Year&gt;2007&lt;/Year&gt;&lt;RecNum&gt;234&lt;/RecNum&gt;&lt;record&gt;&lt;rec-number&gt;234&lt;/rec-number&gt;&lt;ref-type name="Journal Article"&gt;17&lt;/ref-type&gt;&lt;contributors&gt;&lt;authors&gt;&lt;author&gt;Steenkamp, N&lt;/author&gt;&lt;author&gt;Northcott, D&lt;/author&gt;&lt;/authors&gt;&lt;/contributors&gt;&lt;titles&gt;&lt;title&gt;Content Analysis in Accounting Research: The Practical Challenges&lt;/title&gt;&lt;secondary-title&gt;Australian Accounting Review&lt;/secondary-title&gt;&lt;/titles&gt;&lt;periodical&gt;&lt;full-title&gt;Australian Accounting Review&lt;/full-title&gt;&lt;/periodical&gt;&lt;pages&gt;12-25&lt;/pages&gt;&lt;volume&gt;17 No.3&lt;/volume&gt;&lt;number&gt;43&lt;/number&gt;&lt;dates&gt;&lt;year&gt;2007&lt;/year&gt;&lt;pub-dates&gt;&lt;date&gt;November&lt;/date&gt;&lt;/pub-dates&gt;&lt;/dates&gt;&lt;urls&gt;&lt;/urls&gt;&lt;/record&gt;&lt;/Cite&gt;&lt;/EndNote&gt;</w:instrText>
      </w:r>
      <w:r w:rsidRPr="00AF7B6A">
        <w:rPr>
          <w:rFonts w:cs="Times New Roman"/>
          <w:bCs/>
          <w:spacing w:val="4"/>
          <w:szCs w:val="24"/>
        </w:rPr>
        <w:fldChar w:fldCharType="separate"/>
      </w:r>
      <w:r w:rsidRPr="00AF7B6A">
        <w:rPr>
          <w:rFonts w:cs="Times New Roman"/>
          <w:bCs/>
          <w:spacing w:val="4"/>
          <w:szCs w:val="24"/>
        </w:rPr>
        <w:t>(Holsti, 1969; Krippendorff, 2004)</w:t>
      </w:r>
      <w:r w:rsidRPr="00AF7B6A">
        <w:rPr>
          <w:rFonts w:cs="Times New Roman"/>
          <w:bCs/>
          <w:spacing w:val="4"/>
          <w:szCs w:val="24"/>
        </w:rPr>
        <w:fldChar w:fldCharType="end"/>
      </w:r>
      <w:r w:rsidRPr="00AF7B6A">
        <w:rPr>
          <w:rFonts w:cs="Times New Roman"/>
          <w:bCs/>
          <w:spacing w:val="4"/>
          <w:szCs w:val="24"/>
        </w:rPr>
        <w:t xml:space="preserve">. The </w:t>
      </w:r>
      <w:r w:rsidRPr="00AF7B6A">
        <w:rPr>
          <w:rFonts w:cs="Times New Roman"/>
          <w:bCs/>
          <w:spacing w:val="4"/>
          <w:szCs w:val="24"/>
        </w:rPr>
        <w:lastRenderedPageBreak/>
        <w:t>results report frequency counts that are associated with each theme.</w:t>
      </w:r>
      <w:r w:rsidRPr="00AF7B6A">
        <w:rPr>
          <w:rFonts w:cs="Times New Roman"/>
          <w:szCs w:val="24"/>
        </w:rPr>
        <w:t xml:space="preserve"> Having a well-defined framework and using </w:t>
      </w:r>
      <w:proofErr w:type="spellStart"/>
      <w:r w:rsidRPr="00AF7B6A">
        <w:rPr>
          <w:rFonts w:cs="Times New Roman"/>
          <w:szCs w:val="24"/>
        </w:rPr>
        <w:t>NVivo</w:t>
      </w:r>
      <w:proofErr w:type="spellEnd"/>
      <w:r w:rsidRPr="00AF7B6A">
        <w:rPr>
          <w:rFonts w:cs="Times New Roman"/>
          <w:szCs w:val="24"/>
        </w:rPr>
        <w:t xml:space="preserve"> should increase the reliability and validity of the analysis </w:t>
      </w:r>
      <w:r w:rsidRPr="00AF7B6A">
        <w:rPr>
          <w:rFonts w:cs="Times New Roman"/>
          <w:szCs w:val="24"/>
        </w:rPr>
        <w:fldChar w:fldCharType="begin"/>
      </w:r>
      <w:r w:rsidRPr="00AF7B6A">
        <w:rPr>
          <w:rFonts w:cs="Times New Roman"/>
          <w:szCs w:val="24"/>
        </w:rPr>
        <w:instrText xml:space="preserve"> ADDIN EN.CITE &lt;EndNote&gt;&lt;Cite&gt;&lt;Author&gt;Boesso&lt;/Author&gt;&lt;Year&gt;2007&lt;/Year&gt;&lt;RecNum&gt;223&lt;/RecNum&gt;&lt;Prefix&gt;see &lt;/Prefix&gt;&lt;record&gt;&lt;rec-number&gt;223&lt;/rec-number&gt;&lt;ref-type name="Journal Article"&gt;17&lt;/ref-type&gt;&lt;contributors&gt;&lt;authors&gt;&lt;author&gt;Boesso, Giacomo&lt;/author&gt;&lt;author&gt;Kumar, Kamalesh&lt;/author&gt;&lt;/authors&gt;&lt;/contributors&gt;&lt;titles&gt;&lt;title&gt;Drivers of corporate voluntary disclosure&lt;/title&gt;&lt;secondary-title&gt;Accounting, Auditing &amp;amp; Accountability Journal&lt;/secondary-title&gt;&lt;/titles&gt;&lt;periodical&gt;&lt;full-title&gt;Accounting, Auditing &amp;amp; Accountability Journal&lt;/full-title&gt;&lt;/periodical&gt;&lt;pages&gt;269-296&lt;/pages&gt;&lt;volume&gt;20&lt;/volume&gt;&lt;number&gt;2&lt;/number&gt;&lt;keywords&gt;&lt;keyword&gt;FINANCIAL disclosure&lt;/keyword&gt;&lt;keyword&gt;NONDISCLOSURE&lt;/keyword&gt;&lt;keyword&gt;DISCLOSURE of information&lt;/keyword&gt;&lt;keyword&gt;BUSINESS enterprises&lt;/keyword&gt;&lt;keyword&gt;BANKS &amp;amp; banking&lt;/keyword&gt;&lt;keyword&gt;FINANCIAL institutions&lt;/keyword&gt;&lt;keyword&gt;STAKEHOLDERS&lt;/keyword&gt;&lt;keyword&gt;TRUTHFULNESS &amp;amp; falsehood&lt;/keyword&gt;&lt;keyword&gt;UNITED States&lt;/keyword&gt;&lt;keyword&gt;ITALY&lt;/keyword&gt;&lt;keyword&gt;UNITED States&lt;/keyword&gt;&lt;keyword&gt;Disclosure&lt;/keyword&gt;&lt;keyword&gt;Italy&lt;/keyword&gt;&lt;keyword&gt;United States of America&lt;/keyword&gt;&lt;/keywords&gt;&lt;dates&gt;&lt;year&gt;2007&lt;/year&gt;&lt;/dates&gt;&lt;urls&gt;&lt;related-urls&gt;&lt;url&gt;http://ezproxy.massey.ac.nz/login?url=http://search.ebscohost.com/login.aspx?direct=true&amp;amp;AuthType=ip,cookie,url,uid&amp;amp;db=buh&amp;amp;AN=25246554&amp;amp;site=ehost-live &lt;/url&gt;&lt;/related-urls&gt;&lt;/urls&gt;&lt;research-notes&gt;Content Analysis&lt;/research-notes&gt;&lt;/record&gt;&lt;/Cite&gt;&lt;Cite&gt;&lt;Author&gt;Krippendorff&lt;/Author&gt;&lt;Year&gt;2004&lt;/Year&gt;&lt;RecNum&gt;233&lt;/RecNum&gt;&lt;Suffix&gt; for more detail on these issues&lt;/Suffix&gt;&lt;record&gt;&lt;rec-number&gt;233&lt;/rec-number&gt;&lt;ref-type name="Book"&gt;6&lt;/ref-type&gt;&lt;contributors&gt;&lt;authors&gt;&lt;author&gt;Krippendorff, K&lt;/author&gt;&lt;/authors&gt;&lt;/contributors&gt;&lt;titles&gt;&lt;title&gt;Content Analysis: An Introduction to its Methodology&lt;/title&gt;&lt;/titles&gt;&lt;edition&gt;2nd&lt;/edition&gt;&lt;dates&gt;&lt;year&gt;2004&lt;/year&gt;&lt;/dates&gt;&lt;pub-location&gt;London&lt;/pub-location&gt;&lt;publisher&gt;Sage Publications&lt;/publisher&gt;&lt;urls&gt;&lt;/urls&gt;&lt;/record&gt;&lt;/Cite&gt;&lt;/EndNote&gt;</w:instrText>
      </w:r>
      <w:r w:rsidRPr="00AF7B6A">
        <w:rPr>
          <w:rFonts w:cs="Times New Roman"/>
          <w:szCs w:val="24"/>
        </w:rPr>
        <w:fldChar w:fldCharType="separate"/>
      </w:r>
      <w:r w:rsidRPr="00AF7B6A">
        <w:rPr>
          <w:rFonts w:cs="Times New Roman"/>
          <w:szCs w:val="24"/>
        </w:rPr>
        <w:t>(see Boesso and Kumar, 2007; Krippendorff, 2004 for more detail on these issues)</w:t>
      </w:r>
      <w:r w:rsidRPr="00AF7B6A">
        <w:rPr>
          <w:rFonts w:cs="Times New Roman"/>
          <w:szCs w:val="24"/>
        </w:rPr>
        <w:fldChar w:fldCharType="end"/>
      </w:r>
      <w:r w:rsidRPr="00AF7B6A">
        <w:rPr>
          <w:rFonts w:cs="Times New Roman"/>
          <w:szCs w:val="24"/>
        </w:rPr>
        <w:t>.</w:t>
      </w:r>
    </w:p>
    <w:p w:rsidR="00A447EB" w:rsidRPr="00AF7B6A" w:rsidRDefault="00A447EB" w:rsidP="00A447EB">
      <w:pPr>
        <w:pStyle w:val="manuscript"/>
        <w:ind w:right="538"/>
        <w:rPr>
          <w:rFonts w:cs="Times New Roman"/>
          <w:szCs w:val="24"/>
        </w:rPr>
      </w:pPr>
      <w:r w:rsidRPr="00AF7B6A">
        <w:rPr>
          <w:rFonts w:cs="Times New Roman"/>
          <w:szCs w:val="24"/>
        </w:rPr>
        <w:t xml:space="preserve">We adapt a framework employed by Smith and </w:t>
      </w:r>
      <w:proofErr w:type="spellStart"/>
      <w:r w:rsidRPr="00AF7B6A">
        <w:rPr>
          <w:rFonts w:cs="Times New Roman"/>
          <w:szCs w:val="24"/>
        </w:rPr>
        <w:t>Taffler</w:t>
      </w:r>
      <w:proofErr w:type="spellEnd"/>
      <w:r w:rsidRPr="00AF7B6A">
        <w:rPr>
          <w:rFonts w:cs="Times New Roman"/>
          <w:szCs w:val="24"/>
        </w:rPr>
        <w:t xml:space="preserve"> </w:t>
      </w:r>
      <w:r w:rsidRPr="00AF7B6A">
        <w:rPr>
          <w:rFonts w:cs="Times New Roman"/>
          <w:szCs w:val="24"/>
        </w:rPr>
        <w:fldChar w:fldCharType="begin"/>
      </w:r>
      <w:r w:rsidRPr="00AF7B6A">
        <w:rPr>
          <w:rFonts w:cs="Times New Roman"/>
          <w:szCs w:val="24"/>
        </w:rPr>
        <w:instrText xml:space="preserve"> ADDIN EN.CITE &lt;EndNote&gt;&lt;Cite ExcludeAuth="1"&gt;&lt;Author&gt;Smith&lt;/Author&gt;&lt;Year&gt;2000&lt;/Year&gt;&lt;RecNum&gt;243&lt;/RecNum&gt;&lt;record&gt;&lt;rec-number&gt;243&lt;/rec-number&gt;&lt;ref-type name="Journal Article"&gt;17&lt;/ref-type&gt;&lt;contributors&gt;&lt;authors&gt;&lt;author&gt;Smith, Malcolm&lt;/author&gt;&lt;author&gt;Taffler, Richard &lt;/author&gt;&lt;/authors&gt;&lt;/contributors&gt;&lt;titles&gt;&lt;title&gt;The chairman&amp;apos;s statement - A content analysis of discretionary narrative disclosures&lt;/title&gt;&lt;secondary-title&gt;Accounting, Auditing &amp;amp; Accountability Journal&lt;/secondary-title&gt;&lt;/titles&gt;&lt;periodical&gt;&lt;full-title&gt;Accounting, Auditing &amp;amp; Accountability Journal&lt;/full-title&gt;&lt;/periodical&gt;&lt;pages&gt;624-647&lt;/pages&gt;&lt;volume&gt;13&lt;/volume&gt;&lt;number&gt;5&lt;/number&gt;&lt;keywords&gt;&lt;keyword&gt;Content Analysis&lt;/keyword&gt;&lt;keyword&gt;Corporate Communications&lt;/keyword&gt;&lt;keyword&gt;Disclosure&lt;/keyword&gt;&lt;keyword&gt;Narratives&lt;/keyword&gt;&lt;keyword&gt;Annual reports&lt;/keyword&gt;&lt;keyword&gt;Financial Performance&lt;/keyword&gt;&lt;/keywords&gt;&lt;dates&gt;&lt;year&gt;2000&lt;/year&gt;&lt;/dates&gt;&lt;urls&gt;&lt;related-urls&gt;&lt;url&gt;http://www.ingentaconnect.com/content/mcb/059/2000/00000013/00000005/art00003&lt;/url&gt;&lt;url&gt;http://dx.doi.org/10.1108/09513570010353738 &lt;/url&gt;&lt;/related-urls&gt;&lt;/urls&gt;&lt;research-notes&gt;Research Methodologies - Content Analysis (of Chairman&amp;apos;s Report)&lt;/research-notes&gt;&lt;/record&gt;&lt;/Cite&gt;&lt;/EndNote&gt;</w:instrText>
      </w:r>
      <w:r w:rsidRPr="00AF7B6A">
        <w:rPr>
          <w:rFonts w:cs="Times New Roman"/>
          <w:szCs w:val="24"/>
        </w:rPr>
        <w:fldChar w:fldCharType="separate"/>
      </w:r>
      <w:r w:rsidRPr="00AF7B6A">
        <w:rPr>
          <w:rFonts w:cs="Times New Roman"/>
          <w:szCs w:val="24"/>
        </w:rPr>
        <w:t>(2000)</w:t>
      </w:r>
      <w:r w:rsidRPr="00AF7B6A">
        <w:rPr>
          <w:rFonts w:cs="Times New Roman"/>
          <w:szCs w:val="24"/>
        </w:rPr>
        <w:fldChar w:fldCharType="end"/>
      </w:r>
      <w:r w:rsidRPr="00AF7B6A">
        <w:rPr>
          <w:rFonts w:cs="Times New Roman"/>
          <w:szCs w:val="24"/>
        </w:rPr>
        <w:t xml:space="preserve">, to code the interview </w:t>
      </w:r>
      <w:r w:rsidR="00F330E7">
        <w:rPr>
          <w:rFonts w:cs="Times New Roman"/>
          <w:szCs w:val="24"/>
        </w:rPr>
        <w:t>t</w:t>
      </w:r>
      <w:r w:rsidRPr="00AF7B6A">
        <w:rPr>
          <w:rFonts w:cs="Times New Roman"/>
          <w:szCs w:val="24"/>
        </w:rPr>
        <w:t xml:space="preserve">ranscripts. Their original framework applied content analysis to discretionary narrative disclosures of the chairman’s statement, to measure </w:t>
      </w:r>
      <w:r w:rsidRPr="00AF7B6A">
        <w:rPr>
          <w:rStyle w:val="FootnoteReference"/>
          <w:rFonts w:cs="Times New Roman"/>
          <w:szCs w:val="24"/>
          <w:vertAlign w:val="baseline"/>
        </w:rPr>
        <w:t>connotative meaning</w:t>
      </w:r>
      <w:r w:rsidRPr="00AF7B6A">
        <w:rPr>
          <w:rFonts w:cs="Times New Roman"/>
          <w:szCs w:val="24"/>
        </w:rPr>
        <w:t xml:space="preserve"> associated with bankruptcy. The framework (as adapted) </w:t>
      </w:r>
      <w:r w:rsidR="00A936F0">
        <w:rPr>
          <w:rFonts w:cs="Times New Roman"/>
          <w:szCs w:val="24"/>
        </w:rPr>
        <w:t>i</w:t>
      </w:r>
      <w:r w:rsidRPr="00AF7B6A">
        <w:rPr>
          <w:rFonts w:cs="Times New Roman"/>
          <w:szCs w:val="24"/>
        </w:rPr>
        <w:t>s well-suited for the analysis of interviews to measure IFRS adoption.  This framework is set out in Table 1.</w:t>
      </w:r>
      <w:r w:rsidRPr="00AF7B6A">
        <w:rPr>
          <w:rFonts w:cs="Times New Roman"/>
          <w:szCs w:val="24"/>
          <w:vertAlign w:val="superscript"/>
        </w:rPr>
        <w:footnoteReference w:id="13"/>
      </w:r>
    </w:p>
    <w:p w:rsidR="00A447EB" w:rsidRPr="00AF7B6A" w:rsidRDefault="00A447EB" w:rsidP="00A447EB">
      <w:pPr>
        <w:pStyle w:val="manuscript"/>
        <w:rPr>
          <w:rFonts w:cs="Times New Roman"/>
          <w:i/>
          <w:szCs w:val="24"/>
        </w:rPr>
      </w:pPr>
      <w:r w:rsidRPr="00AF7B6A">
        <w:rPr>
          <w:rFonts w:cs="Times New Roman"/>
          <w:i/>
          <w:szCs w:val="24"/>
        </w:rPr>
        <w:t>&lt;Insert Table 1&gt;</w:t>
      </w:r>
    </w:p>
    <w:p w:rsidR="00B37C01" w:rsidRPr="00AF7B6A" w:rsidRDefault="00A447EB" w:rsidP="00A447EB">
      <w:pPr>
        <w:pStyle w:val="manuscript"/>
        <w:rPr>
          <w:rFonts w:cs="Times New Roman"/>
          <w:szCs w:val="24"/>
        </w:rPr>
      </w:pPr>
      <w:r w:rsidRPr="00AF7B6A">
        <w:rPr>
          <w:rFonts w:cs="Times New Roman"/>
          <w:szCs w:val="24"/>
        </w:rPr>
        <w:t xml:space="preserve">The first theme relates to whether the adoption of IFRS was regarded as being of high or low ‘importance’. This theme was not used in Smith and </w:t>
      </w:r>
      <w:proofErr w:type="spellStart"/>
      <w:r w:rsidRPr="00AF7B6A">
        <w:rPr>
          <w:rFonts w:cs="Times New Roman"/>
          <w:szCs w:val="24"/>
        </w:rPr>
        <w:t>Taffler</w:t>
      </w:r>
      <w:proofErr w:type="spellEnd"/>
      <w:r w:rsidRPr="00AF7B6A">
        <w:rPr>
          <w:rFonts w:cs="Times New Roman"/>
          <w:szCs w:val="24"/>
        </w:rPr>
        <w:t xml:space="preserve"> and is specific to this study. The second theme is ‘significance’ and is coded high if the comments describe the impact of IFRS adoption as a significant change or if they make specific references to financial statement elements. It is coded low if the comments are vague or indicate insignificant changes. The third theme classifies the ‘consequences’ of IFRS adoption as beneficial or adverse. The ‘uncertainty’ theme concerns the manageability of implementing IFRS and the potential extent and effects of unknown or unexpected factors. The ‘responsiveness’ theme records whether firms were dynamic (i.e., a deliberate, active choice was made to implement or not to implement IFRS) or static (i.e., there was passive acceptance </w:t>
      </w:r>
      <w:r w:rsidRPr="00AF7B6A">
        <w:rPr>
          <w:rFonts w:cs="Times New Roman"/>
          <w:szCs w:val="24"/>
        </w:rPr>
        <w:lastRenderedPageBreak/>
        <w:t>of IFRS).</w:t>
      </w:r>
      <w:r w:rsidRPr="00AF7B6A">
        <w:rPr>
          <w:rStyle w:val="FootnoteReference"/>
          <w:rFonts w:cs="Times New Roman"/>
          <w:bCs/>
          <w:spacing w:val="4"/>
          <w:szCs w:val="24"/>
        </w:rPr>
        <w:footnoteReference w:id="14"/>
      </w:r>
      <w:r w:rsidRPr="00AF7B6A">
        <w:rPr>
          <w:rFonts w:cs="Times New Roman"/>
          <w:szCs w:val="24"/>
        </w:rPr>
        <w:t xml:space="preserve">  ‘Financial statement impact’ is also additional to the Smith and </w:t>
      </w:r>
      <w:proofErr w:type="spellStart"/>
      <w:r w:rsidRPr="00AF7B6A">
        <w:rPr>
          <w:rFonts w:cs="Times New Roman"/>
          <w:szCs w:val="24"/>
        </w:rPr>
        <w:t>Taffler</w:t>
      </w:r>
      <w:proofErr w:type="spellEnd"/>
      <w:r w:rsidRPr="00AF7B6A">
        <w:rPr>
          <w:rFonts w:cs="Times New Roman"/>
          <w:szCs w:val="24"/>
        </w:rPr>
        <w:t xml:space="preserve"> </w:t>
      </w:r>
      <w:r w:rsidRPr="00AF7B6A">
        <w:rPr>
          <w:rFonts w:cs="Times New Roman"/>
          <w:szCs w:val="24"/>
        </w:rPr>
        <w:fldChar w:fldCharType="begin"/>
      </w:r>
      <w:r w:rsidRPr="00AF7B6A">
        <w:rPr>
          <w:rFonts w:cs="Times New Roman"/>
          <w:szCs w:val="24"/>
        </w:rPr>
        <w:instrText xml:space="preserve"> ADDIN EN.CITE &lt;EndNote&gt;&lt;Cite ExcludeAuth="1"&gt;&lt;Author&gt;Smith&lt;/Author&gt;&lt;Year&gt;2000&lt;/Year&gt;&lt;RecNum&gt;243&lt;/RecNum&gt;&lt;record&gt;&lt;rec-number&gt;243&lt;/rec-number&gt;&lt;ref-type name="Journal Article"&gt;17&lt;/ref-type&gt;&lt;contributors&gt;&lt;authors&gt;&lt;author&gt;Smith, Malcolm&lt;/author&gt;&lt;author&gt;Taffler, Richard &lt;/author&gt;&lt;/authors&gt;&lt;/contributors&gt;&lt;titles&gt;&lt;title&gt;The chairman&amp;apos;s statement - A content analysis of discretionary narrative disclosures&lt;/title&gt;&lt;secondary-title&gt;Accounting, Auditing &amp;amp; Accountability Journal&lt;/secondary-title&gt;&lt;/titles&gt;&lt;periodical&gt;&lt;full-title&gt;Accounting, Auditing &amp;amp; Accountability Journal&lt;/full-title&gt;&lt;/periodical&gt;&lt;pages&gt;624-647&lt;/pages&gt;&lt;volume&gt;13&lt;/volume&gt;&lt;number&gt;5&lt;/number&gt;&lt;keywords&gt;&lt;keyword&gt;Content Analysis&lt;/keyword&gt;&lt;keyword&gt;Corporate Communications&lt;/keyword&gt;&lt;keyword&gt;Disclosure&lt;/keyword&gt;&lt;keyword&gt;Narratives&lt;/keyword&gt;&lt;keyword&gt;Annual reports&lt;/keyword&gt;&lt;keyword&gt;Financial Performance&lt;/keyword&gt;&lt;/keywords&gt;&lt;dates&gt;&lt;year&gt;2000&lt;/year&gt;&lt;/dates&gt;&lt;urls&gt;&lt;related-urls&gt;&lt;url&gt;http://www.ingentaconnect.com/content/mcb/059/2000/00000013/00000005/art00003&lt;/url&gt;&lt;url&gt;http://dx.doi.org/10.1108/09513570010353738 &lt;/url&gt;&lt;/related-urls&gt;&lt;/urls&gt;&lt;research-notes&gt;Research Methodologies - Content Analysis (of Chairman&amp;apos;s Report)&lt;/research-notes&gt;&lt;/record&gt;&lt;/Cite&gt;&lt;/EndNote&gt;</w:instrText>
      </w:r>
      <w:r w:rsidRPr="00AF7B6A">
        <w:rPr>
          <w:rFonts w:cs="Times New Roman"/>
          <w:szCs w:val="24"/>
        </w:rPr>
        <w:fldChar w:fldCharType="separate"/>
      </w:r>
      <w:r w:rsidRPr="00AF7B6A">
        <w:rPr>
          <w:rFonts w:cs="Times New Roman"/>
          <w:szCs w:val="24"/>
        </w:rPr>
        <w:t>(2000)</w:t>
      </w:r>
      <w:r w:rsidRPr="00AF7B6A">
        <w:rPr>
          <w:rFonts w:cs="Times New Roman"/>
          <w:szCs w:val="24"/>
        </w:rPr>
        <w:fldChar w:fldCharType="end"/>
      </w:r>
      <w:r w:rsidRPr="00AF7B6A">
        <w:rPr>
          <w:rFonts w:cs="Times New Roman"/>
          <w:szCs w:val="24"/>
        </w:rPr>
        <w:t xml:space="preserve"> themes and was included to investigate the role of economic consequences of accounting choice. A ‘yes’ coding indicates that the adoption decision was based on the financial statement impact. We interpret the term ‘financial statement impact’ widely to include references to specific and general effects and </w:t>
      </w:r>
      <w:r w:rsidR="009B2C6A">
        <w:rPr>
          <w:rFonts w:cs="Times New Roman"/>
          <w:szCs w:val="24"/>
        </w:rPr>
        <w:t xml:space="preserve">to </w:t>
      </w:r>
      <w:r w:rsidRPr="00AF7B6A">
        <w:rPr>
          <w:rFonts w:cs="Times New Roman"/>
          <w:szCs w:val="24"/>
        </w:rPr>
        <w:t>opportunistic and efficiency arguments (e.g., early adoption was due to an expected increase in income or to improve the quality of the financial statements). A ‘no’ coding indicates the adoption timing decision was primarily due to motives unrelated to financial statement impact (e.g., late adoption was due to time and resource constraints).</w:t>
      </w:r>
    </w:p>
    <w:p w:rsidR="009B5ADC" w:rsidRPr="00F330E7" w:rsidRDefault="00B37C01" w:rsidP="00AF7B6A">
      <w:pPr>
        <w:pStyle w:val="manuscript"/>
        <w:rPr>
          <w:rFonts w:cs="Times New Roman"/>
        </w:rPr>
      </w:pPr>
      <w:r w:rsidRPr="00F330E7">
        <w:rPr>
          <w:rFonts w:cs="Times New Roman"/>
          <w:b/>
          <w:i/>
          <w:szCs w:val="24"/>
        </w:rPr>
        <w:t>5</w:t>
      </w:r>
      <w:r w:rsidR="00135271" w:rsidRPr="00F330E7">
        <w:rPr>
          <w:rFonts w:cs="Times New Roman"/>
          <w:b/>
          <w:i/>
          <w:sz w:val="20"/>
          <w:szCs w:val="20"/>
        </w:rPr>
        <w:t>.</w:t>
      </w:r>
      <w:r w:rsidRPr="00F330E7">
        <w:rPr>
          <w:rFonts w:cs="Times New Roman"/>
          <w:b/>
          <w:i/>
          <w:sz w:val="20"/>
          <w:szCs w:val="20"/>
        </w:rPr>
        <w:t xml:space="preserve"> </w:t>
      </w:r>
      <w:r w:rsidR="00737DFA">
        <w:rPr>
          <w:rFonts w:cs="Times New Roman"/>
          <w:b/>
          <w:i/>
          <w:sz w:val="20"/>
          <w:szCs w:val="20"/>
        </w:rPr>
        <w:tab/>
      </w:r>
      <w:r w:rsidR="008A1A0C" w:rsidRPr="00F330E7">
        <w:rPr>
          <w:rFonts w:cs="Times New Roman"/>
          <w:b/>
        </w:rPr>
        <w:t>Results</w:t>
      </w:r>
      <w:bookmarkStart w:id="2" w:name="_Toc303853706"/>
      <w:bookmarkStart w:id="3" w:name="_Toc303853705"/>
    </w:p>
    <w:p w:rsidR="009B5ADC" w:rsidRPr="00AF47F2" w:rsidRDefault="00B37C01" w:rsidP="009B5ADC">
      <w:pPr>
        <w:pStyle w:val="manuscript"/>
        <w:keepNext/>
        <w:rPr>
          <w:i/>
        </w:rPr>
      </w:pPr>
      <w:r>
        <w:rPr>
          <w:i/>
        </w:rPr>
        <w:t>5</w:t>
      </w:r>
      <w:r w:rsidR="009B5ADC">
        <w:rPr>
          <w:i/>
        </w:rPr>
        <w:t xml:space="preserve">.1. </w:t>
      </w:r>
      <w:r w:rsidR="009B5ADC" w:rsidRPr="00AF47F2">
        <w:rPr>
          <w:i/>
        </w:rPr>
        <w:t>Benefit</w:t>
      </w:r>
      <w:bookmarkEnd w:id="2"/>
      <w:r w:rsidR="00BC5EF8">
        <w:rPr>
          <w:i/>
        </w:rPr>
        <w:t xml:space="preserve"> h</w:t>
      </w:r>
      <w:r w:rsidR="009B5ADC">
        <w:rPr>
          <w:i/>
        </w:rPr>
        <w:t>ypothesis</w:t>
      </w:r>
    </w:p>
    <w:p w:rsidR="009B5ADC" w:rsidRDefault="00B43DE5" w:rsidP="009B5ADC">
      <w:pPr>
        <w:pStyle w:val="manuscript"/>
      </w:pPr>
      <w:r>
        <w:t>Table 2</w:t>
      </w:r>
      <w:r w:rsidR="009B5ADC" w:rsidRPr="007F15CF">
        <w:t xml:space="preserve"> </w:t>
      </w:r>
      <w:r w:rsidR="009B5ADC">
        <w:t xml:space="preserve">reports </w:t>
      </w:r>
      <w:r>
        <w:t>means and modes</w:t>
      </w:r>
      <w:r w:rsidR="009B5ADC">
        <w:t xml:space="preserve"> </w:t>
      </w:r>
      <w:r>
        <w:t xml:space="preserve">of </w:t>
      </w:r>
      <w:r w:rsidR="00F85A6D">
        <w:t>nine</w:t>
      </w:r>
      <w:r w:rsidR="009B5ADC">
        <w:t xml:space="preserve"> </w:t>
      </w:r>
      <w:r w:rsidR="00F85A6D">
        <w:t xml:space="preserve">expected </w:t>
      </w:r>
      <w:r w:rsidR="009B5ADC">
        <w:t>benefits of IFRS adoption</w:t>
      </w:r>
      <w:r w:rsidR="00F85A6D">
        <w:t xml:space="preserve"> that have been proposed in the professional </w:t>
      </w:r>
      <w:r w:rsidR="00D22860">
        <w:t xml:space="preserve">and academic </w:t>
      </w:r>
      <w:r w:rsidR="00F85A6D">
        <w:t>literature</w:t>
      </w:r>
      <w:r w:rsidR="009050D6">
        <w:t>.</w:t>
      </w:r>
      <w:r w:rsidR="00F85A6D">
        <w:t xml:space="preserve"> </w:t>
      </w:r>
      <w:r w:rsidR="009B5ADC" w:rsidRPr="007F15CF">
        <w:t>Respondents were asked to indicate their opinion</w:t>
      </w:r>
      <w:r w:rsidR="009B5ADC">
        <w:t xml:space="preserve"> on</w:t>
      </w:r>
      <w:r w:rsidR="009B5ADC" w:rsidRPr="007F15CF">
        <w:t xml:space="preserve"> </w:t>
      </w:r>
      <w:r w:rsidR="00F85A6D">
        <w:t>each</w:t>
      </w:r>
      <w:r w:rsidR="009B5ADC" w:rsidRPr="007F15CF">
        <w:t xml:space="preserve"> </w:t>
      </w:r>
      <w:r w:rsidR="009B5ADC">
        <w:t xml:space="preserve">expected </w:t>
      </w:r>
      <w:r w:rsidR="009B5ADC" w:rsidRPr="007F15CF">
        <w:t xml:space="preserve">benefit using a </w:t>
      </w:r>
      <w:r w:rsidR="000F6880" w:rsidRPr="007F15CF">
        <w:t>5-point</w:t>
      </w:r>
      <w:r w:rsidR="009B5ADC" w:rsidRPr="007F15CF">
        <w:t xml:space="preserve"> Likert scale (1 = ‘strongly agree’ through to 5 = ‘strongly disagree</w:t>
      </w:r>
      <w:r w:rsidR="009B5ADC">
        <w:t>’; 3</w:t>
      </w:r>
      <w:r w:rsidR="00A34ECB">
        <w:t xml:space="preserve"> </w:t>
      </w:r>
      <w:r w:rsidR="009B5ADC">
        <w:t>=</w:t>
      </w:r>
      <w:r w:rsidR="00A34ECB">
        <w:t xml:space="preserve"> ‘</w:t>
      </w:r>
      <w:r w:rsidR="009B5ADC">
        <w:t>unsure’</w:t>
      </w:r>
      <w:r w:rsidR="009B5ADC" w:rsidRPr="007F15CF">
        <w:t xml:space="preserve">). </w:t>
      </w:r>
      <w:r w:rsidR="009B5ADC">
        <w:t>The overall benefit score was estimated for each firm using an equally weighted average of all benefits.</w:t>
      </w:r>
      <w:r w:rsidR="002B7F8E">
        <w:t xml:space="preserve"> </w:t>
      </w:r>
    </w:p>
    <w:p w:rsidR="009B5ADC" w:rsidRPr="00CA5F5F" w:rsidRDefault="00F85A6D" w:rsidP="009B5ADC">
      <w:pPr>
        <w:pStyle w:val="manuscript"/>
        <w:rPr>
          <w:i/>
        </w:rPr>
      </w:pPr>
      <w:r>
        <w:rPr>
          <w:i/>
        </w:rPr>
        <w:t>&lt;Insert Table 2</w:t>
      </w:r>
      <w:r w:rsidR="009B5ADC" w:rsidRPr="00CA5F5F">
        <w:rPr>
          <w:i/>
        </w:rPr>
        <w:t>&gt;</w:t>
      </w:r>
    </w:p>
    <w:p w:rsidR="00126482" w:rsidRDefault="009B5ADC" w:rsidP="009B5ADC">
      <w:pPr>
        <w:pStyle w:val="manuscript"/>
      </w:pPr>
      <w:r>
        <w:t xml:space="preserve">The overall mean </w:t>
      </w:r>
      <w:r w:rsidR="00330637">
        <w:t xml:space="preserve">benefit </w:t>
      </w:r>
      <w:r>
        <w:t xml:space="preserve">is 3.35 for </w:t>
      </w:r>
      <w:r w:rsidR="002E55B8">
        <w:t>early</w:t>
      </w:r>
      <w:r w:rsidR="00330637">
        <w:t xml:space="preserve"> adopters and 3.67 for </w:t>
      </w:r>
      <w:r w:rsidR="00595A7C">
        <w:t>late</w:t>
      </w:r>
      <w:r w:rsidR="00330637">
        <w:t xml:space="preserve"> adopters</w:t>
      </w:r>
      <w:r w:rsidR="00834A50">
        <w:t>. T</w:t>
      </w:r>
      <w:r>
        <w:t xml:space="preserve">his difference is significant at the 5 percent level. </w:t>
      </w:r>
      <w:r w:rsidR="00834A50">
        <w:t>T</w:t>
      </w:r>
      <w:r w:rsidR="00330637">
        <w:t>he benef</w:t>
      </w:r>
      <w:r w:rsidR="00126482">
        <w:t>it hyp</w:t>
      </w:r>
      <w:r w:rsidR="00B43DE5">
        <w:t>othesis (H1) is supported</w:t>
      </w:r>
      <w:r w:rsidR="00834A50">
        <w:t xml:space="preserve">. </w:t>
      </w:r>
      <w:r w:rsidR="00305AE0">
        <w:t xml:space="preserve">While both groups </w:t>
      </w:r>
      <w:r w:rsidR="00305AE0">
        <w:lastRenderedPageBreak/>
        <w:t>disagree that IFRS has resulted in benefits (i.e., mean score is greater than 3), e</w:t>
      </w:r>
      <w:r w:rsidR="002E55B8">
        <w:t>arly</w:t>
      </w:r>
      <w:r w:rsidR="00D22860">
        <w:t xml:space="preserve"> adopters </w:t>
      </w:r>
      <w:r w:rsidR="00834A50">
        <w:t>are</w:t>
      </w:r>
      <w:r w:rsidR="00E853BC">
        <w:t xml:space="preserve"> </w:t>
      </w:r>
      <w:r w:rsidR="004E00D3">
        <w:t>less negative</w:t>
      </w:r>
      <w:r w:rsidR="00D22860">
        <w:t xml:space="preserve">. </w:t>
      </w:r>
    </w:p>
    <w:p w:rsidR="009B5ADC" w:rsidRPr="007F15CF" w:rsidRDefault="00C41D96" w:rsidP="00126482">
      <w:pPr>
        <w:pStyle w:val="manuscript"/>
      </w:pPr>
      <w:r>
        <w:t>O</w:t>
      </w:r>
      <w:r w:rsidR="00126482">
        <w:t xml:space="preserve">nly </w:t>
      </w:r>
      <w:r w:rsidR="00B43DE5">
        <w:t>three</w:t>
      </w:r>
      <w:r w:rsidR="00126482">
        <w:t xml:space="preserve"> of the nine individual benefits show significant differences between </w:t>
      </w:r>
      <w:r w:rsidR="002E55B8">
        <w:t>early</w:t>
      </w:r>
      <w:r w:rsidR="00126482">
        <w:t xml:space="preserve"> and </w:t>
      </w:r>
      <w:r w:rsidR="00595A7C">
        <w:t>late</w:t>
      </w:r>
      <w:r w:rsidR="00126482">
        <w:t xml:space="preserve"> adopter</w:t>
      </w:r>
      <w:r w:rsidR="00E853BC">
        <w:t>s</w:t>
      </w:r>
      <w:r w:rsidR="00126482">
        <w:t>. ‘C</w:t>
      </w:r>
      <w:r w:rsidR="009B5ADC" w:rsidRPr="007F15CF">
        <w:t xml:space="preserve">omparability’ </w:t>
      </w:r>
      <w:r w:rsidR="00126482">
        <w:t>was considered to be a benefit for both groups</w:t>
      </w:r>
      <w:r w:rsidR="00CF407B">
        <w:t xml:space="preserve">. </w:t>
      </w:r>
      <w:r w:rsidR="00BB376D">
        <w:t xml:space="preserve"> The </w:t>
      </w:r>
      <w:r w:rsidR="009B5ADC" w:rsidRPr="007F15CF">
        <w:t xml:space="preserve">mean </w:t>
      </w:r>
      <w:r w:rsidR="009E5897">
        <w:t>is</w:t>
      </w:r>
      <w:r w:rsidR="009B5ADC" w:rsidRPr="007F15CF">
        <w:t xml:space="preserve"> 2.29 f</w:t>
      </w:r>
      <w:r w:rsidR="009B5ADC">
        <w:t xml:space="preserve">or </w:t>
      </w:r>
      <w:r w:rsidR="002E55B8">
        <w:t>early</w:t>
      </w:r>
      <w:r w:rsidR="00126482">
        <w:t xml:space="preserve"> adopters</w:t>
      </w:r>
      <w:r w:rsidR="009B5ADC">
        <w:t xml:space="preserve"> </w:t>
      </w:r>
      <w:r w:rsidR="009E5897">
        <w:t>and</w:t>
      </w:r>
      <w:r w:rsidR="009B5ADC" w:rsidRPr="007F15CF">
        <w:t xml:space="preserve"> 2.88 f</w:t>
      </w:r>
      <w:r w:rsidR="009B5ADC">
        <w:t xml:space="preserve">or </w:t>
      </w:r>
      <w:r w:rsidR="00595A7C">
        <w:t>late</w:t>
      </w:r>
      <w:r w:rsidR="00126482">
        <w:t xml:space="preserve"> adopters</w:t>
      </w:r>
      <w:r w:rsidR="009B5ADC">
        <w:t>.</w:t>
      </w:r>
      <w:r w:rsidR="009B5ADC" w:rsidRPr="007F15CF">
        <w:t xml:space="preserve"> </w:t>
      </w:r>
      <w:r w:rsidR="009B5ADC">
        <w:t>This</w:t>
      </w:r>
      <w:r w:rsidR="009B5ADC" w:rsidRPr="007F15CF">
        <w:t xml:space="preserve"> difference </w:t>
      </w:r>
      <w:r w:rsidR="009B5ADC">
        <w:t>is significant</w:t>
      </w:r>
      <w:r w:rsidR="00B43DE5">
        <w:t xml:space="preserve"> (p = 0.0</w:t>
      </w:r>
      <w:r w:rsidR="009B5ADC" w:rsidRPr="007F15CF">
        <w:t xml:space="preserve">6). Significant differences between </w:t>
      </w:r>
      <w:r w:rsidR="00F85A6D">
        <w:t>the groups</w:t>
      </w:r>
      <w:r w:rsidR="009B5ADC" w:rsidRPr="007F15CF">
        <w:t xml:space="preserve"> are also found with regard to expected long-term benefits of IFRS for</w:t>
      </w:r>
      <w:r w:rsidR="00B43DE5">
        <w:t xml:space="preserve"> the individual firms (p = 0.07</w:t>
      </w:r>
      <w:r w:rsidR="009B5ADC" w:rsidRPr="007F15CF">
        <w:t>) and fo</w:t>
      </w:r>
      <w:r w:rsidR="00B43DE5">
        <w:t>r New Zealand (p = 0.03</w:t>
      </w:r>
      <w:r w:rsidR="009B5ADC" w:rsidRPr="007F15CF">
        <w:t>).</w:t>
      </w:r>
      <w:r w:rsidR="009B5ADC">
        <w:t xml:space="preserve"> </w:t>
      </w:r>
    </w:p>
    <w:p w:rsidR="00A34C4D" w:rsidRDefault="00BB376D" w:rsidP="009B5ADC">
      <w:pPr>
        <w:pStyle w:val="manuscript"/>
      </w:pPr>
      <w:r>
        <w:t>R</w:t>
      </w:r>
      <w:r w:rsidR="009B5ADC">
        <w:t>espondents</w:t>
      </w:r>
      <w:r>
        <w:t>,</w:t>
      </w:r>
      <w:r w:rsidR="009B5ADC" w:rsidRPr="007F15CF">
        <w:t xml:space="preserve"> </w:t>
      </w:r>
      <w:r>
        <w:t xml:space="preserve">in both questionnaires and interviews, commented </w:t>
      </w:r>
      <w:r w:rsidR="009B5ADC">
        <w:t xml:space="preserve">that </w:t>
      </w:r>
      <w:r w:rsidR="009B5ADC">
        <w:rPr>
          <w:i/>
        </w:rPr>
        <w:t>ex post</w:t>
      </w:r>
      <w:r w:rsidR="009B5ADC">
        <w:t xml:space="preserve"> they had seen</w:t>
      </w:r>
      <w:r w:rsidR="009B5ADC" w:rsidRPr="007F15CF">
        <w:t xml:space="preserve"> little evidence of IFRS benefits to date</w:t>
      </w:r>
      <w:r w:rsidR="009B5ADC">
        <w:t>.</w:t>
      </w:r>
      <w:r w:rsidR="004A66E9">
        <w:rPr>
          <w:rStyle w:val="FootnoteReference"/>
        </w:rPr>
        <w:footnoteReference w:id="15"/>
      </w:r>
      <w:r w:rsidR="009B5ADC">
        <w:t xml:space="preserve"> </w:t>
      </w:r>
      <w:r w:rsidR="00595A7C">
        <w:t>Late</w:t>
      </w:r>
      <w:r w:rsidR="00F85A6D">
        <w:t xml:space="preserve"> adopters were</w:t>
      </w:r>
      <w:r w:rsidR="00F85A6D" w:rsidRPr="007F15CF">
        <w:t xml:space="preserve"> </w:t>
      </w:r>
      <w:r w:rsidR="00F85A6D">
        <w:t>more negative</w:t>
      </w:r>
      <w:r w:rsidR="005D25BE">
        <w:t>. Th</w:t>
      </w:r>
      <w:r w:rsidR="00FF64D2">
        <w:t>eir comments</w:t>
      </w:r>
      <w:r w:rsidR="005D25BE">
        <w:t xml:space="preserve"> </w:t>
      </w:r>
      <w:r w:rsidR="00F85A6D" w:rsidRPr="007F15CF">
        <w:t xml:space="preserve">reflect concern that IFRS is detrimental to the </w:t>
      </w:r>
      <w:proofErr w:type="spellStart"/>
      <w:r w:rsidR="00F85A6D" w:rsidRPr="007F15CF">
        <w:t>understandability</w:t>
      </w:r>
      <w:proofErr w:type="spellEnd"/>
      <w:r w:rsidR="00F85A6D" w:rsidRPr="007F15CF">
        <w:t>, relevance,</w:t>
      </w:r>
      <w:r w:rsidR="00B43DE5" w:rsidRPr="00B43DE5">
        <w:t xml:space="preserve"> </w:t>
      </w:r>
      <w:r w:rsidR="00B43DE5" w:rsidRPr="007F15CF">
        <w:t>and</w:t>
      </w:r>
      <w:r w:rsidR="00F85A6D" w:rsidRPr="007F15CF">
        <w:t xml:space="preserve"> reliability of financial reports</w:t>
      </w:r>
      <w:r w:rsidR="005D25BE">
        <w:t>, for example:</w:t>
      </w:r>
      <w:r w:rsidR="00F85A6D">
        <w:t xml:space="preserve"> </w:t>
      </w:r>
      <w:r w:rsidR="00A34C4D">
        <w:t>“C</w:t>
      </w:r>
      <w:r w:rsidR="00A34C4D" w:rsidRPr="00D814D0">
        <w:t xml:space="preserve">omments from the users of our annual report </w:t>
      </w:r>
      <w:r w:rsidR="00A34C4D">
        <w:t>indicate</w:t>
      </w:r>
      <w:r w:rsidR="00A34C4D" w:rsidRPr="00D814D0">
        <w:t xml:space="preserve"> that there </w:t>
      </w:r>
      <w:r w:rsidR="00A34C4D">
        <w:t>is</w:t>
      </w:r>
      <w:r w:rsidR="00A34C4D" w:rsidRPr="00D814D0">
        <w:t xml:space="preserve"> far too much complicated information provided in the annual report as a result of IFRS requirement</w:t>
      </w:r>
      <w:r w:rsidR="00A34C4D">
        <w:t xml:space="preserve">s …” </w:t>
      </w:r>
      <w:r w:rsidR="005D25BE">
        <w:t>(</w:t>
      </w:r>
      <w:r w:rsidR="00FF64D2">
        <w:t>LAQ2</w:t>
      </w:r>
      <w:r w:rsidR="005D25BE">
        <w:t xml:space="preserve">) </w:t>
      </w:r>
      <w:r w:rsidR="00A34C4D">
        <w:t xml:space="preserve">and </w:t>
      </w:r>
      <w:r w:rsidR="00A34C4D">
        <w:rPr>
          <w:bCs/>
          <w:spacing w:val="4"/>
        </w:rPr>
        <w:t>“</w:t>
      </w:r>
      <w:r w:rsidR="00A34C4D" w:rsidRPr="00A20411">
        <w:t xml:space="preserve">NZIFRS has confused our investors, Chairman of the Audit Committee </w:t>
      </w:r>
      <w:r w:rsidR="00CE14C2">
        <w:t>and</w:t>
      </w:r>
      <w:r w:rsidR="00A34C4D" w:rsidRPr="00A20411">
        <w:t xml:space="preserve"> Canadian investors.  It has significantly increased costs </w:t>
      </w:r>
      <w:r w:rsidR="00CE14C2">
        <w:t>and</w:t>
      </w:r>
      <w:r w:rsidR="00A34C4D" w:rsidRPr="00A20411">
        <w:t xml:space="preserve"> is perceived to be of no benefit</w:t>
      </w:r>
      <w:r w:rsidR="00A34C4D">
        <w:t>”</w:t>
      </w:r>
      <w:r w:rsidR="005D25BE">
        <w:t xml:space="preserve"> (</w:t>
      </w:r>
      <w:r w:rsidR="00FF64D2">
        <w:t>LAQ3</w:t>
      </w:r>
      <w:r w:rsidR="005D25BE">
        <w:t>)</w:t>
      </w:r>
      <w:r w:rsidR="000E3413">
        <w:t>.</w:t>
      </w:r>
      <w:r w:rsidR="0096482B">
        <w:rPr>
          <w:rStyle w:val="FootnoteReference"/>
        </w:rPr>
        <w:footnoteReference w:id="16"/>
      </w:r>
      <w:r w:rsidR="00D35EF8">
        <w:t xml:space="preserve"> </w:t>
      </w:r>
      <w:r w:rsidR="009B5ADC">
        <w:t xml:space="preserve">One </w:t>
      </w:r>
      <w:r w:rsidR="00982BBD">
        <w:t xml:space="preserve">early adopter </w:t>
      </w:r>
      <w:r w:rsidR="009B5ADC">
        <w:t>commented</w:t>
      </w:r>
      <w:r w:rsidR="009B5ADC" w:rsidRPr="007F15CF">
        <w:t>:</w:t>
      </w:r>
      <w:r w:rsidR="009B5ADC">
        <w:t xml:space="preserve"> </w:t>
      </w:r>
      <w:r w:rsidR="009B5ADC" w:rsidRPr="007F15CF">
        <w:rPr>
          <w:bCs/>
          <w:spacing w:val="4"/>
        </w:rPr>
        <w:t>“</w:t>
      </w:r>
      <w:r w:rsidR="009B5ADC" w:rsidRPr="007F15CF">
        <w:t>I think IFRS was the ‘Y2K’ of this decade”</w:t>
      </w:r>
      <w:r w:rsidR="0096482B">
        <w:t xml:space="preserve"> (EAI9)</w:t>
      </w:r>
      <w:r w:rsidR="009B5ADC" w:rsidRPr="007F15CF">
        <w:t>.</w:t>
      </w:r>
      <w:r w:rsidR="009B5ADC" w:rsidRPr="007F15CF">
        <w:rPr>
          <w:rStyle w:val="FootnoteReference"/>
          <w:szCs w:val="24"/>
        </w:rPr>
        <w:footnoteReference w:id="17"/>
      </w:r>
      <w:r w:rsidR="009B5ADC">
        <w:t xml:space="preserve"> </w:t>
      </w:r>
      <w:r w:rsidR="00F85A6D">
        <w:t xml:space="preserve">However, </w:t>
      </w:r>
      <w:r w:rsidR="00982BBD">
        <w:t xml:space="preserve">Table 2 </w:t>
      </w:r>
      <w:r w:rsidR="00982BBD">
        <w:lastRenderedPageBreak/>
        <w:t xml:space="preserve">indicates that </w:t>
      </w:r>
      <w:r w:rsidR="002E55B8">
        <w:t>early</w:t>
      </w:r>
      <w:r w:rsidR="008B4634">
        <w:t xml:space="preserve"> adopters</w:t>
      </w:r>
      <w:r w:rsidR="00F85A6D">
        <w:t xml:space="preserve"> were still optimistic</w:t>
      </w:r>
      <w:r w:rsidR="00F85A6D" w:rsidRPr="007F15CF">
        <w:t xml:space="preserve"> that </w:t>
      </w:r>
      <w:r w:rsidR="00982BBD" w:rsidRPr="007F15CF">
        <w:t>long term</w:t>
      </w:r>
      <w:r w:rsidR="00982BBD">
        <w:t xml:space="preserve"> </w:t>
      </w:r>
      <w:r w:rsidR="00F85A6D">
        <w:t xml:space="preserve">benefits </w:t>
      </w:r>
      <w:r w:rsidR="00982BBD">
        <w:t xml:space="preserve">would </w:t>
      </w:r>
      <w:r w:rsidR="00F85A6D">
        <w:t>occur</w:t>
      </w:r>
      <w:r w:rsidR="00530414">
        <w:t xml:space="preserve"> for New Zealand</w:t>
      </w:r>
      <w:r w:rsidR="00F85A6D" w:rsidRPr="007F15CF">
        <w:t>.</w:t>
      </w:r>
      <w:r w:rsidR="00F90B31">
        <w:t xml:space="preserve"> </w:t>
      </w:r>
    </w:p>
    <w:p w:rsidR="00514841" w:rsidRPr="00AF47F2" w:rsidRDefault="00135271" w:rsidP="00E30DDC">
      <w:pPr>
        <w:pStyle w:val="manuscript"/>
        <w:keepNext/>
        <w:rPr>
          <w:i/>
        </w:rPr>
      </w:pPr>
      <w:r w:rsidRPr="00AF7B6A">
        <w:rPr>
          <w:i/>
        </w:rPr>
        <w:t>5</w:t>
      </w:r>
      <w:r w:rsidR="009B5ADC" w:rsidRPr="00135271">
        <w:rPr>
          <w:i/>
        </w:rPr>
        <w:t>.</w:t>
      </w:r>
      <w:r w:rsidR="009B5ADC" w:rsidRPr="00A843CE">
        <w:rPr>
          <w:i/>
        </w:rPr>
        <w:t>2</w:t>
      </w:r>
      <w:r w:rsidR="00AF47F2" w:rsidRPr="00A843CE">
        <w:rPr>
          <w:i/>
        </w:rPr>
        <w:t xml:space="preserve">. </w:t>
      </w:r>
      <w:r w:rsidR="00514841" w:rsidRPr="00A843CE">
        <w:rPr>
          <w:i/>
        </w:rPr>
        <w:t>Cost</w:t>
      </w:r>
      <w:bookmarkEnd w:id="3"/>
      <w:r w:rsidR="00BC5EF8" w:rsidRPr="00A843CE">
        <w:rPr>
          <w:i/>
        </w:rPr>
        <w:t xml:space="preserve"> h</w:t>
      </w:r>
      <w:r w:rsidR="009B5ADC" w:rsidRPr="00A843CE">
        <w:rPr>
          <w:i/>
        </w:rPr>
        <w:t>ypothesis</w:t>
      </w:r>
      <w:r w:rsidR="007D5A89" w:rsidRPr="00A843CE">
        <w:rPr>
          <w:i/>
        </w:rPr>
        <w:t xml:space="preserve"> </w:t>
      </w:r>
    </w:p>
    <w:p w:rsidR="00AA6E6A" w:rsidRDefault="00514841" w:rsidP="00AA6E6A">
      <w:pPr>
        <w:pStyle w:val="manuscript"/>
        <w:rPr>
          <w:i/>
        </w:rPr>
      </w:pPr>
      <w:r w:rsidRPr="007F15CF">
        <w:t xml:space="preserve">Descriptive statistics </w:t>
      </w:r>
      <w:r w:rsidR="00602C94">
        <w:t xml:space="preserve">of </w:t>
      </w:r>
      <w:r w:rsidR="00AA6E6A">
        <w:t>firm size and four</w:t>
      </w:r>
      <w:r w:rsidR="00602C94">
        <w:t xml:space="preserve"> cost</w:t>
      </w:r>
      <w:r w:rsidR="00AA6E6A">
        <w:t xml:space="preserve"> measures</w:t>
      </w:r>
      <w:r w:rsidR="00602C94">
        <w:t xml:space="preserve"> related to IFRS adoption </w:t>
      </w:r>
      <w:r w:rsidRPr="007F15CF">
        <w:t xml:space="preserve">are </w:t>
      </w:r>
      <w:r w:rsidR="00AA6E6A">
        <w:t>reported</w:t>
      </w:r>
      <w:r w:rsidRPr="007F15CF">
        <w:t xml:space="preserve"> in Ta</w:t>
      </w:r>
      <w:r w:rsidR="00AA6E6A">
        <w:t>ble 3</w:t>
      </w:r>
      <w:r w:rsidR="007C2E9F" w:rsidRPr="007F15CF">
        <w:t>.</w:t>
      </w:r>
      <w:r w:rsidR="00AA6E6A">
        <w:t xml:space="preserve"> </w:t>
      </w:r>
      <w:r w:rsidR="007C2E9F" w:rsidRPr="007F15CF">
        <w:t>Panel</w:t>
      </w:r>
      <w:r w:rsidRPr="007F15CF">
        <w:t xml:space="preserve"> A report</w:t>
      </w:r>
      <w:r w:rsidR="007C2E9F" w:rsidRPr="007F15CF">
        <w:t>s the results for</w:t>
      </w:r>
      <w:r w:rsidR="005F555C" w:rsidRPr="007F15CF">
        <w:t xml:space="preserve"> </w:t>
      </w:r>
      <w:r w:rsidR="002E55B8">
        <w:t>early</w:t>
      </w:r>
      <w:r w:rsidR="00AA6E6A">
        <w:t xml:space="preserve"> adopters</w:t>
      </w:r>
      <w:r w:rsidR="007C2E9F" w:rsidRPr="007F15CF">
        <w:t>, Panel B for</w:t>
      </w:r>
      <w:r w:rsidR="005F555C" w:rsidRPr="007F15CF">
        <w:t xml:space="preserve"> </w:t>
      </w:r>
      <w:r w:rsidR="00595A7C">
        <w:t>late</w:t>
      </w:r>
      <w:r w:rsidR="00AA6E6A">
        <w:t xml:space="preserve"> adopters</w:t>
      </w:r>
      <w:r w:rsidR="007C2E9F" w:rsidRPr="007F15CF">
        <w:t xml:space="preserve"> </w:t>
      </w:r>
      <w:r w:rsidR="005F555C" w:rsidRPr="007F15CF">
        <w:t xml:space="preserve">and </w:t>
      </w:r>
      <w:r w:rsidRPr="007F15CF">
        <w:t>Panel C reports statistical tests</w:t>
      </w:r>
      <w:r w:rsidR="005F555C" w:rsidRPr="007F15CF">
        <w:t>.</w:t>
      </w:r>
      <w:r w:rsidR="001A12E9" w:rsidRPr="007F15CF">
        <w:t xml:space="preserve"> The means and medians indicate that </w:t>
      </w:r>
      <w:r w:rsidR="002E55B8">
        <w:t>early</w:t>
      </w:r>
      <w:r w:rsidR="00AA6E6A">
        <w:t xml:space="preserve"> adopters</w:t>
      </w:r>
      <w:r w:rsidR="001A12E9" w:rsidRPr="007F15CF">
        <w:t xml:space="preserve"> are larger in terms of total assets. </w:t>
      </w:r>
      <w:r w:rsidR="00657DF3">
        <w:t>However, t</w:t>
      </w:r>
      <w:r w:rsidR="008A6A86" w:rsidRPr="007F15CF">
        <w:t>he Mann-Whitney U test (in Panel C)</w:t>
      </w:r>
      <w:r w:rsidR="00AB7EE9" w:rsidRPr="007F15CF">
        <w:t xml:space="preserve"> </w:t>
      </w:r>
      <w:r w:rsidR="00AA6E6A">
        <w:t>indicates</w:t>
      </w:r>
      <w:r w:rsidR="004722EA" w:rsidRPr="007F15CF">
        <w:t xml:space="preserve"> this difference is</w:t>
      </w:r>
      <w:r w:rsidR="00AB7EE9" w:rsidRPr="007F15CF">
        <w:t xml:space="preserve"> not statistically significant</w:t>
      </w:r>
      <w:r w:rsidR="002C629F">
        <w:t xml:space="preserve"> at conventional levels</w:t>
      </w:r>
      <w:r w:rsidR="00AB7EE9" w:rsidRPr="007F15CF">
        <w:t xml:space="preserve">. Hence, </w:t>
      </w:r>
      <w:r w:rsidR="00982BBD">
        <w:t xml:space="preserve">the evidence does not support </w:t>
      </w:r>
      <w:r w:rsidR="00AB7EE9" w:rsidRPr="007F15CF">
        <w:t>firm size (as measured by total assets)</w:t>
      </w:r>
      <w:r w:rsidR="001E7B3B">
        <w:t xml:space="preserve"> </w:t>
      </w:r>
      <w:r w:rsidR="00982BBD">
        <w:t>as</w:t>
      </w:r>
      <w:r w:rsidR="00AB7EE9" w:rsidRPr="007F15CF">
        <w:t xml:space="preserve"> a determinant of early adoption</w:t>
      </w:r>
      <w:r w:rsidR="00657DF3">
        <w:t xml:space="preserve"> of IFRS</w:t>
      </w:r>
      <w:r w:rsidR="00982BBD">
        <w:t>. Therefore,</w:t>
      </w:r>
      <w:r w:rsidR="00B43E00">
        <w:t xml:space="preserve"> support for a political costs hypothesis based on </w:t>
      </w:r>
      <w:r w:rsidR="00982BBD">
        <w:t xml:space="preserve">firm </w:t>
      </w:r>
      <w:r w:rsidR="00B43E00">
        <w:t xml:space="preserve">size </w:t>
      </w:r>
      <w:r w:rsidR="000F41C0">
        <w:t>is</w:t>
      </w:r>
      <w:r w:rsidR="00B43E00">
        <w:t xml:space="preserve"> unlikely</w:t>
      </w:r>
      <w:r w:rsidR="00083367">
        <w:t>.</w:t>
      </w:r>
      <w:r w:rsidR="00657DF3">
        <w:t xml:space="preserve"> Nevertheless, i</w:t>
      </w:r>
      <w:r w:rsidR="00AB7EE9" w:rsidRPr="007F15CF">
        <w:t xml:space="preserve">n order to control for the wide range of firm size across </w:t>
      </w:r>
      <w:r w:rsidR="00AA6E6A">
        <w:t>the</w:t>
      </w:r>
      <w:r w:rsidR="00AB7EE9" w:rsidRPr="007F15CF">
        <w:t xml:space="preserve"> samples we employ various scaling measures to control for size effects.</w:t>
      </w:r>
      <w:r w:rsidR="00AA6E6A" w:rsidRPr="00AA6E6A">
        <w:rPr>
          <w:i/>
        </w:rPr>
        <w:t xml:space="preserve"> </w:t>
      </w:r>
    </w:p>
    <w:p w:rsidR="00AA6E6A" w:rsidRDefault="00AA6E6A" w:rsidP="008149D4">
      <w:pPr>
        <w:pStyle w:val="manuscript"/>
        <w:rPr>
          <w:i/>
        </w:rPr>
      </w:pPr>
      <w:r w:rsidRPr="00CA5F5F">
        <w:rPr>
          <w:i/>
        </w:rPr>
        <w:t>&lt;I</w:t>
      </w:r>
      <w:r w:rsidR="00F748AF">
        <w:rPr>
          <w:i/>
        </w:rPr>
        <w:t>nsert Table 3</w:t>
      </w:r>
      <w:r w:rsidRPr="00CA5F5F">
        <w:rPr>
          <w:i/>
        </w:rPr>
        <w:t>&gt;</w:t>
      </w:r>
    </w:p>
    <w:p w:rsidR="002A4A20" w:rsidRDefault="00AA6E6A" w:rsidP="008149D4">
      <w:pPr>
        <w:pStyle w:val="manuscript"/>
      </w:pPr>
      <w:r w:rsidRPr="007F15CF">
        <w:t>The mean (median) ‘total cost of IFRS adoption’ (</w:t>
      </w:r>
      <w:proofErr w:type="spellStart"/>
      <w:r w:rsidRPr="007F15CF">
        <w:t>untabulated</w:t>
      </w:r>
      <w:proofErr w:type="spellEnd"/>
      <w:r w:rsidRPr="007F15CF">
        <w:t xml:space="preserve">) for </w:t>
      </w:r>
      <w:r w:rsidR="002E55B8">
        <w:t>early</w:t>
      </w:r>
      <w:r w:rsidR="00C86E71">
        <w:t xml:space="preserve"> adopters</w:t>
      </w:r>
      <w:r w:rsidRPr="007F15CF">
        <w:t xml:space="preserve"> is $284,286 ($180,000) in comparison to $131,700 ($100,000) for </w:t>
      </w:r>
      <w:r w:rsidR="00595A7C">
        <w:t>late</w:t>
      </w:r>
      <w:r w:rsidR="00C86E71">
        <w:t xml:space="preserve"> adopters</w:t>
      </w:r>
      <w:r w:rsidRPr="007F15CF">
        <w:t>. When scaled by audit fees</w:t>
      </w:r>
      <w:r w:rsidR="000F7F51">
        <w:t xml:space="preserve"> (as reported for the year of IFRS adoption)</w:t>
      </w:r>
      <w:r w:rsidRPr="007F15CF">
        <w:t xml:space="preserve"> the mean ratio for </w:t>
      </w:r>
      <w:r w:rsidR="002E55B8">
        <w:t>early</w:t>
      </w:r>
      <w:r w:rsidR="00385562">
        <w:t xml:space="preserve"> adopters</w:t>
      </w:r>
      <w:r w:rsidRPr="007F15CF">
        <w:t xml:space="preserve"> is </w:t>
      </w:r>
      <w:r>
        <w:t>0.</w:t>
      </w:r>
      <w:r w:rsidR="002C629F">
        <w:t>84</w:t>
      </w:r>
      <w:r w:rsidRPr="007F15CF">
        <w:t xml:space="preserve"> and for </w:t>
      </w:r>
      <w:r w:rsidR="00595A7C">
        <w:t>late</w:t>
      </w:r>
      <w:r w:rsidR="00385562">
        <w:t xml:space="preserve"> adopters</w:t>
      </w:r>
      <w:r w:rsidRPr="007F15CF">
        <w:t xml:space="preserve"> is 1</w:t>
      </w:r>
      <w:r>
        <w:t>.</w:t>
      </w:r>
      <w:r w:rsidR="002C629F">
        <w:t>41</w:t>
      </w:r>
      <w:r w:rsidRPr="007F15CF">
        <w:t xml:space="preserve">. </w:t>
      </w:r>
      <w:r w:rsidR="00385562" w:rsidRPr="007F15CF">
        <w:rPr>
          <w:rStyle w:val="FootnoteReference"/>
          <w:bCs/>
          <w:spacing w:val="4"/>
          <w:szCs w:val="24"/>
        </w:rPr>
        <w:footnoteReference w:id="18"/>
      </w:r>
      <w:r w:rsidR="00385562" w:rsidRPr="007F15CF">
        <w:t xml:space="preserve"> </w:t>
      </w:r>
      <w:r w:rsidRPr="007F15CF">
        <w:t>However, this difference is not significant at the 0.10 level.</w:t>
      </w:r>
      <w:r>
        <w:t xml:space="preserve"> </w:t>
      </w:r>
      <w:r w:rsidR="00385562">
        <w:t>Hence, the cost hypothesis (H2) is not supported.</w:t>
      </w:r>
      <w:r w:rsidR="002A4A20">
        <w:t xml:space="preserve">  </w:t>
      </w:r>
    </w:p>
    <w:p w:rsidR="00F25BE6" w:rsidRDefault="00396CB1" w:rsidP="008149D4">
      <w:pPr>
        <w:pStyle w:val="manuscript"/>
      </w:pPr>
      <w:r>
        <w:t>We</w:t>
      </w:r>
      <w:r w:rsidR="00385562" w:rsidRPr="00385562">
        <w:t xml:space="preserve"> also asked </w:t>
      </w:r>
      <w:r w:rsidR="00385562">
        <w:t xml:space="preserve">for information on </w:t>
      </w:r>
      <w:r w:rsidR="00385562" w:rsidRPr="00385562">
        <w:t xml:space="preserve">the level of personnel, </w:t>
      </w:r>
      <w:r w:rsidR="00385562">
        <w:t xml:space="preserve">planning and </w:t>
      </w:r>
      <w:r w:rsidR="00385562" w:rsidRPr="00385562">
        <w:t xml:space="preserve">time </w:t>
      </w:r>
      <w:r w:rsidR="00C417AC">
        <w:t xml:space="preserve">devoted to IFRS </w:t>
      </w:r>
      <w:r w:rsidR="000F41C0">
        <w:t xml:space="preserve">to </w:t>
      </w:r>
      <w:r w:rsidR="00C417AC">
        <w:t xml:space="preserve">provide </w:t>
      </w:r>
      <w:r>
        <w:t>different measures of cost</w:t>
      </w:r>
      <w:r w:rsidR="00385562">
        <w:t>.</w:t>
      </w:r>
      <w:r w:rsidR="006848CA">
        <w:t xml:space="preserve"> </w:t>
      </w:r>
      <w:r w:rsidR="007C2E9F" w:rsidRPr="00385562">
        <w:t>The</w:t>
      </w:r>
      <w:r w:rsidR="007C2E9F" w:rsidRPr="007F15CF">
        <w:t xml:space="preserve"> maximum number of staff responsible for managing the </w:t>
      </w:r>
      <w:r w:rsidR="007C2E9F" w:rsidRPr="007F15CF">
        <w:lastRenderedPageBreak/>
        <w:t>implementation of IFRS at any one time was used as a measure of staffing commitment.</w:t>
      </w:r>
      <w:r w:rsidR="007C2E9F" w:rsidRPr="007F15CF">
        <w:rPr>
          <w:rStyle w:val="FootnoteReference"/>
          <w:bCs/>
          <w:spacing w:val="4"/>
          <w:szCs w:val="24"/>
        </w:rPr>
        <w:footnoteReference w:id="19"/>
      </w:r>
      <w:r w:rsidR="00FD04BD" w:rsidRPr="007F15CF">
        <w:t xml:space="preserve"> </w:t>
      </w:r>
      <w:r w:rsidR="00F42EEB">
        <w:t xml:space="preserve"> </w:t>
      </w:r>
      <w:r w:rsidR="001A12E9" w:rsidRPr="007F15CF">
        <w:t xml:space="preserve">We scale the maximum staff measure by the size of the </w:t>
      </w:r>
      <w:r w:rsidR="008A6A86" w:rsidRPr="007F15CF">
        <w:t>total</w:t>
      </w:r>
      <w:r w:rsidR="001A12E9" w:rsidRPr="007F15CF">
        <w:t xml:space="preserve"> accounting team.</w:t>
      </w:r>
      <w:r w:rsidR="00CD2F6F" w:rsidRPr="007F15CF">
        <w:rPr>
          <w:rStyle w:val="FootnoteReference"/>
          <w:bCs/>
          <w:spacing w:val="4"/>
          <w:szCs w:val="24"/>
        </w:rPr>
        <w:footnoteReference w:id="20"/>
      </w:r>
      <w:r w:rsidR="001A12E9" w:rsidRPr="007F15CF">
        <w:t xml:space="preserve"> </w:t>
      </w:r>
      <w:r w:rsidR="00F42EEB">
        <w:t xml:space="preserve"> </w:t>
      </w:r>
      <w:r w:rsidR="008A6A86" w:rsidRPr="007F15CF">
        <w:t xml:space="preserve">This ratio has a mean of 0.98 for </w:t>
      </w:r>
      <w:r w:rsidR="002E55B8">
        <w:t>early</w:t>
      </w:r>
      <w:r w:rsidR="008A6A86" w:rsidRPr="007F15CF">
        <w:t xml:space="preserve"> and 1.01 for </w:t>
      </w:r>
      <w:r w:rsidR="00595A7C">
        <w:t>late</w:t>
      </w:r>
      <w:r w:rsidR="006848CA">
        <w:t xml:space="preserve"> adopters</w:t>
      </w:r>
      <w:r w:rsidR="008A6A86" w:rsidRPr="007F15CF">
        <w:t xml:space="preserve">. </w:t>
      </w:r>
      <w:r w:rsidR="001F195B" w:rsidRPr="007F15CF">
        <w:t xml:space="preserve">The median and the </w:t>
      </w:r>
      <w:r w:rsidR="00F34AB0">
        <w:t>(</w:t>
      </w:r>
      <w:proofErr w:type="spellStart"/>
      <w:r w:rsidR="00F34AB0">
        <w:t>untabulated</w:t>
      </w:r>
      <w:proofErr w:type="spellEnd"/>
      <w:r w:rsidR="00F34AB0">
        <w:t xml:space="preserve">) </w:t>
      </w:r>
      <w:r w:rsidR="001F195B" w:rsidRPr="007F15CF">
        <w:t>75</w:t>
      </w:r>
      <w:r w:rsidR="00B40462" w:rsidRPr="0054404D">
        <w:rPr>
          <w:vertAlign w:val="superscript"/>
        </w:rPr>
        <w:t>th</w:t>
      </w:r>
      <w:r w:rsidR="00C23CCE">
        <w:t xml:space="preserve"> </w:t>
      </w:r>
      <w:r w:rsidR="001F195B" w:rsidRPr="007F15CF">
        <w:t>percentile are 1.0</w:t>
      </w:r>
      <w:r w:rsidR="00F25BE6">
        <w:t xml:space="preserve"> for both samples, which</w:t>
      </w:r>
      <w:r w:rsidR="001F195B" w:rsidRPr="007F15CF">
        <w:t xml:space="preserve"> </w:t>
      </w:r>
      <w:r w:rsidR="00C23CCE">
        <w:t>indicates</w:t>
      </w:r>
      <w:r w:rsidR="00C23CCE" w:rsidRPr="007F15CF">
        <w:t xml:space="preserve"> </w:t>
      </w:r>
      <w:r w:rsidR="001F195B" w:rsidRPr="007F15CF">
        <w:t xml:space="preserve">that for many firms the entire accounting function was employed on IFRS adoption. </w:t>
      </w:r>
      <w:r w:rsidR="00331E26">
        <w:t>The</w:t>
      </w:r>
      <w:r w:rsidR="001A12E9" w:rsidRPr="007F15CF">
        <w:t xml:space="preserve"> difference in the staffing between </w:t>
      </w:r>
      <w:r w:rsidR="002E55B8">
        <w:t>early</w:t>
      </w:r>
      <w:r w:rsidR="00F34AB0">
        <w:t xml:space="preserve"> and late adopters</w:t>
      </w:r>
      <w:r w:rsidR="001A12E9" w:rsidRPr="007F15CF">
        <w:t xml:space="preserve"> </w:t>
      </w:r>
      <w:r w:rsidR="004722EA" w:rsidRPr="007F15CF">
        <w:t>is not statistically significant</w:t>
      </w:r>
      <w:r w:rsidR="001A12E9" w:rsidRPr="007F15CF">
        <w:t>.</w:t>
      </w:r>
    </w:p>
    <w:p w:rsidR="00F25BE6" w:rsidRDefault="00F25BE6" w:rsidP="008149D4">
      <w:pPr>
        <w:pStyle w:val="manuscript"/>
      </w:pPr>
      <w:r>
        <w:t xml:space="preserve">As a measure of </w:t>
      </w:r>
      <w:r w:rsidR="009D4B96">
        <w:t>‘</w:t>
      </w:r>
      <w:r>
        <w:t>planning</w:t>
      </w:r>
      <w:r w:rsidR="00AF7372" w:rsidRPr="007F15CF">
        <w:t xml:space="preserve"> </w:t>
      </w:r>
      <w:r w:rsidR="00C417AC">
        <w:t xml:space="preserve">effort’ </w:t>
      </w:r>
      <w:r>
        <w:t xml:space="preserve">we asked respondents to provide </w:t>
      </w:r>
      <w:r w:rsidR="00AF7372" w:rsidRPr="007F15CF">
        <w:t xml:space="preserve">the number of months prior to date of transition to </w:t>
      </w:r>
      <w:r>
        <w:t xml:space="preserve">IFRS that formal planning began. To </w:t>
      </w:r>
      <w:r w:rsidR="00602C94">
        <w:t>report</w:t>
      </w:r>
      <w:r>
        <w:t xml:space="preserve"> comparative financial statement amounts, the transition date </w:t>
      </w:r>
      <w:r w:rsidR="009D4B96">
        <w:t xml:space="preserve">(as defined in NZ IFRS 1) </w:t>
      </w:r>
      <w:r>
        <w:t xml:space="preserve">was two years prior to the </w:t>
      </w:r>
      <w:r w:rsidR="00A517BA">
        <w:t xml:space="preserve">year of adoption balance </w:t>
      </w:r>
      <w:r>
        <w:t xml:space="preserve">date. </w:t>
      </w:r>
      <w:r w:rsidR="002E55B8">
        <w:t>Early</w:t>
      </w:r>
      <w:r w:rsidR="006848CA">
        <w:t xml:space="preserve"> adopters</w:t>
      </w:r>
      <w:r>
        <w:t xml:space="preserve"> began planning</w:t>
      </w:r>
      <w:r w:rsidR="009D4B96">
        <w:t>,</w:t>
      </w:r>
      <w:r w:rsidR="009D4B96" w:rsidRPr="009D4B96">
        <w:t xml:space="preserve"> </w:t>
      </w:r>
      <w:r w:rsidR="009D4B96">
        <w:t xml:space="preserve">on average, </w:t>
      </w:r>
      <w:r w:rsidR="00C53910">
        <w:t>three</w:t>
      </w:r>
      <w:r w:rsidR="009D4B96">
        <w:t xml:space="preserve"> months</w:t>
      </w:r>
      <w:r>
        <w:t xml:space="preserve"> before transition date</w:t>
      </w:r>
      <w:r w:rsidR="004C5FB5">
        <w:t xml:space="preserve"> (i.e., 27 months before adoption</w:t>
      </w:r>
      <w:r w:rsidR="00A85224">
        <w:t xml:space="preserve"> year balance date</w:t>
      </w:r>
      <w:r w:rsidR="004C5FB5">
        <w:t>)</w:t>
      </w:r>
      <w:r>
        <w:t xml:space="preserve">. The range is </w:t>
      </w:r>
      <w:r w:rsidR="004C248C">
        <w:t>18 months before transition date to 15 months after</w:t>
      </w:r>
      <w:r w:rsidR="004C5FB5">
        <w:t xml:space="preserve"> (i.e., between 42 months and 9 months before adoption</w:t>
      </w:r>
      <w:r w:rsidR="00A85224">
        <w:t xml:space="preserve"> year balance date</w:t>
      </w:r>
      <w:r w:rsidR="004C5FB5">
        <w:t>)</w:t>
      </w:r>
      <w:r w:rsidR="004C248C">
        <w:t xml:space="preserve">. </w:t>
      </w:r>
      <w:r w:rsidR="00595A7C">
        <w:t>Late</w:t>
      </w:r>
      <w:r w:rsidR="006848CA">
        <w:t xml:space="preserve"> adopters began planning earlier</w:t>
      </w:r>
      <w:r w:rsidR="004C248C">
        <w:t xml:space="preserve">, but this difference is not </w:t>
      </w:r>
      <w:r w:rsidR="005A269D">
        <w:t xml:space="preserve">statistically </w:t>
      </w:r>
      <w:r w:rsidR="004C248C">
        <w:t>significant.</w:t>
      </w:r>
    </w:p>
    <w:p w:rsidR="00296D10" w:rsidRDefault="004C248C" w:rsidP="008149D4">
      <w:pPr>
        <w:pStyle w:val="manuscript"/>
      </w:pPr>
      <w:r>
        <w:t xml:space="preserve">We use </w:t>
      </w:r>
      <w:r w:rsidR="00AF7372" w:rsidRPr="007F15CF">
        <w:t>the number of person hours spent implementing IFRS</w:t>
      </w:r>
      <w:r w:rsidRPr="004C248C">
        <w:t xml:space="preserve"> </w:t>
      </w:r>
      <w:r>
        <w:t xml:space="preserve">as a measure of </w:t>
      </w:r>
      <w:r w:rsidRPr="007F15CF">
        <w:t>time commitment</w:t>
      </w:r>
      <w:r w:rsidR="00AF7372" w:rsidRPr="007F15CF">
        <w:t>.</w:t>
      </w:r>
      <w:r w:rsidR="00CD2F6F" w:rsidRPr="007F15CF">
        <w:rPr>
          <w:rStyle w:val="FootnoteReference"/>
          <w:bCs/>
          <w:spacing w:val="4"/>
          <w:szCs w:val="24"/>
        </w:rPr>
        <w:footnoteReference w:id="21"/>
      </w:r>
      <w:r w:rsidR="00AF7372" w:rsidRPr="007F15CF">
        <w:t xml:space="preserve"> </w:t>
      </w:r>
      <w:r w:rsidR="00D351B9" w:rsidRPr="007F15CF">
        <w:t xml:space="preserve">We </w:t>
      </w:r>
      <w:r w:rsidR="00AF7372" w:rsidRPr="007F15CF">
        <w:t>deflate</w:t>
      </w:r>
      <w:r w:rsidR="00D351B9" w:rsidRPr="007F15CF">
        <w:t xml:space="preserve"> the number of person hours by the</w:t>
      </w:r>
      <w:r w:rsidR="00CD2F6F" w:rsidRPr="007F15CF">
        <w:t xml:space="preserve"> audit fee</w:t>
      </w:r>
      <w:r w:rsidR="00BE6B2E">
        <w:t xml:space="preserve"> reported in the year of IFRS adoption</w:t>
      </w:r>
      <w:r w:rsidR="00D351B9" w:rsidRPr="007F15CF">
        <w:t>.</w:t>
      </w:r>
      <w:r w:rsidR="00F42EEB">
        <w:t xml:space="preserve"> </w:t>
      </w:r>
      <w:r w:rsidR="003658A1" w:rsidRPr="007F15CF">
        <w:t xml:space="preserve">The mean (median) implementation hours </w:t>
      </w:r>
      <w:r w:rsidR="00ED6CB0" w:rsidRPr="007F15CF">
        <w:t>(</w:t>
      </w:r>
      <w:proofErr w:type="spellStart"/>
      <w:r w:rsidR="00ED6CB0" w:rsidRPr="007F15CF">
        <w:t>untabulated</w:t>
      </w:r>
      <w:proofErr w:type="spellEnd"/>
      <w:r w:rsidR="00ED6CB0" w:rsidRPr="007F15CF">
        <w:t xml:space="preserve">) </w:t>
      </w:r>
      <w:r w:rsidR="003658A1" w:rsidRPr="007F15CF">
        <w:t xml:space="preserve">for </w:t>
      </w:r>
      <w:r w:rsidR="002E55B8">
        <w:t>early</w:t>
      </w:r>
      <w:r w:rsidR="006848CA">
        <w:t xml:space="preserve"> adopter</w:t>
      </w:r>
      <w:r w:rsidR="003658A1" w:rsidRPr="007F15CF">
        <w:t xml:space="preserve"> </w:t>
      </w:r>
      <w:r w:rsidR="0033261C" w:rsidRPr="007F15CF">
        <w:t>firms was 1</w:t>
      </w:r>
      <w:r w:rsidR="000B575C">
        <w:t>,</w:t>
      </w:r>
      <w:r w:rsidR="0033261C" w:rsidRPr="007F15CF">
        <w:t>269 (950</w:t>
      </w:r>
      <w:r w:rsidR="003658A1" w:rsidRPr="007F15CF">
        <w:t>) hours, compared to 1</w:t>
      </w:r>
      <w:r w:rsidR="000B575C">
        <w:t>,</w:t>
      </w:r>
      <w:r w:rsidR="003658A1" w:rsidRPr="007F15CF">
        <w:t xml:space="preserve">242 (850) for </w:t>
      </w:r>
      <w:r w:rsidR="00595A7C">
        <w:t>late</w:t>
      </w:r>
      <w:r w:rsidR="006848CA">
        <w:t xml:space="preserve"> adopters</w:t>
      </w:r>
      <w:r w:rsidR="003658A1" w:rsidRPr="007F15CF">
        <w:t xml:space="preserve">. </w:t>
      </w:r>
      <w:r w:rsidR="0033261C" w:rsidRPr="007F15CF">
        <w:t xml:space="preserve">When </w:t>
      </w:r>
      <w:r w:rsidR="003658A1" w:rsidRPr="007F15CF">
        <w:t xml:space="preserve">scaled for size </w:t>
      </w:r>
      <w:r w:rsidR="0033261C" w:rsidRPr="007F15CF">
        <w:t>(audit fees) the m</w:t>
      </w:r>
      <w:r w:rsidR="00B60015">
        <w:t>e</w:t>
      </w:r>
      <w:r w:rsidR="006848CA">
        <w:t xml:space="preserve">an </w:t>
      </w:r>
      <w:r w:rsidR="004403ED">
        <w:t xml:space="preserve">for </w:t>
      </w:r>
      <w:r w:rsidR="002E55B8">
        <w:t>early</w:t>
      </w:r>
      <w:r w:rsidR="004403ED">
        <w:t xml:space="preserve"> </w:t>
      </w:r>
      <w:r w:rsidR="004403ED">
        <w:lastRenderedPageBreak/>
        <w:t>adopters i</w:t>
      </w:r>
      <w:r w:rsidR="0033261C" w:rsidRPr="007F15CF">
        <w:t>s 6</w:t>
      </w:r>
      <w:r w:rsidR="003035A1">
        <w:t>.2</w:t>
      </w:r>
      <w:r w:rsidR="0033261C" w:rsidRPr="007F15CF">
        <w:t xml:space="preserve"> compared to 1</w:t>
      </w:r>
      <w:r w:rsidR="003035A1">
        <w:t>0.9</w:t>
      </w:r>
      <w:r w:rsidR="0033261C" w:rsidRPr="007F15CF">
        <w:t xml:space="preserve"> for </w:t>
      </w:r>
      <w:r w:rsidR="00595A7C">
        <w:t>late</w:t>
      </w:r>
      <w:r w:rsidR="004403ED">
        <w:t xml:space="preserve"> adopters</w:t>
      </w:r>
      <w:r w:rsidR="0033261C" w:rsidRPr="007F15CF">
        <w:t>. This difference is significant at the 0.05 level.</w:t>
      </w:r>
      <w:r w:rsidR="004403ED">
        <w:t xml:space="preserve"> </w:t>
      </w:r>
      <w:r w:rsidR="0043497F">
        <w:t>S</w:t>
      </w:r>
      <w:r w:rsidR="00C2552A">
        <w:t>ome late adopter interviews indicate that they delayed adoption to benefit from the experience of early adopters</w:t>
      </w:r>
      <w:r w:rsidR="00330136">
        <w:t>.</w:t>
      </w:r>
      <w:r w:rsidR="00C2552A">
        <w:t xml:space="preserve"> </w:t>
      </w:r>
      <w:r w:rsidR="00330136">
        <w:t>Some argued that the delay</w:t>
      </w:r>
      <w:r w:rsidR="00C2552A">
        <w:t xml:space="preserve"> </w:t>
      </w:r>
      <w:r w:rsidR="00330136">
        <w:t>resulted in improved s</w:t>
      </w:r>
      <w:r w:rsidR="00C2552A">
        <w:t xml:space="preserve">ystems and </w:t>
      </w:r>
      <w:r w:rsidR="00330136">
        <w:t xml:space="preserve">more </w:t>
      </w:r>
      <w:r w:rsidR="00C2552A">
        <w:t>knowledge</w:t>
      </w:r>
      <w:r w:rsidR="00330136">
        <w:t>able</w:t>
      </w:r>
      <w:r w:rsidR="00C2552A">
        <w:t xml:space="preserve"> auditors</w:t>
      </w:r>
      <w:r w:rsidR="00330136">
        <w:t xml:space="preserve">. </w:t>
      </w:r>
      <w:r w:rsidR="00462C63">
        <w:t xml:space="preserve">The results for time costs </w:t>
      </w:r>
      <w:r w:rsidR="00A85224">
        <w:t>suggest</w:t>
      </w:r>
      <w:r w:rsidR="00462C63">
        <w:t xml:space="preserve"> however, that s</w:t>
      </w:r>
      <w:r w:rsidR="00D21DE1">
        <w:t xml:space="preserve">uch benefits </w:t>
      </w:r>
      <w:r w:rsidR="00462C63">
        <w:t>were</w:t>
      </w:r>
      <w:r w:rsidR="00D21DE1">
        <w:t xml:space="preserve"> neutralised by o</w:t>
      </w:r>
      <w:r w:rsidR="00C2552A">
        <w:t xml:space="preserve">ther factors </w:t>
      </w:r>
      <w:r w:rsidR="00D21DE1">
        <w:t>(e.g.,</w:t>
      </w:r>
      <w:r w:rsidR="0043497F">
        <w:t xml:space="preserve"> t</w:t>
      </w:r>
      <w:r w:rsidR="00330136">
        <w:t>he</w:t>
      </w:r>
      <w:r w:rsidR="0043497F">
        <w:t xml:space="preserve"> </w:t>
      </w:r>
      <w:r w:rsidR="00DD5EFB">
        <w:t>ongoing changes to IFRS</w:t>
      </w:r>
      <w:r w:rsidR="00D21DE1">
        <w:t xml:space="preserve"> and findings that l</w:t>
      </w:r>
      <w:r w:rsidR="00330136">
        <w:t xml:space="preserve">ate adopters </w:t>
      </w:r>
      <w:r w:rsidR="00D21DE1">
        <w:t>reported</w:t>
      </w:r>
      <w:r w:rsidR="00EF11CB">
        <w:t xml:space="preserve"> greater usage of external consultants </w:t>
      </w:r>
      <w:r w:rsidR="00330136">
        <w:t xml:space="preserve">relative </w:t>
      </w:r>
      <w:r w:rsidR="00EF11CB">
        <w:t xml:space="preserve">to </w:t>
      </w:r>
      <w:r w:rsidR="00330136">
        <w:t>i</w:t>
      </w:r>
      <w:r w:rsidR="000F41C0">
        <w:t>n-house personnel</w:t>
      </w:r>
      <w:r w:rsidR="00D21DE1">
        <w:t>)</w:t>
      </w:r>
      <w:r w:rsidR="000F41C0">
        <w:t>.</w:t>
      </w:r>
    </w:p>
    <w:p w:rsidR="00514841" w:rsidRPr="009B5ADC" w:rsidRDefault="00135271" w:rsidP="00AF7B6A">
      <w:pPr>
        <w:pStyle w:val="manuscript"/>
        <w:keepNext/>
        <w:rPr>
          <w:i/>
        </w:rPr>
      </w:pPr>
      <w:r>
        <w:rPr>
          <w:i/>
        </w:rPr>
        <w:t>5</w:t>
      </w:r>
      <w:r w:rsidR="009B5ADC">
        <w:rPr>
          <w:i/>
        </w:rPr>
        <w:t>.3. Contracting hypothesis</w:t>
      </w:r>
    </w:p>
    <w:p w:rsidR="00C023C7" w:rsidRDefault="007C0074" w:rsidP="00F42EEB">
      <w:pPr>
        <w:pStyle w:val="manuscript"/>
      </w:pPr>
      <w:r>
        <w:t>Dunstan (2002)</w:t>
      </w:r>
      <w:r w:rsidR="00982BBD">
        <w:t>,</w:t>
      </w:r>
      <w:r>
        <w:t xml:space="preserve"> </w:t>
      </w:r>
      <w:r w:rsidR="00982BBD">
        <w:t xml:space="preserve">Christensen </w:t>
      </w:r>
      <w:r w:rsidR="00982BBD" w:rsidRPr="00AC2E8E">
        <w:rPr>
          <w:i/>
        </w:rPr>
        <w:t>et al</w:t>
      </w:r>
      <w:r w:rsidR="00982BBD">
        <w:t xml:space="preserve">. (2009) </w:t>
      </w:r>
      <w:r w:rsidR="004403ED">
        <w:t>and Christensen (2012) suggest</w:t>
      </w:r>
      <w:r>
        <w:t xml:space="preserve"> that accounting policy changes resulting from IFRS could negatively </w:t>
      </w:r>
      <w:r w:rsidR="00F06F77">
        <w:t>a</w:t>
      </w:r>
      <w:r>
        <w:t>ffect contractual arrangements such as debt covenants.</w:t>
      </w:r>
      <w:r w:rsidR="00982BBD">
        <w:t xml:space="preserve"> </w:t>
      </w:r>
      <w:r w:rsidR="004054B1">
        <w:t xml:space="preserve"> </w:t>
      </w:r>
      <w:r>
        <w:t xml:space="preserve">We </w:t>
      </w:r>
      <w:r w:rsidR="00982BBD">
        <w:t>examine this issue</w:t>
      </w:r>
      <w:r w:rsidR="004054B1">
        <w:t xml:space="preserve"> </w:t>
      </w:r>
      <w:r>
        <w:t>by asking r</w:t>
      </w:r>
      <w:r w:rsidR="00514841" w:rsidRPr="007F15CF">
        <w:t xml:space="preserve">espondents to indicate </w:t>
      </w:r>
      <w:r w:rsidR="007F5F31" w:rsidRPr="007F15CF">
        <w:t xml:space="preserve">the need to renegotiate and </w:t>
      </w:r>
      <w:r>
        <w:t xml:space="preserve">to estimate </w:t>
      </w:r>
      <w:r w:rsidR="007F5F31" w:rsidRPr="007F15CF">
        <w:t xml:space="preserve">the related costs of </w:t>
      </w:r>
      <w:r w:rsidR="00514841" w:rsidRPr="007F15CF">
        <w:t xml:space="preserve">IFRS </w:t>
      </w:r>
      <w:r w:rsidR="007F5F31" w:rsidRPr="007F15CF">
        <w:t xml:space="preserve">adoption </w:t>
      </w:r>
      <w:r w:rsidR="00600514">
        <w:t>for</w:t>
      </w:r>
      <w:r w:rsidR="00514841" w:rsidRPr="007F15CF">
        <w:t xml:space="preserve"> f</w:t>
      </w:r>
      <w:r w:rsidR="007F5F31" w:rsidRPr="007F15CF">
        <w:t>our categories</w:t>
      </w:r>
      <w:r w:rsidR="00514841" w:rsidRPr="007F15CF">
        <w:t xml:space="preserve"> of contracts </w:t>
      </w:r>
      <w:r w:rsidR="007F5F31" w:rsidRPr="007F15CF">
        <w:t xml:space="preserve">(debt, revenue, expenses and other). </w:t>
      </w:r>
      <w:r w:rsidR="00C23CCE">
        <w:t>Respondents</w:t>
      </w:r>
      <w:r w:rsidR="00C23CCE" w:rsidRPr="007F15CF">
        <w:t xml:space="preserve"> </w:t>
      </w:r>
      <w:r w:rsidR="007F5F31" w:rsidRPr="007F15CF">
        <w:t>were asked to</w:t>
      </w:r>
      <w:r w:rsidR="00514841" w:rsidRPr="007F15CF">
        <w:t xml:space="preserve"> rank </w:t>
      </w:r>
      <w:r w:rsidR="00382FA0" w:rsidRPr="007F15CF">
        <w:t>each category</w:t>
      </w:r>
      <w:r w:rsidR="00514841" w:rsidRPr="007F15CF">
        <w:t xml:space="preserve"> in terms of </w:t>
      </w:r>
      <w:r w:rsidR="007F5F31" w:rsidRPr="007F15CF">
        <w:t xml:space="preserve">impact (on a 1 to 5 scale) </w:t>
      </w:r>
      <w:r w:rsidR="00382FA0" w:rsidRPr="007F15CF">
        <w:t xml:space="preserve">and </w:t>
      </w:r>
      <w:r w:rsidR="00C23CCE">
        <w:t xml:space="preserve">estimate the dollar </w:t>
      </w:r>
      <w:r w:rsidR="00514841" w:rsidRPr="007F15CF">
        <w:t xml:space="preserve">value. </w:t>
      </w:r>
      <w:r w:rsidR="00382FA0" w:rsidRPr="007F15CF">
        <w:t>The r</w:t>
      </w:r>
      <w:r w:rsidR="00514841" w:rsidRPr="007F15CF">
        <w:t>esults for this question are not tabulated as most firms indicated that IFRS had little or no impact on their contracts.</w:t>
      </w:r>
      <w:r w:rsidR="00382FA0" w:rsidRPr="00AF47F2">
        <w:rPr>
          <w:vertAlign w:val="superscript"/>
        </w:rPr>
        <w:footnoteReference w:id="22"/>
      </w:r>
      <w:r w:rsidR="00514841" w:rsidRPr="00AF47F2">
        <w:rPr>
          <w:vertAlign w:val="superscript"/>
        </w:rPr>
        <w:t xml:space="preserve"> </w:t>
      </w:r>
      <w:r w:rsidR="004403ED">
        <w:t>He</w:t>
      </w:r>
      <w:r w:rsidR="00F66553">
        <w:t xml:space="preserve">nce the contracting hypothesis </w:t>
      </w:r>
      <w:r w:rsidR="004403ED">
        <w:t xml:space="preserve">(H3) </w:t>
      </w:r>
      <w:r w:rsidR="00296D10">
        <w:t xml:space="preserve">is </w:t>
      </w:r>
      <w:r w:rsidR="004403ED">
        <w:t xml:space="preserve">not supported. </w:t>
      </w:r>
      <w:r w:rsidR="00C023C7" w:rsidRPr="007F15CF">
        <w:t>This result is consistent with Frost and Bernard (1989) who find that for a mandated accounting procedure</w:t>
      </w:r>
      <w:r w:rsidR="000B6DF5">
        <w:t>,</w:t>
      </w:r>
      <w:r w:rsidR="00C023C7" w:rsidRPr="007F15CF">
        <w:t xml:space="preserve"> that caused both large financial statement differences and some technical violations of loan covenants, there were no observable economic consequences for the affected </w:t>
      </w:r>
      <w:r w:rsidR="00C023C7" w:rsidRPr="007F15CF">
        <w:lastRenderedPageBreak/>
        <w:t>firms.</w:t>
      </w:r>
      <w:r w:rsidR="00E048E1" w:rsidRPr="007F15CF">
        <w:rPr>
          <w:rStyle w:val="FootnoteReference"/>
          <w:bCs/>
          <w:spacing w:val="4"/>
          <w:szCs w:val="24"/>
        </w:rPr>
        <w:footnoteReference w:id="23"/>
      </w:r>
      <w:r w:rsidR="00E048E1">
        <w:t xml:space="preserve"> </w:t>
      </w:r>
      <w:r w:rsidR="00C023C7" w:rsidRPr="007F15CF">
        <w:t xml:space="preserve"> </w:t>
      </w:r>
      <w:r w:rsidR="00EC34CD">
        <w:t xml:space="preserve">Similarly, our </w:t>
      </w:r>
      <w:r w:rsidR="00C023C7" w:rsidRPr="007F15CF">
        <w:t xml:space="preserve">results cast doubt on the importance of economic consequences of mandated accounting </w:t>
      </w:r>
      <w:r w:rsidR="00EC34CD">
        <w:t>policy changes</w:t>
      </w:r>
      <w:r w:rsidR="00C023C7" w:rsidRPr="007F15CF">
        <w:t xml:space="preserve"> </w:t>
      </w:r>
      <w:r w:rsidR="00365DDA">
        <w:t xml:space="preserve">in relation to </w:t>
      </w:r>
      <w:r w:rsidR="00733116">
        <w:t xml:space="preserve">its </w:t>
      </w:r>
      <w:r w:rsidR="00EC34CD">
        <w:t xml:space="preserve">impact </w:t>
      </w:r>
      <w:r w:rsidR="00365DDA">
        <w:t xml:space="preserve">on </w:t>
      </w:r>
      <w:r w:rsidR="00C023C7" w:rsidRPr="007F15CF">
        <w:t>debt covenants.</w:t>
      </w:r>
      <w:r w:rsidR="00252D39">
        <w:t xml:space="preserve"> </w:t>
      </w:r>
    </w:p>
    <w:p w:rsidR="00514841" w:rsidRPr="00AF197F" w:rsidRDefault="00135271" w:rsidP="004403ED">
      <w:pPr>
        <w:pStyle w:val="manuscript"/>
        <w:keepNext/>
        <w:rPr>
          <w:i/>
        </w:rPr>
      </w:pPr>
      <w:r>
        <w:rPr>
          <w:i/>
        </w:rPr>
        <w:t>5</w:t>
      </w:r>
      <w:r w:rsidR="009B5ADC">
        <w:rPr>
          <w:i/>
        </w:rPr>
        <w:t>.</w:t>
      </w:r>
      <w:r w:rsidR="00184D1F">
        <w:rPr>
          <w:i/>
        </w:rPr>
        <w:t>4</w:t>
      </w:r>
      <w:r w:rsidR="00AF197F">
        <w:rPr>
          <w:i/>
        </w:rPr>
        <w:t xml:space="preserve">. </w:t>
      </w:r>
      <w:r w:rsidR="00BC5EF8">
        <w:rPr>
          <w:i/>
        </w:rPr>
        <w:t>Content analysis of i</w:t>
      </w:r>
      <w:r w:rsidR="00AF197F" w:rsidRPr="00AF197F">
        <w:rPr>
          <w:i/>
        </w:rPr>
        <w:t>ntervie</w:t>
      </w:r>
      <w:r w:rsidR="00BC5EF8">
        <w:rPr>
          <w:i/>
        </w:rPr>
        <w:t>w t</w:t>
      </w:r>
      <w:r w:rsidR="00AF197F" w:rsidRPr="00AF197F">
        <w:rPr>
          <w:i/>
        </w:rPr>
        <w:t>ranscripts</w:t>
      </w:r>
      <w:r w:rsidR="00BE4F6D">
        <w:rPr>
          <w:i/>
        </w:rPr>
        <w:t xml:space="preserve"> for other factors related to IFRS adoption timing</w:t>
      </w:r>
    </w:p>
    <w:p w:rsidR="00531234" w:rsidRDefault="00E81289" w:rsidP="008149D4">
      <w:pPr>
        <w:pStyle w:val="manuscript"/>
      </w:pPr>
      <w:r>
        <w:t xml:space="preserve">In addition to testing traditional economic consequence hypotheses using the survey results, we also explored other factors that might be related to IFRS adoption </w:t>
      </w:r>
      <w:r w:rsidR="00BE4F6D">
        <w:t xml:space="preserve">timing </w:t>
      </w:r>
      <w:r>
        <w:t xml:space="preserve">using </w:t>
      </w:r>
      <w:r w:rsidR="003B73F0">
        <w:t>content</w:t>
      </w:r>
      <w:r w:rsidR="00514841" w:rsidRPr="007F15CF">
        <w:t xml:space="preserve"> analysis of responses to the open-ended question </w:t>
      </w:r>
      <w:r>
        <w:t>that</w:t>
      </w:r>
      <w:r w:rsidR="00514841" w:rsidRPr="007F15CF">
        <w:t xml:space="preserve"> conclude</w:t>
      </w:r>
      <w:r>
        <w:t>d</w:t>
      </w:r>
      <w:r w:rsidR="00600514">
        <w:t xml:space="preserve"> the</w:t>
      </w:r>
      <w:r>
        <w:t xml:space="preserve"> interview. </w:t>
      </w:r>
      <w:r w:rsidR="009A4EE5" w:rsidRPr="00BE7FBA">
        <w:t>Th</w:t>
      </w:r>
      <w:r>
        <w:t>e</w:t>
      </w:r>
      <w:r w:rsidR="009A4EE5" w:rsidRPr="00BE7FBA">
        <w:t xml:space="preserve"> framew</w:t>
      </w:r>
      <w:r w:rsidR="009A4EE5">
        <w:t xml:space="preserve">ork </w:t>
      </w:r>
      <w:r>
        <w:t xml:space="preserve">for the analysis </w:t>
      </w:r>
      <w:r w:rsidR="009A4EE5">
        <w:t>comprises six themes</w:t>
      </w:r>
      <w:r w:rsidR="00AE7DF2">
        <w:t>.</w:t>
      </w:r>
      <w:r w:rsidR="00DA19A2">
        <w:rPr>
          <w:rStyle w:val="FootnoteReference"/>
        </w:rPr>
        <w:footnoteReference w:id="24"/>
      </w:r>
      <w:r w:rsidR="009A4EE5">
        <w:t xml:space="preserve"> </w:t>
      </w:r>
      <w:r w:rsidR="00AE7DF2">
        <w:t>A</w:t>
      </w:r>
      <w:r w:rsidR="00602C94">
        <w:t xml:space="preserve"> </w:t>
      </w:r>
      <w:r w:rsidR="00445F90">
        <w:t>‘phrase’</w:t>
      </w:r>
      <w:r w:rsidR="00437E42">
        <w:t xml:space="preserve"> </w:t>
      </w:r>
      <w:r w:rsidR="00AE7DF2">
        <w:t xml:space="preserve">was coded 1 if it related to a </w:t>
      </w:r>
      <w:r w:rsidR="00602C94">
        <w:t>specific theme</w:t>
      </w:r>
      <w:r w:rsidR="0087109C">
        <w:t>, and zero otherwise</w:t>
      </w:r>
      <w:r w:rsidR="00602C94">
        <w:t xml:space="preserve">. </w:t>
      </w:r>
    </w:p>
    <w:p w:rsidR="009A4EE5" w:rsidRDefault="00602C94" w:rsidP="008149D4">
      <w:pPr>
        <w:pStyle w:val="manuscript"/>
      </w:pPr>
      <w:r>
        <w:t>Table 4</w:t>
      </w:r>
      <w:r w:rsidR="00BE7FBA">
        <w:t xml:space="preserve"> reports </w:t>
      </w:r>
      <w:r w:rsidR="00437E42">
        <w:t xml:space="preserve">the </w:t>
      </w:r>
      <w:r w:rsidR="00531234">
        <w:t xml:space="preserve">frequency </w:t>
      </w:r>
      <w:r w:rsidR="00437E42">
        <w:t xml:space="preserve">of </w:t>
      </w:r>
      <w:r w:rsidR="00445F90">
        <w:t>phrases</w:t>
      </w:r>
      <w:r w:rsidR="00437E42">
        <w:t xml:space="preserve"> </w:t>
      </w:r>
      <w:r>
        <w:t xml:space="preserve">for </w:t>
      </w:r>
      <w:r w:rsidR="00437E42">
        <w:t xml:space="preserve">each </w:t>
      </w:r>
      <w:r>
        <w:t>theme</w:t>
      </w:r>
      <w:r w:rsidR="00531234">
        <w:t xml:space="preserve">. For example, in the </w:t>
      </w:r>
      <w:r w:rsidR="00531234" w:rsidRPr="00FA24E0">
        <w:rPr>
          <w:i/>
        </w:rPr>
        <w:t>importance</w:t>
      </w:r>
      <w:r w:rsidR="00531234">
        <w:t xml:space="preserve"> theme there are three high counts and one low count made by </w:t>
      </w:r>
      <w:r w:rsidR="002E55B8">
        <w:t>early</w:t>
      </w:r>
      <w:r w:rsidR="004403ED">
        <w:t xml:space="preserve"> adopters</w:t>
      </w:r>
      <w:r w:rsidR="00531234">
        <w:t xml:space="preserve">. </w:t>
      </w:r>
      <w:r w:rsidR="00C612E2">
        <w:t>Under our coding rules,</w:t>
      </w:r>
      <w:r w:rsidR="00445F90">
        <w:t xml:space="preserve"> it is possible for respondents to make multiple and opposing phrases. </w:t>
      </w:r>
      <w:r w:rsidR="00C612E2">
        <w:t>T</w:t>
      </w:r>
      <w:r>
        <w:t xml:space="preserve">his </w:t>
      </w:r>
      <w:r w:rsidR="00531234">
        <w:t xml:space="preserve">approach </w:t>
      </w:r>
      <w:r w:rsidR="00BE7FBA">
        <w:t>reflect</w:t>
      </w:r>
      <w:r w:rsidR="00ED0C5C">
        <w:t>s</w:t>
      </w:r>
      <w:r w:rsidR="00BE7FBA">
        <w:t xml:space="preserve"> the intensity </w:t>
      </w:r>
      <w:r w:rsidR="00DF3DDB">
        <w:t xml:space="preserve">of </w:t>
      </w:r>
      <w:r>
        <w:t xml:space="preserve">views </w:t>
      </w:r>
      <w:r w:rsidR="00531234">
        <w:t>and allows respondents to weigh</w:t>
      </w:r>
      <w:r w:rsidR="00C73CF5">
        <w:t>-</w:t>
      </w:r>
      <w:r w:rsidR="00531234">
        <w:t>up</w:t>
      </w:r>
      <w:r w:rsidR="00C73CF5">
        <w:t xml:space="preserve"> </w:t>
      </w:r>
      <w:r w:rsidR="00106A7F">
        <w:t xml:space="preserve">and report both </w:t>
      </w:r>
      <w:r w:rsidR="00C73CF5">
        <w:t>costs and benefits (not just the net benefits)</w:t>
      </w:r>
      <w:r w:rsidR="00F66553">
        <w:t xml:space="preserve">. </w:t>
      </w:r>
      <w:r>
        <w:t xml:space="preserve"> </w:t>
      </w:r>
      <w:r w:rsidR="001D1254">
        <w:t xml:space="preserve">In </w:t>
      </w:r>
      <w:r w:rsidR="004403ED">
        <w:t xml:space="preserve">the last three columns in </w:t>
      </w:r>
      <w:r>
        <w:t>Table 4</w:t>
      </w:r>
      <w:r w:rsidR="009832D2">
        <w:t xml:space="preserve"> </w:t>
      </w:r>
      <w:r w:rsidR="001D1254">
        <w:t>we report</w:t>
      </w:r>
      <w:r w:rsidR="00BE7FBA">
        <w:t xml:space="preserve"> </w:t>
      </w:r>
      <w:r w:rsidR="00C73CF5">
        <w:t xml:space="preserve">the </w:t>
      </w:r>
      <w:r w:rsidR="00C612E2">
        <w:t xml:space="preserve">results of </w:t>
      </w:r>
      <w:r w:rsidR="00C73CF5">
        <w:t xml:space="preserve">‘one </w:t>
      </w:r>
      <w:r w:rsidR="00DE617D">
        <w:t xml:space="preserve">count </w:t>
      </w:r>
      <w:r w:rsidR="005F6D14">
        <w:t>per respon</w:t>
      </w:r>
      <w:r w:rsidR="00531234">
        <w:t>dent</w:t>
      </w:r>
      <w:r w:rsidR="00ED0C5C">
        <w:t>’</w:t>
      </w:r>
      <w:r w:rsidR="00F66553">
        <w:t>.</w:t>
      </w:r>
      <w:r w:rsidR="00531234">
        <w:t xml:space="preserve"> </w:t>
      </w:r>
      <w:r w:rsidR="001D1254">
        <w:t>These results are similar to the total counts</w:t>
      </w:r>
      <w:r w:rsidR="009832D2">
        <w:t>,</w:t>
      </w:r>
      <w:r w:rsidR="001D1254">
        <w:t xml:space="preserve"> provid</w:t>
      </w:r>
      <w:r w:rsidR="00DE617D">
        <w:t>ing</w:t>
      </w:r>
      <w:r w:rsidR="001D1254">
        <w:t xml:space="preserve"> comfort that the total counts are not biased by a single firm </w:t>
      </w:r>
      <w:r w:rsidR="0087109C">
        <w:t>making</w:t>
      </w:r>
      <w:r w:rsidR="001D1254">
        <w:t xml:space="preserve"> multiple responses. </w:t>
      </w:r>
      <w:r w:rsidR="00DF3DDB">
        <w:t>We test the difference b</w:t>
      </w:r>
      <w:r w:rsidR="004403ED">
        <w:t xml:space="preserve">etween </w:t>
      </w:r>
      <w:r w:rsidR="002E55B8">
        <w:t>early</w:t>
      </w:r>
      <w:r w:rsidR="00DF3DDB">
        <w:t xml:space="preserve"> and </w:t>
      </w:r>
      <w:r w:rsidR="00595A7C">
        <w:t>late</w:t>
      </w:r>
      <w:r w:rsidR="004403ED">
        <w:t xml:space="preserve"> adopters</w:t>
      </w:r>
      <w:r w:rsidR="00F748AF">
        <w:t>’</w:t>
      </w:r>
      <w:r w:rsidR="00DF3DDB">
        <w:t xml:space="preserve"> response frequencies using a chi-square test.</w:t>
      </w:r>
      <w:r w:rsidR="00F47803">
        <w:t xml:space="preserve"> Significant differences are indicated in bold type.</w:t>
      </w:r>
    </w:p>
    <w:p w:rsidR="001C4430" w:rsidRPr="001C4430" w:rsidRDefault="001C4430" w:rsidP="008149D4">
      <w:pPr>
        <w:pStyle w:val="manuscript"/>
        <w:rPr>
          <w:i/>
        </w:rPr>
      </w:pPr>
      <w:r w:rsidRPr="001C4430">
        <w:rPr>
          <w:i/>
        </w:rPr>
        <w:t>&lt;Insert Table 4&gt;</w:t>
      </w:r>
    </w:p>
    <w:p w:rsidR="00D77475" w:rsidRPr="00D77475" w:rsidRDefault="002718A2" w:rsidP="00045370">
      <w:pPr>
        <w:pStyle w:val="manuscript"/>
      </w:pPr>
      <w:r>
        <w:t xml:space="preserve">Themes relating to </w:t>
      </w:r>
      <w:r w:rsidRPr="00A36253">
        <w:rPr>
          <w:i/>
        </w:rPr>
        <w:t>i</w:t>
      </w:r>
      <w:r w:rsidR="00602C94" w:rsidRPr="00A36253">
        <w:rPr>
          <w:i/>
        </w:rPr>
        <w:t>mportance</w:t>
      </w:r>
      <w:r w:rsidR="002B504B">
        <w:t xml:space="preserve">, </w:t>
      </w:r>
      <w:r w:rsidR="002F04DE" w:rsidRPr="00A36253">
        <w:rPr>
          <w:i/>
        </w:rPr>
        <w:t>significance</w:t>
      </w:r>
      <w:r w:rsidR="005279D4">
        <w:t>,</w:t>
      </w:r>
      <w:r w:rsidR="001F755C">
        <w:t xml:space="preserve"> </w:t>
      </w:r>
      <w:r w:rsidR="001F755C" w:rsidRPr="00A36253">
        <w:rPr>
          <w:i/>
        </w:rPr>
        <w:t>c</w:t>
      </w:r>
      <w:r w:rsidR="002F04DE" w:rsidRPr="00A36253">
        <w:rPr>
          <w:i/>
        </w:rPr>
        <w:t>onsequences</w:t>
      </w:r>
      <w:r w:rsidR="00602C94">
        <w:t>,</w:t>
      </w:r>
      <w:r w:rsidR="002B504B">
        <w:t xml:space="preserve"> </w:t>
      </w:r>
      <w:r w:rsidR="001D1254">
        <w:t xml:space="preserve">and </w:t>
      </w:r>
      <w:r w:rsidR="00F559F7" w:rsidRPr="00A36253">
        <w:rPr>
          <w:i/>
        </w:rPr>
        <w:t>uncertainty</w:t>
      </w:r>
      <w:r>
        <w:t xml:space="preserve"> received low frequency counts</w:t>
      </w:r>
      <w:r w:rsidR="0087109C">
        <w:t>. The maximum count is</w:t>
      </w:r>
      <w:r w:rsidR="00FA24E0">
        <w:t xml:space="preserve"> </w:t>
      </w:r>
      <w:r w:rsidR="0087109C">
        <w:t>23 percent (6/26)</w:t>
      </w:r>
      <w:r>
        <w:t xml:space="preserve"> </w:t>
      </w:r>
      <w:r w:rsidR="0087109C">
        <w:t xml:space="preserve">for the </w:t>
      </w:r>
      <w:r w:rsidR="0087109C">
        <w:rPr>
          <w:i/>
        </w:rPr>
        <w:t>significance</w:t>
      </w:r>
      <w:r w:rsidR="0087109C">
        <w:t xml:space="preserve"> theme.</w:t>
      </w:r>
      <w:r w:rsidR="00235C19">
        <w:t xml:space="preserve"> </w:t>
      </w:r>
      <w:r w:rsidR="00D77475">
        <w:t xml:space="preserve">There are no statistical </w:t>
      </w:r>
      <w:r w:rsidR="00D77475">
        <w:lastRenderedPageBreak/>
        <w:t xml:space="preserve">differences for themes related to </w:t>
      </w:r>
      <w:r w:rsidR="00D77475" w:rsidRPr="00AF7B6A">
        <w:rPr>
          <w:i/>
        </w:rPr>
        <w:t>importance</w:t>
      </w:r>
      <w:r w:rsidR="00D77475">
        <w:t xml:space="preserve"> and </w:t>
      </w:r>
      <w:r w:rsidR="00D77475">
        <w:rPr>
          <w:i/>
        </w:rPr>
        <w:t>consequences</w:t>
      </w:r>
      <w:r w:rsidR="00D77475">
        <w:t xml:space="preserve">. The </w:t>
      </w:r>
      <w:r w:rsidR="00D77475">
        <w:rPr>
          <w:i/>
        </w:rPr>
        <w:t xml:space="preserve">significance </w:t>
      </w:r>
      <w:r w:rsidR="00D77475" w:rsidRPr="00AF7B6A">
        <w:t xml:space="preserve">and </w:t>
      </w:r>
      <w:r w:rsidR="00D77475">
        <w:rPr>
          <w:i/>
        </w:rPr>
        <w:t xml:space="preserve">uncertainty </w:t>
      </w:r>
      <w:r w:rsidR="00D77475" w:rsidRPr="00AF7B6A">
        <w:t>the</w:t>
      </w:r>
      <w:r w:rsidR="00D77475">
        <w:t xml:space="preserve">mes are significant at the 0.01 and 0.05 </w:t>
      </w:r>
      <w:r w:rsidR="00D77475" w:rsidRPr="00AF7B6A">
        <w:t>level</w:t>
      </w:r>
      <w:r w:rsidR="00D77475">
        <w:t>s respectively</w:t>
      </w:r>
      <w:r w:rsidR="00D77475">
        <w:rPr>
          <w:i/>
        </w:rPr>
        <w:t>.</w:t>
      </w:r>
      <w:r w:rsidR="0087109C">
        <w:rPr>
          <w:i/>
        </w:rPr>
        <w:t xml:space="preserve"> </w:t>
      </w:r>
      <w:r w:rsidR="00D77475">
        <w:t xml:space="preserve">Early adopters are more specific with regard to the impact of IFRS adoption (i.e. the </w:t>
      </w:r>
      <w:r w:rsidR="00D77475">
        <w:rPr>
          <w:i/>
        </w:rPr>
        <w:t>significance</w:t>
      </w:r>
      <w:r w:rsidR="00D77475">
        <w:t xml:space="preserve"> theme) and have </w:t>
      </w:r>
      <w:r w:rsidR="00BA270D">
        <w:t xml:space="preserve">less </w:t>
      </w:r>
      <w:r w:rsidR="00BA270D" w:rsidRPr="00AF7B6A">
        <w:rPr>
          <w:i/>
        </w:rPr>
        <w:t>uncertainty</w:t>
      </w:r>
      <w:r w:rsidR="0087109C">
        <w:t xml:space="preserve"> about adoption.</w:t>
      </w:r>
    </w:p>
    <w:p w:rsidR="00822C66" w:rsidRDefault="00235C19" w:rsidP="00045370">
      <w:pPr>
        <w:pStyle w:val="manuscript"/>
      </w:pPr>
      <w:r>
        <w:t>R</w:t>
      </w:r>
      <w:r w:rsidR="00C45F10">
        <w:t xml:space="preserve">espondents made more comments </w:t>
      </w:r>
      <w:r w:rsidR="00F47803">
        <w:t>relating to the</w:t>
      </w:r>
      <w:r w:rsidR="00C45F10">
        <w:t xml:space="preserve"> </w:t>
      </w:r>
      <w:r w:rsidR="00252B5C" w:rsidRPr="00AF7B6A">
        <w:rPr>
          <w:i/>
        </w:rPr>
        <w:t>responsiveness</w:t>
      </w:r>
      <w:r w:rsidR="00252B5C">
        <w:t xml:space="preserve"> and </w:t>
      </w:r>
      <w:r w:rsidR="00822C66" w:rsidRPr="00AF7B6A">
        <w:rPr>
          <w:i/>
        </w:rPr>
        <w:t>financial statement impact</w:t>
      </w:r>
      <w:r w:rsidR="00F47803">
        <w:t xml:space="preserve"> themes</w:t>
      </w:r>
      <w:r w:rsidR="00822C66">
        <w:t>.</w:t>
      </w:r>
      <w:r w:rsidR="00C45F10">
        <w:t xml:space="preserve"> </w:t>
      </w:r>
      <w:r w:rsidR="00BA270D">
        <w:t>T</w:t>
      </w:r>
      <w:r w:rsidR="00822C66">
        <w:t xml:space="preserve">he </w:t>
      </w:r>
      <w:r w:rsidR="001F755C">
        <w:t xml:space="preserve">difference in </w:t>
      </w:r>
      <w:r w:rsidR="00822C66">
        <w:t xml:space="preserve">frequency counts </w:t>
      </w:r>
      <w:r w:rsidR="001F755C">
        <w:t>between</w:t>
      </w:r>
      <w:r w:rsidR="00822C66">
        <w:t xml:space="preserve"> </w:t>
      </w:r>
      <w:r w:rsidR="002E55B8">
        <w:t>early</w:t>
      </w:r>
      <w:r w:rsidR="00CE6460">
        <w:t xml:space="preserve"> adopters</w:t>
      </w:r>
      <w:r w:rsidR="00DF3DDB">
        <w:t xml:space="preserve"> and </w:t>
      </w:r>
      <w:r w:rsidR="00595A7C">
        <w:t>late</w:t>
      </w:r>
      <w:r w:rsidR="00CE6460">
        <w:t xml:space="preserve"> adopters</w:t>
      </w:r>
      <w:r w:rsidR="00DF3DDB">
        <w:t xml:space="preserve"> </w:t>
      </w:r>
      <w:r w:rsidR="00822C66">
        <w:t>are</w:t>
      </w:r>
      <w:r w:rsidR="001A1115">
        <w:t xml:space="preserve"> </w:t>
      </w:r>
      <w:r w:rsidR="00DF3DDB">
        <w:t>not statistically significant</w:t>
      </w:r>
      <w:r w:rsidR="00BA270D">
        <w:t xml:space="preserve">.  In terms of </w:t>
      </w:r>
      <w:r w:rsidR="00BA270D">
        <w:rPr>
          <w:i/>
        </w:rPr>
        <w:t>responsiveness</w:t>
      </w:r>
      <w:r w:rsidR="00BA270D">
        <w:t>, both early and late adopters are more ‘dynamic’ than ‘static’</w:t>
      </w:r>
      <w:r w:rsidR="0087109C">
        <w:t>.</w:t>
      </w:r>
      <w:r w:rsidR="00BA270D">
        <w:t xml:space="preserve"> </w:t>
      </w:r>
      <w:r w:rsidR="00873FD7">
        <w:t>Dynamic</w:t>
      </w:r>
      <w:r w:rsidR="007E0ABD" w:rsidRPr="007F15CF">
        <w:t xml:space="preserve"> </w:t>
      </w:r>
      <w:r w:rsidR="002E55B8">
        <w:t>early</w:t>
      </w:r>
      <w:r w:rsidR="00CE6460">
        <w:t xml:space="preserve"> adopters</w:t>
      </w:r>
      <w:r w:rsidR="007E0ABD" w:rsidRPr="007F15CF">
        <w:t xml:space="preserve"> demonstrate a positive, proactive approach to change and hence</w:t>
      </w:r>
      <w:r w:rsidR="00873FD7">
        <w:t xml:space="preserve"> a desire to adopt IFRS early. Dynamic</w:t>
      </w:r>
      <w:r w:rsidR="007E0ABD" w:rsidRPr="007F15CF">
        <w:t xml:space="preserve"> </w:t>
      </w:r>
      <w:r w:rsidR="00595A7C">
        <w:t>late</w:t>
      </w:r>
      <w:r w:rsidR="00CE6460">
        <w:t xml:space="preserve"> adopters</w:t>
      </w:r>
      <w:r w:rsidR="007E0ABD" w:rsidRPr="007F15CF">
        <w:t xml:space="preserve"> </w:t>
      </w:r>
      <w:r w:rsidR="00252B5C">
        <w:t>are also</w:t>
      </w:r>
      <w:r w:rsidR="007E0ABD" w:rsidRPr="007F15CF">
        <w:t xml:space="preserve"> proactive, but management had typically concluded that deferring adoption was in the best interests of the firm (e.g., in order to learn from and leverage off the experience of early adopters or to allow sufficient time to “…ensure that a rigorous process was put in place, necessary systems changes were made and properl</w:t>
      </w:r>
      <w:r w:rsidR="00E16ED2">
        <w:t>y informed decisions made …”</w:t>
      </w:r>
      <w:r w:rsidR="00416FB7">
        <w:t xml:space="preserve"> [LAI1]</w:t>
      </w:r>
      <w:r w:rsidR="00822C66">
        <w:t>)</w:t>
      </w:r>
      <w:r w:rsidR="00E16ED2">
        <w:t xml:space="preserve">. </w:t>
      </w:r>
      <w:r w:rsidR="007E0ABD" w:rsidRPr="007F15CF">
        <w:t xml:space="preserve">Static </w:t>
      </w:r>
      <w:r w:rsidR="002E55B8">
        <w:t>early</w:t>
      </w:r>
      <w:r w:rsidR="00CE6460">
        <w:t xml:space="preserve"> adopters</w:t>
      </w:r>
      <w:r w:rsidR="007E0ABD" w:rsidRPr="007F15CF">
        <w:t xml:space="preserve"> typically indicate that early adoption was driven by a need to align with reporting requirements for related parties </w:t>
      </w:r>
      <w:r w:rsidR="00873FD7">
        <w:t>(e.g.</w:t>
      </w:r>
      <w:r w:rsidR="00337C72">
        <w:t>,</w:t>
      </w:r>
      <w:r w:rsidR="007E0ABD" w:rsidRPr="007F15CF">
        <w:t xml:space="preserve"> Australian </w:t>
      </w:r>
      <w:r w:rsidR="00873FD7">
        <w:t>shareholders</w:t>
      </w:r>
      <w:r w:rsidR="00DF3DDB">
        <w:t>, public sector entities</w:t>
      </w:r>
      <w:r w:rsidR="00873FD7">
        <w:t xml:space="preserve"> </w:t>
      </w:r>
      <w:r w:rsidR="007E0ABD" w:rsidRPr="007F15CF">
        <w:t xml:space="preserve">or </w:t>
      </w:r>
      <w:r w:rsidR="00D905C0">
        <w:t>because the firm</w:t>
      </w:r>
      <w:r w:rsidR="007E0ABD" w:rsidRPr="007F15CF">
        <w:t xml:space="preserve"> </w:t>
      </w:r>
      <w:r w:rsidR="00DF3DDB">
        <w:t>had significant Australian operations</w:t>
      </w:r>
      <w:r w:rsidR="009832D2">
        <w:t>)</w:t>
      </w:r>
      <w:r w:rsidR="00E16ED2">
        <w:t>. Static</w:t>
      </w:r>
      <w:r w:rsidR="007E0ABD" w:rsidRPr="007F15CF">
        <w:t xml:space="preserve"> </w:t>
      </w:r>
      <w:r w:rsidR="00595A7C">
        <w:t>late</w:t>
      </w:r>
      <w:r w:rsidR="00CE6460">
        <w:t xml:space="preserve"> adopters</w:t>
      </w:r>
      <w:r w:rsidR="007E0ABD" w:rsidRPr="007F15CF">
        <w:t xml:space="preserve"> indicate a preference to follow others and delay adoption until it became mandatory.</w:t>
      </w:r>
      <w:r w:rsidR="00D905C0" w:rsidRPr="00470EE8">
        <w:rPr>
          <w:rStyle w:val="FootnoteReference"/>
          <w:rFonts w:cs="Times New Roman"/>
          <w:szCs w:val="20"/>
          <w:vertAlign w:val="baseline"/>
        </w:rPr>
        <w:t xml:space="preserve"> </w:t>
      </w:r>
    </w:p>
    <w:p w:rsidR="00E16ED2" w:rsidRDefault="0087109C">
      <w:pPr>
        <w:pStyle w:val="manuscript"/>
      </w:pPr>
      <w:r>
        <w:t>T</w:t>
      </w:r>
      <w:r w:rsidR="00BA270D">
        <w:t xml:space="preserve">he frequency counts for </w:t>
      </w:r>
      <w:r w:rsidR="00BA270D" w:rsidRPr="00AF7B6A">
        <w:rPr>
          <w:i/>
        </w:rPr>
        <w:t>financial statement impact</w:t>
      </w:r>
      <w:r w:rsidR="00BA270D">
        <w:t xml:space="preserve"> are high</w:t>
      </w:r>
      <w:r>
        <w:t xml:space="preserve"> for both early and late adopters. </w:t>
      </w:r>
      <w:r w:rsidR="00BA270D">
        <w:t xml:space="preserve"> </w:t>
      </w:r>
      <w:r>
        <w:t>There is no significant difference between early and late adopters. Thus both early and late adopters share similar views related to this theme. T</w:t>
      </w:r>
      <w:r w:rsidR="00BA270D">
        <w:t xml:space="preserve">he majority of comments </w:t>
      </w:r>
      <w:r w:rsidR="0061533F">
        <w:t xml:space="preserve">considered that economic consequences did not impact IFRS adoption. </w:t>
      </w:r>
      <w:r w:rsidR="00EB4BA1">
        <w:t xml:space="preserve">The most common </w:t>
      </w:r>
      <w:r w:rsidR="0061533F">
        <w:t xml:space="preserve">frequency </w:t>
      </w:r>
      <w:r w:rsidR="00EB4BA1">
        <w:t>was f</w:t>
      </w:r>
      <w:r w:rsidR="00E16ED2">
        <w:t>our</w:t>
      </w:r>
      <w:r w:rsidR="00514841" w:rsidRPr="007F15CF">
        <w:t xml:space="preserve"> </w:t>
      </w:r>
      <w:r w:rsidR="0093403C">
        <w:t>responses that</w:t>
      </w:r>
      <w:r w:rsidR="00E16ED2">
        <w:t xml:space="preserve"> </w:t>
      </w:r>
      <w:r w:rsidR="00064D6A">
        <w:t xml:space="preserve">the firm </w:t>
      </w:r>
      <w:r w:rsidR="00E16ED2">
        <w:t>adopted early because of the</w:t>
      </w:r>
      <w:r w:rsidR="00514841" w:rsidRPr="007F15CF">
        <w:t xml:space="preserve"> income</w:t>
      </w:r>
      <w:r w:rsidR="00600514">
        <w:t>-</w:t>
      </w:r>
      <w:r w:rsidR="00514841" w:rsidRPr="007F15CF">
        <w:t>increasing effect of discontinuing amorti</w:t>
      </w:r>
      <w:r w:rsidR="0096481C">
        <w:t>s</w:t>
      </w:r>
      <w:r w:rsidR="00514841" w:rsidRPr="007F15CF">
        <w:t xml:space="preserve">ation of goodwill. </w:t>
      </w:r>
      <w:r w:rsidR="00E16ED2">
        <w:t>Three</w:t>
      </w:r>
      <w:r w:rsidR="00514841" w:rsidRPr="007F15CF">
        <w:t xml:space="preserve"> </w:t>
      </w:r>
      <w:r w:rsidR="00595A7C">
        <w:t>late</w:t>
      </w:r>
      <w:r w:rsidR="00CE6460">
        <w:t xml:space="preserve"> adopters</w:t>
      </w:r>
      <w:r w:rsidR="00514841" w:rsidRPr="007F15CF">
        <w:t xml:space="preserve"> </w:t>
      </w:r>
      <w:r w:rsidR="00E16ED2">
        <w:t>state</w:t>
      </w:r>
      <w:r w:rsidR="00514841" w:rsidRPr="007F15CF">
        <w:t xml:space="preserve"> </w:t>
      </w:r>
      <w:r w:rsidR="001A1115">
        <w:t xml:space="preserve">that </w:t>
      </w:r>
      <w:r w:rsidR="00514841" w:rsidRPr="007F15CF">
        <w:t xml:space="preserve">they deferred adoption, because their accounting information would be influenced by the way in which IFRS was adopted by competitors and other earlier </w:t>
      </w:r>
      <w:r w:rsidR="00514841" w:rsidRPr="007F15CF">
        <w:lastRenderedPageBreak/>
        <w:t xml:space="preserve">adopters. </w:t>
      </w:r>
      <w:r w:rsidR="00E16ED2">
        <w:t>Two</w:t>
      </w:r>
      <w:r w:rsidR="00514841" w:rsidRPr="007F15CF">
        <w:t xml:space="preserve"> </w:t>
      </w:r>
      <w:r w:rsidR="00595A7C">
        <w:t>late</w:t>
      </w:r>
      <w:r w:rsidR="00CE6460">
        <w:t xml:space="preserve"> adopters</w:t>
      </w:r>
      <w:r w:rsidR="00514841" w:rsidRPr="007F15CF">
        <w:t xml:space="preserve"> indicate that a motivation for late adoption was that it deferred perceived adverse effects of IFRS on the quality</w:t>
      </w:r>
      <w:r w:rsidR="00D905C0">
        <w:t xml:space="preserve"> of the</w:t>
      </w:r>
      <w:r w:rsidR="00500F66">
        <w:t xml:space="preserve"> financial statements.</w:t>
      </w:r>
    </w:p>
    <w:p w:rsidR="005571DB" w:rsidRDefault="00500F66">
      <w:pPr>
        <w:pStyle w:val="manuscript"/>
      </w:pPr>
      <w:r>
        <w:t xml:space="preserve">With regard to non-financial statement </w:t>
      </w:r>
      <w:r w:rsidR="00600514">
        <w:t>e</w:t>
      </w:r>
      <w:r>
        <w:t>ffects,</w:t>
      </w:r>
      <w:r w:rsidR="00D905C0">
        <w:t xml:space="preserve"> </w:t>
      </w:r>
      <w:r w:rsidR="00FE2237">
        <w:t xml:space="preserve">six </w:t>
      </w:r>
      <w:r w:rsidR="002E55B8">
        <w:t>early</w:t>
      </w:r>
      <w:r w:rsidR="00CE6460">
        <w:t xml:space="preserve"> adopter</w:t>
      </w:r>
      <w:r w:rsidR="00FE2237">
        <w:t xml:space="preserve"> responses </w:t>
      </w:r>
      <w:r w:rsidR="00E70A26">
        <w:t>had</w:t>
      </w:r>
      <w:r w:rsidR="00FE2237">
        <w:t xml:space="preserve"> </w:t>
      </w:r>
      <w:r w:rsidR="00A11ECD">
        <w:t xml:space="preserve">parent companies in the </w:t>
      </w:r>
      <w:r w:rsidR="00FE2237">
        <w:t xml:space="preserve">public sector or Australia, while </w:t>
      </w:r>
      <w:r w:rsidR="00D905C0">
        <w:t>five</w:t>
      </w:r>
      <w:r w:rsidR="00514841" w:rsidRPr="007F15CF">
        <w:t xml:space="preserve"> </w:t>
      </w:r>
      <w:r w:rsidR="002E55B8">
        <w:t>early</w:t>
      </w:r>
      <w:r w:rsidR="00CE6460">
        <w:t xml:space="preserve"> adopters</w:t>
      </w:r>
      <w:r w:rsidR="00514841" w:rsidRPr="007F15CF">
        <w:t xml:space="preserve"> indicate that early adoption was motivated by a positive, proactive management approach (i.e</w:t>
      </w:r>
      <w:r w:rsidR="004E2647">
        <w:t>., associated with the dynamic</w:t>
      </w:r>
      <w:r w:rsidR="00514841" w:rsidRPr="007F15CF">
        <w:t xml:space="preserve"> </w:t>
      </w:r>
      <w:r w:rsidR="004E2647">
        <w:t>‘</w:t>
      </w:r>
      <w:r w:rsidR="008700B0">
        <w:t>responsiveness</w:t>
      </w:r>
      <w:r w:rsidR="004E2647">
        <w:t>’</w:t>
      </w:r>
      <w:r w:rsidR="00514841" w:rsidRPr="007F15CF">
        <w:t xml:space="preserve"> theme). Two </w:t>
      </w:r>
      <w:r w:rsidR="002E55B8">
        <w:t>early</w:t>
      </w:r>
      <w:r w:rsidR="00CE6460">
        <w:t xml:space="preserve"> adopter</w:t>
      </w:r>
      <w:r w:rsidR="00B75F18">
        <w:t xml:space="preserve"> </w:t>
      </w:r>
      <w:r w:rsidR="00514841" w:rsidRPr="007F15CF">
        <w:t>responses relate to a desire</w:t>
      </w:r>
      <w:r w:rsidR="009650E1">
        <w:t xml:space="preserve"> to be seen as market leaders</w:t>
      </w:r>
      <w:r w:rsidR="00514841" w:rsidRPr="007F15CF">
        <w:t xml:space="preserve"> and a further two </w:t>
      </w:r>
      <w:r w:rsidR="00D905C0">
        <w:t>commented</w:t>
      </w:r>
      <w:r w:rsidR="00514841" w:rsidRPr="007F15CF">
        <w:t xml:space="preserve"> that early adoption would afford better access to consultants </w:t>
      </w:r>
      <w:r w:rsidR="00E70A26">
        <w:t>at a time when</w:t>
      </w:r>
      <w:r w:rsidR="00E70A26" w:rsidRPr="007F15CF">
        <w:t xml:space="preserve"> </w:t>
      </w:r>
      <w:r w:rsidR="00514841" w:rsidRPr="007F15CF">
        <w:t>few were demanding their services.</w:t>
      </w:r>
      <w:r w:rsidR="00B75F18">
        <w:t xml:space="preserve"> </w:t>
      </w:r>
    </w:p>
    <w:p w:rsidR="00885C4F" w:rsidRDefault="00885C4F" w:rsidP="00885C4F">
      <w:pPr>
        <w:pStyle w:val="Heading1"/>
        <w:numPr>
          <w:ilvl w:val="0"/>
          <w:numId w:val="39"/>
        </w:numPr>
      </w:pPr>
      <w:r>
        <w:t>Discussion</w:t>
      </w:r>
    </w:p>
    <w:p w:rsidR="00885C4F" w:rsidRDefault="00885C4F" w:rsidP="00885C4F">
      <w:pPr>
        <w:pStyle w:val="manuscript"/>
      </w:pPr>
      <w:r>
        <w:t>This study exploits the timing of IFRS adoption to investigate accounting choice. In the first part of the study, we survey senior financial executives to assess the costs and benefits arising from IFRS adoption. In this setting we hypothesise that early adopters of IFRS will perceive there are more benefits and lower costs than late adopters.</w:t>
      </w:r>
    </w:p>
    <w:p w:rsidR="00885C4F" w:rsidRDefault="00885C4F" w:rsidP="00885C4F">
      <w:pPr>
        <w:pStyle w:val="manuscript"/>
      </w:pPr>
      <w:r>
        <w:t>The results provide support for the hypothesis that early adopters perceive there are more benefits to IFRS adoption than late adopters. However, this support exists for three of nine expected benefits (i.e., early adopters were more positive or less negative about comparability, the long-term benefits to the firm, and to New Zealand). We find no difference in the monetary costs of IFRS adoption between early and late adopters. Hence, the cost hypothesis is not supported.</w:t>
      </w:r>
    </w:p>
    <w:p w:rsidR="0045010E" w:rsidRDefault="0045010E" w:rsidP="0045010E">
      <w:pPr>
        <w:pStyle w:val="manuscript"/>
      </w:pPr>
      <w:r>
        <w:t>Our interpretation of these results is that</w:t>
      </w:r>
      <w:r w:rsidR="009832D2">
        <w:t>, while</w:t>
      </w:r>
      <w:r w:rsidR="009832D2" w:rsidRPr="007F15CF">
        <w:t xml:space="preserve"> the costs of IFRS adoption are largely borne by the firm</w:t>
      </w:r>
      <w:r w:rsidR="009832D2">
        <w:t xml:space="preserve">, </w:t>
      </w:r>
      <w:r>
        <w:t>many of the direct benefits of IFRS adoption r</w:t>
      </w:r>
      <w:r w:rsidRPr="007F15CF">
        <w:t xml:space="preserve">elate to </w:t>
      </w:r>
      <w:r>
        <w:t>other</w:t>
      </w:r>
      <w:r w:rsidRPr="007F15CF">
        <w:t xml:space="preserve"> stakeholders of the firm</w:t>
      </w:r>
      <w:r w:rsidR="00263C82">
        <w:t>.</w:t>
      </w:r>
      <w:r>
        <w:t xml:space="preserve"> </w:t>
      </w:r>
      <w:r w:rsidRPr="007F15CF">
        <w:t xml:space="preserve">That is, the benefits </w:t>
      </w:r>
      <w:r>
        <w:t xml:space="preserve">of comparability </w:t>
      </w:r>
      <w:r w:rsidRPr="007F15CF">
        <w:t>accrue to anal</w:t>
      </w:r>
      <w:r>
        <w:t xml:space="preserve">ysts </w:t>
      </w:r>
      <w:r w:rsidR="00BA5F00">
        <w:t xml:space="preserve">(e.g., </w:t>
      </w:r>
      <w:proofErr w:type="spellStart"/>
      <w:r w:rsidR="00BA5F00">
        <w:t>Byard</w:t>
      </w:r>
      <w:proofErr w:type="spellEnd"/>
      <w:r w:rsidR="00BA5F00">
        <w:t xml:space="preserve">, Li and Yu, 2011) </w:t>
      </w:r>
      <w:r>
        <w:t>and cross-border investors</w:t>
      </w:r>
      <w:r w:rsidR="00EB6A5E">
        <w:t xml:space="preserve"> (e.g., </w:t>
      </w:r>
      <w:proofErr w:type="spellStart"/>
      <w:r w:rsidR="00EB6A5E">
        <w:t>Covrig</w:t>
      </w:r>
      <w:proofErr w:type="spellEnd"/>
      <w:r w:rsidR="00EB6A5E">
        <w:t xml:space="preserve">, </w:t>
      </w:r>
      <w:proofErr w:type="spellStart"/>
      <w:r w:rsidR="00EB6A5E">
        <w:t>DeFond</w:t>
      </w:r>
      <w:proofErr w:type="spellEnd"/>
      <w:r w:rsidR="00EB6A5E">
        <w:t>, Hung, 2007)</w:t>
      </w:r>
      <w:r>
        <w:t>. There may be cost savings for</w:t>
      </w:r>
      <w:r w:rsidRPr="007F15CF">
        <w:t xml:space="preserve"> national standard setters </w:t>
      </w:r>
      <w:r w:rsidRPr="007F15CF">
        <w:lastRenderedPageBreak/>
        <w:t>and securities regulators</w:t>
      </w:r>
      <w:r>
        <w:t xml:space="preserve"> that have contracted out the setting of accounting standards</w:t>
      </w:r>
      <w:r w:rsidR="00EB6A5E">
        <w:t xml:space="preserve"> (Dunstan, 2002)</w:t>
      </w:r>
      <w:r>
        <w:t>.</w:t>
      </w:r>
      <w:r w:rsidR="0012038C">
        <w:t xml:space="preserve"> </w:t>
      </w:r>
      <w:r>
        <w:t xml:space="preserve"> Also,</w:t>
      </w:r>
      <w:r w:rsidRPr="007F15CF">
        <w:t xml:space="preserve"> </w:t>
      </w:r>
      <w:r w:rsidR="0026191D">
        <w:t>accountants i</w:t>
      </w:r>
      <w:r>
        <w:t xml:space="preserve">n general may benefit </w:t>
      </w:r>
      <w:r w:rsidR="0026191D">
        <w:t>if common accounting</w:t>
      </w:r>
      <w:r w:rsidR="001C33A6">
        <w:t xml:space="preserve"> standards</w:t>
      </w:r>
      <w:r w:rsidR="0026191D">
        <w:t xml:space="preserve"> increase</w:t>
      </w:r>
      <w:r w:rsidRPr="007F15CF">
        <w:t xml:space="preserve"> the mobility</w:t>
      </w:r>
      <w:r>
        <w:t xml:space="preserve"> </w:t>
      </w:r>
      <w:r w:rsidRPr="007F15CF">
        <w:t>of</w:t>
      </w:r>
      <w:r>
        <w:t xml:space="preserve"> </w:t>
      </w:r>
      <w:r w:rsidRPr="00235C19">
        <w:t>labour</w:t>
      </w:r>
      <w:r w:rsidR="00F7368D">
        <w:t xml:space="preserve"> (</w:t>
      </w:r>
      <w:proofErr w:type="spellStart"/>
      <w:r w:rsidR="00551A4C">
        <w:t>Teixeira</w:t>
      </w:r>
      <w:proofErr w:type="spellEnd"/>
      <w:r w:rsidR="00F7368D">
        <w:t xml:space="preserve"> and Pickens, 2004)</w:t>
      </w:r>
      <w:r w:rsidRPr="007F15CF">
        <w:t xml:space="preserve">. </w:t>
      </w:r>
    </w:p>
    <w:p w:rsidR="0045010E" w:rsidRDefault="00E048E1" w:rsidP="00465C44">
      <w:pPr>
        <w:pStyle w:val="manuscript"/>
      </w:pPr>
      <w:r>
        <w:t xml:space="preserve">A third hypothesis is based on </w:t>
      </w:r>
      <w:r w:rsidR="0045010E" w:rsidRPr="007F15CF">
        <w:t xml:space="preserve">the </w:t>
      </w:r>
      <w:r w:rsidR="0026191D">
        <w:t>view that</w:t>
      </w:r>
      <w:r>
        <w:t xml:space="preserve"> accounting choice</w:t>
      </w:r>
      <w:r w:rsidR="0045010E">
        <w:t xml:space="preserve"> is a major influence on </w:t>
      </w:r>
      <w:r w:rsidR="0007445C">
        <w:t>the firms</w:t>
      </w:r>
      <w:r w:rsidR="00C25D7C">
        <w:t>’</w:t>
      </w:r>
      <w:r w:rsidR="0007445C">
        <w:t xml:space="preserve"> contracts</w:t>
      </w:r>
      <w:r>
        <w:t xml:space="preserve"> (Fields </w:t>
      </w:r>
      <w:r>
        <w:rPr>
          <w:i/>
        </w:rPr>
        <w:t>et al.</w:t>
      </w:r>
      <w:r w:rsidR="00D54F91">
        <w:rPr>
          <w:i/>
        </w:rPr>
        <w:t>,</w:t>
      </w:r>
      <w:r>
        <w:rPr>
          <w:i/>
        </w:rPr>
        <w:t xml:space="preserve"> </w:t>
      </w:r>
      <w:r w:rsidRPr="0066486F">
        <w:t>2001)</w:t>
      </w:r>
      <w:r w:rsidR="0007445C">
        <w:t xml:space="preserve">. </w:t>
      </w:r>
      <w:r w:rsidR="0012038C">
        <w:t xml:space="preserve"> </w:t>
      </w:r>
      <w:r>
        <w:t>Prior research suggests that c</w:t>
      </w:r>
      <w:r w:rsidR="0045010E">
        <w:t>ontract r</w:t>
      </w:r>
      <w:r>
        <w:t>enegotiation cost will be a</w:t>
      </w:r>
      <w:r w:rsidR="0045010E">
        <w:t xml:space="preserve"> cost of IFRS adoption</w:t>
      </w:r>
      <w:r w:rsidRPr="00E048E1">
        <w:t xml:space="preserve"> </w:t>
      </w:r>
      <w:r>
        <w:t>(Dunstan, 2002) or will result in</w:t>
      </w:r>
      <w:r w:rsidR="0045010E">
        <w:t xml:space="preserve"> low </w:t>
      </w:r>
      <w:r w:rsidR="002E55B8">
        <w:t>early</w:t>
      </w:r>
      <w:r w:rsidR="0045010E">
        <w:t xml:space="preserve"> adoption of IFRS</w:t>
      </w:r>
      <w:r w:rsidRPr="00E048E1">
        <w:t xml:space="preserve"> </w:t>
      </w:r>
      <w:r>
        <w:t xml:space="preserve">(Christensen, </w:t>
      </w:r>
      <w:r w:rsidR="00EB6A5E">
        <w:t>2</w:t>
      </w:r>
      <w:r>
        <w:t>012)</w:t>
      </w:r>
      <w:r w:rsidR="0045010E">
        <w:t xml:space="preserve">. Much of </w:t>
      </w:r>
      <w:r w:rsidR="000A101A">
        <w:t>the</w:t>
      </w:r>
      <w:r w:rsidR="0045010E">
        <w:t xml:space="preserve"> prior research on accounting choice</w:t>
      </w:r>
      <w:r w:rsidR="00C022E2">
        <w:t xml:space="preserve"> </w:t>
      </w:r>
      <w:r w:rsidR="0045010E">
        <w:t>is conducted within the framework of three popular contracting cost hypotheses</w:t>
      </w:r>
      <w:r w:rsidR="0045010E" w:rsidRPr="00AD1F80">
        <w:t>; namely the political cost, debt contracting and compensation hypotheses</w:t>
      </w:r>
      <w:r w:rsidR="0045010E">
        <w:t xml:space="preserve">. </w:t>
      </w:r>
      <w:r w:rsidR="00C25D7C">
        <w:t>In contrast, less</w:t>
      </w:r>
      <w:r w:rsidR="0045010E">
        <w:t xml:space="preserve"> </w:t>
      </w:r>
      <w:r w:rsidR="0045010E" w:rsidRPr="00DD3D79">
        <w:t xml:space="preserve">than half </w:t>
      </w:r>
      <w:r w:rsidR="00DD3D79">
        <w:t>the</w:t>
      </w:r>
      <w:r w:rsidR="0007445C">
        <w:t xml:space="preserve"> sample</w:t>
      </w:r>
      <w:r w:rsidR="0045010E">
        <w:t xml:space="preserve"> consider</w:t>
      </w:r>
      <w:r w:rsidR="00F748AF">
        <w:t>ed</w:t>
      </w:r>
      <w:r w:rsidR="0045010E">
        <w:t xml:space="preserve"> the financial statement impact in the decision to </w:t>
      </w:r>
      <w:r w:rsidR="002E55B8">
        <w:t>early</w:t>
      </w:r>
      <w:r w:rsidR="00945C9C">
        <w:t xml:space="preserve"> </w:t>
      </w:r>
      <w:r w:rsidR="00C022E2">
        <w:t>adopt</w:t>
      </w:r>
      <w:r w:rsidR="0045010E">
        <w:t xml:space="preserve"> or </w:t>
      </w:r>
      <w:r w:rsidR="00C25D7C">
        <w:t xml:space="preserve">to </w:t>
      </w:r>
      <w:r w:rsidR="00C022E2">
        <w:t>delay adoption until</w:t>
      </w:r>
      <w:r w:rsidR="00945C9C">
        <w:t xml:space="preserve"> </w:t>
      </w:r>
      <w:r w:rsidR="00C25D7C">
        <w:t>IFRS</w:t>
      </w:r>
      <w:r w:rsidR="00C022E2">
        <w:t xml:space="preserve"> </w:t>
      </w:r>
      <w:r w:rsidR="00D53395">
        <w:t>became mandatory</w:t>
      </w:r>
      <w:r w:rsidR="00C022E2">
        <w:t>.</w:t>
      </w:r>
      <w:r w:rsidR="0045010E">
        <w:t xml:space="preserve"> </w:t>
      </w:r>
      <w:r w:rsidR="00C022E2">
        <w:t xml:space="preserve">We find no </w:t>
      </w:r>
      <w:r w:rsidR="0045010E">
        <w:t xml:space="preserve">support for </w:t>
      </w:r>
      <w:r w:rsidR="00C022E2">
        <w:t xml:space="preserve">the </w:t>
      </w:r>
      <w:r w:rsidR="0045010E">
        <w:t>contracting hypotheses</w:t>
      </w:r>
      <w:r w:rsidR="00C022E2">
        <w:t xml:space="preserve">. Furthermore, </w:t>
      </w:r>
      <w:r w:rsidR="00F748AF">
        <w:t>t</w:t>
      </w:r>
      <w:r w:rsidR="0045010E">
        <w:t xml:space="preserve">here is little difference between </w:t>
      </w:r>
      <w:r w:rsidR="002E55B8">
        <w:t>early</w:t>
      </w:r>
      <w:r w:rsidR="0045010E">
        <w:t xml:space="preserve"> adopters and </w:t>
      </w:r>
      <w:r w:rsidR="00595A7C">
        <w:t>late</w:t>
      </w:r>
      <w:r w:rsidR="0045010E">
        <w:t xml:space="preserve"> adopters in terms of size (a common proxy for political costs) and in terms of the impact of IFRS adoption on debt and other contracts. </w:t>
      </w:r>
      <w:r w:rsidR="0045010E">
        <w:rPr>
          <w:rStyle w:val="FootnoteReference"/>
        </w:rPr>
        <w:footnoteReference w:id="25"/>
      </w:r>
    </w:p>
    <w:p w:rsidR="000A101A" w:rsidRDefault="0007445C" w:rsidP="00C022E2">
      <w:pPr>
        <w:pStyle w:val="manuscript"/>
      </w:pPr>
      <w:r>
        <w:t>P</w:t>
      </w:r>
      <w:r w:rsidR="00C022E2" w:rsidRPr="00C022E2">
        <w:t xml:space="preserve">otential motivations for adoption timing are also identified from questionnaire comments and open-ended questions. Comments in interview transcripts were coded into six themes, adapted from a framework used by Smith and </w:t>
      </w:r>
      <w:proofErr w:type="spellStart"/>
      <w:r w:rsidR="00C022E2" w:rsidRPr="00C022E2">
        <w:t>Taffler</w:t>
      </w:r>
      <w:proofErr w:type="spellEnd"/>
      <w:r w:rsidR="00C022E2" w:rsidRPr="00C022E2">
        <w:t xml:space="preserve"> (2000).</w:t>
      </w:r>
      <w:r w:rsidR="00C022E2">
        <w:t xml:space="preserve"> The content analysis indicates several non-financial statement reasons as to why fir</w:t>
      </w:r>
      <w:r w:rsidR="00B97F1B" w:rsidRPr="005853FA">
        <w:t>ms</w:t>
      </w:r>
      <w:r w:rsidR="00C022E2">
        <w:t xml:space="preserve"> adopt IFRS.</w:t>
      </w:r>
      <w:r w:rsidR="00C022E2" w:rsidRPr="009C13EE">
        <w:t xml:space="preserve"> </w:t>
      </w:r>
    </w:p>
    <w:p w:rsidR="00C022E2" w:rsidRDefault="002E55B8" w:rsidP="00C022E2">
      <w:pPr>
        <w:pStyle w:val="manuscript"/>
      </w:pPr>
      <w:r>
        <w:t>Early</w:t>
      </w:r>
      <w:r w:rsidR="00C022E2">
        <w:t xml:space="preserve"> adopters were more certain about the move to IFRS (i.e., </w:t>
      </w:r>
      <w:r w:rsidR="00C25D7C">
        <w:t xml:space="preserve">they had more confidence in </w:t>
      </w:r>
      <w:r w:rsidR="00C022E2">
        <w:t xml:space="preserve">the stable platform) and </w:t>
      </w:r>
      <w:r w:rsidR="0087109C">
        <w:t xml:space="preserve">are </w:t>
      </w:r>
      <w:r w:rsidR="00C022E2">
        <w:t xml:space="preserve">more specific about the effects of IFRS on the financial statements. These themes </w:t>
      </w:r>
      <w:r w:rsidR="005B1AC0">
        <w:t>are consistent with</w:t>
      </w:r>
      <w:r w:rsidR="00C022E2">
        <w:t xml:space="preserve"> the </w:t>
      </w:r>
      <w:r w:rsidR="001931CE">
        <w:t xml:space="preserve">established </w:t>
      </w:r>
      <w:r w:rsidR="00C022E2">
        <w:t>concepts of ‘environmental uncertainty’ (</w:t>
      </w:r>
      <w:proofErr w:type="spellStart"/>
      <w:r w:rsidR="00C022E2">
        <w:t>Agbejule</w:t>
      </w:r>
      <w:proofErr w:type="spellEnd"/>
      <w:r w:rsidR="00C022E2">
        <w:t xml:space="preserve">, 2005) </w:t>
      </w:r>
      <w:r w:rsidR="00C022E2">
        <w:lastRenderedPageBreak/>
        <w:t>and ‘tolerance for ambiguity’ (</w:t>
      </w:r>
      <w:hyperlink r:id="rId10" w:tooltip="Search for Faircloth, Archie W." w:history="1">
        <w:r w:rsidR="00C022E2">
          <w:t>Faircloth</w:t>
        </w:r>
      </w:hyperlink>
      <w:r w:rsidR="00C022E2">
        <w:t xml:space="preserve"> </w:t>
      </w:r>
      <w:r w:rsidR="00C022E2" w:rsidRPr="00382637">
        <w:t xml:space="preserve">and </w:t>
      </w:r>
      <w:hyperlink r:id="rId11" w:tooltip="Search for Ricchiute, David N." w:history="1">
        <w:proofErr w:type="spellStart"/>
        <w:r w:rsidR="00C022E2" w:rsidRPr="00382637">
          <w:t>Ricchiute</w:t>
        </w:r>
        <w:proofErr w:type="spellEnd"/>
      </w:hyperlink>
      <w:r w:rsidR="00C022E2">
        <w:t>, 1</w:t>
      </w:r>
      <w:r w:rsidR="00C022E2" w:rsidRPr="00382637">
        <w:t>981</w:t>
      </w:r>
      <w:r w:rsidR="00C022E2">
        <w:t xml:space="preserve">). </w:t>
      </w:r>
      <w:r w:rsidR="00D54F91">
        <w:t>Respondents also indicate that a</w:t>
      </w:r>
      <w:r w:rsidR="00C022E2">
        <w:t>nother reason for deliberate (dynamic) choice with regard to IFRS adoption is how firms perceive themselves in terms of being market leaders or followers</w:t>
      </w:r>
      <w:r w:rsidR="00C26E38">
        <w:t>.</w:t>
      </w:r>
      <w:r w:rsidR="00C022E2">
        <w:t xml:space="preserve"> </w:t>
      </w:r>
      <w:r w:rsidR="005F0E29">
        <w:t>In network economics</w:t>
      </w:r>
      <w:r w:rsidR="000A101A">
        <w:t>,</w:t>
      </w:r>
      <w:r w:rsidR="0007445C">
        <w:t xml:space="preserve"> or the economics of standardi</w:t>
      </w:r>
      <w:r w:rsidR="0096481C">
        <w:t>s</w:t>
      </w:r>
      <w:r w:rsidR="0007445C">
        <w:t>ation,</w:t>
      </w:r>
      <w:r w:rsidR="005F0E29">
        <w:t xml:space="preserve"> acts </w:t>
      </w:r>
      <w:r w:rsidR="000A101A">
        <w:t xml:space="preserve">that </w:t>
      </w:r>
      <w:r w:rsidR="005F0E29">
        <w:t xml:space="preserve">do not survive </w:t>
      </w:r>
      <w:r w:rsidR="0007445C">
        <w:t>a</w:t>
      </w:r>
      <w:r w:rsidR="00BB56F9">
        <w:t xml:space="preserve"> cost-benefit analysis</w:t>
      </w:r>
      <w:r w:rsidR="005F0E29">
        <w:t xml:space="preserve"> </w:t>
      </w:r>
      <w:r w:rsidR="000A101A">
        <w:t>when examined in isolation are shown to have net benefits</w:t>
      </w:r>
      <w:r w:rsidR="005F0E29">
        <w:t xml:space="preserve"> when co</w:t>
      </w:r>
      <w:r w:rsidR="004469AC">
        <w:t>-</w:t>
      </w:r>
      <w:r w:rsidR="005F0E29">
        <w:t>ordinat</w:t>
      </w:r>
      <w:r w:rsidR="0007445C">
        <w:t xml:space="preserve">ed with </w:t>
      </w:r>
      <w:r w:rsidR="000A101A">
        <w:t xml:space="preserve">the actions of </w:t>
      </w:r>
      <w:r w:rsidR="0007445C">
        <w:t>other agents</w:t>
      </w:r>
      <w:r w:rsidR="005F0E29">
        <w:t xml:space="preserve">. In our </w:t>
      </w:r>
      <w:r w:rsidR="00DA271E">
        <w:t>survey</w:t>
      </w:r>
      <w:r w:rsidR="005F0E29">
        <w:t xml:space="preserve">, </w:t>
      </w:r>
      <w:r w:rsidR="00595A7C">
        <w:t>late</w:t>
      </w:r>
      <w:r w:rsidR="001931CE">
        <w:t xml:space="preserve"> adopters </w:t>
      </w:r>
      <w:r w:rsidR="00DA271E">
        <w:t xml:space="preserve">indicate they </w:t>
      </w:r>
      <w:r w:rsidR="001931CE">
        <w:t>expected to</w:t>
      </w:r>
      <w:r w:rsidR="001931CE" w:rsidRPr="007F15CF">
        <w:t xml:space="preserve"> have the advantage of being able to leverage off t</w:t>
      </w:r>
      <w:r w:rsidR="001931CE">
        <w:t xml:space="preserve">he experience of </w:t>
      </w:r>
      <w:r>
        <w:t>early</w:t>
      </w:r>
      <w:r w:rsidR="001931CE">
        <w:t xml:space="preserve"> adopters. </w:t>
      </w:r>
      <w:r w:rsidR="005F0E29">
        <w:t>This is consistent with the notion of ‘e</w:t>
      </w:r>
      <w:r w:rsidR="001931CE">
        <w:t xml:space="preserve">xcess </w:t>
      </w:r>
      <w:r w:rsidR="005F0E29">
        <w:t>inertia’, which</w:t>
      </w:r>
      <w:r w:rsidR="001931CE">
        <w:t xml:space="preserve"> occurs when the potential adopters of a new technology defer adoption, awaiting evidence of general adoption. Farrell and </w:t>
      </w:r>
      <w:proofErr w:type="spellStart"/>
      <w:r w:rsidR="001931CE">
        <w:t>Saloner</w:t>
      </w:r>
      <w:proofErr w:type="spellEnd"/>
      <w:r w:rsidR="001931CE">
        <w:t xml:space="preserve"> (1986, 1987) refer to th</w:t>
      </w:r>
      <w:r w:rsidR="00107302">
        <w:t>is as this as ‘penguin effect’</w:t>
      </w:r>
      <w:r w:rsidR="005F0E29">
        <w:t xml:space="preserve">. </w:t>
      </w:r>
      <w:r w:rsidR="00C022E2">
        <w:rPr>
          <w:rStyle w:val="FootnoteReference"/>
          <w:rFonts w:cs="Times New Roman"/>
          <w:szCs w:val="20"/>
          <w:vertAlign w:val="baseline"/>
        </w:rPr>
        <w:t xml:space="preserve">Keenan (2011) provides </w:t>
      </w:r>
      <w:r w:rsidR="00C022E2" w:rsidRPr="00470EE8">
        <w:rPr>
          <w:rStyle w:val="FootnoteReference"/>
          <w:rFonts w:cs="Times New Roman"/>
          <w:szCs w:val="20"/>
          <w:vertAlign w:val="baseline"/>
        </w:rPr>
        <w:t xml:space="preserve">an example of </w:t>
      </w:r>
      <w:r w:rsidR="00107302">
        <w:rPr>
          <w:rStyle w:val="FootnoteReference"/>
          <w:rFonts w:cs="Times New Roman"/>
          <w:szCs w:val="20"/>
          <w:vertAlign w:val="baseline"/>
        </w:rPr>
        <w:t>positive network effects in</w:t>
      </w:r>
      <w:r w:rsidR="00C712FC">
        <w:rPr>
          <w:rFonts w:cs="Times New Roman"/>
          <w:szCs w:val="20"/>
        </w:rPr>
        <w:t xml:space="preserve"> </w:t>
      </w:r>
      <w:proofErr w:type="gramStart"/>
      <w:r w:rsidR="00C712FC">
        <w:rPr>
          <w:rFonts w:cs="Times New Roman"/>
          <w:szCs w:val="20"/>
        </w:rPr>
        <w:t>the</w:t>
      </w:r>
      <w:proofErr w:type="gramEnd"/>
      <w:r w:rsidR="00C712FC">
        <w:rPr>
          <w:rFonts w:cs="Times New Roman"/>
          <w:szCs w:val="20"/>
        </w:rPr>
        <w:t xml:space="preserve"> voluntary</w:t>
      </w:r>
      <w:r w:rsidR="00C022E2">
        <w:rPr>
          <w:rFonts w:cs="Times New Roman"/>
          <w:szCs w:val="20"/>
        </w:rPr>
        <w:t xml:space="preserve"> </w:t>
      </w:r>
      <w:r w:rsidR="00C022E2" w:rsidRPr="00470EE8">
        <w:rPr>
          <w:rStyle w:val="FootnoteReference"/>
          <w:rFonts w:cs="Times New Roman"/>
          <w:szCs w:val="20"/>
          <w:vertAlign w:val="baseline"/>
        </w:rPr>
        <w:t>adoption of consolidated accounting.</w:t>
      </w:r>
    </w:p>
    <w:p w:rsidR="0045010E" w:rsidRDefault="00235C19" w:rsidP="00465C44">
      <w:pPr>
        <w:pStyle w:val="manuscript"/>
      </w:pPr>
      <w:r>
        <w:t>In conclusion, the results suggest that reasons other than the financial statement effects on debt and compensation contracts</w:t>
      </w:r>
      <w:r w:rsidR="00F748AF">
        <w:t>,</w:t>
      </w:r>
      <w:r>
        <w:t xml:space="preserve"> or political costs,</w:t>
      </w:r>
      <w:r w:rsidR="00E66617">
        <w:t xml:space="preserve"> </w:t>
      </w:r>
      <w:r w:rsidR="0043341E">
        <w:t>explain most IFRS adoption timing choices</w:t>
      </w:r>
      <w:r>
        <w:t>. Hence, further research (possibly using a non-archival approach) is needed to see if these factors exist in other institutional domains and for other accounting choices.</w:t>
      </w:r>
      <w:r w:rsidRPr="00474690">
        <w:t xml:space="preserve"> </w:t>
      </w:r>
      <w:r>
        <w:t>Promising theoretical bases of enquiry relate to the concepts of environmental uncertainty, tolerance for ambiguity and the economics of standardi</w:t>
      </w:r>
      <w:r w:rsidR="0096481C">
        <w:t>s</w:t>
      </w:r>
      <w:r>
        <w:t xml:space="preserve">ation. </w:t>
      </w:r>
    </w:p>
    <w:p w:rsidR="009C13EE" w:rsidRDefault="00235C19" w:rsidP="00E57A07">
      <w:pPr>
        <w:pStyle w:val="manuscript"/>
      </w:pPr>
      <w:r>
        <w:t xml:space="preserve">The results should be read in conjunction with the limitations of the study. First, the sample size of the study is small. However, the 34 respondents to the questionnaire </w:t>
      </w:r>
      <w:r w:rsidR="00E70A26">
        <w:t>(</w:t>
      </w:r>
      <w:r>
        <w:t xml:space="preserve">and </w:t>
      </w:r>
      <w:r w:rsidR="00E70A26">
        <w:t xml:space="preserve">26 </w:t>
      </w:r>
      <w:r>
        <w:t>interview</w:t>
      </w:r>
      <w:r w:rsidR="00E70A26">
        <w:t>ees)</w:t>
      </w:r>
      <w:r>
        <w:t xml:space="preserve"> </w:t>
      </w:r>
      <w:r w:rsidR="00FB18D4">
        <w:t xml:space="preserve">comprise 24 percent </w:t>
      </w:r>
      <w:r w:rsidR="00360058">
        <w:t>(</w:t>
      </w:r>
      <w:r w:rsidR="00E70A26">
        <w:t xml:space="preserve">18 percent) </w:t>
      </w:r>
      <w:r w:rsidR="00FB18D4">
        <w:t>of the population. Second, the survey and interviews were undertaken over a two and one-half year period and there exists the possibility that intervening events</w:t>
      </w:r>
      <w:r w:rsidR="007D527E">
        <w:t xml:space="preserve"> have affected the internal validity</w:t>
      </w:r>
      <w:r w:rsidR="00FB18D4">
        <w:t xml:space="preserve"> (e.g., changes to IFRS and personnel). Third, the data are collected from </w:t>
      </w:r>
      <w:r w:rsidR="002766DA">
        <w:t xml:space="preserve">New Zealand </w:t>
      </w:r>
      <w:r w:rsidR="00FB18D4">
        <w:t>where the</w:t>
      </w:r>
      <w:r w:rsidR="002766DA">
        <w:t xml:space="preserve"> accounting standards are relatively close to IFRS. </w:t>
      </w:r>
      <w:r w:rsidR="00BC3F6F">
        <w:t>T</w:t>
      </w:r>
      <w:r w:rsidR="002766DA">
        <w:t>he International Accounting Standards Committee crest was on a local accounting standard in 1974</w:t>
      </w:r>
      <w:r w:rsidR="00BC3F6F" w:rsidRPr="00BC3F6F">
        <w:t xml:space="preserve"> </w:t>
      </w:r>
      <w:r w:rsidR="007A362A">
        <w:t>(</w:t>
      </w:r>
      <w:r w:rsidR="00BC3F6F">
        <w:t>Bradbury</w:t>
      </w:r>
      <w:r w:rsidR="007A362A">
        <w:t xml:space="preserve">, </w:t>
      </w:r>
      <w:r w:rsidR="00BC3F6F">
        <w:t>1998)</w:t>
      </w:r>
      <w:r w:rsidR="002766DA">
        <w:t xml:space="preserve">. </w:t>
      </w:r>
      <w:r w:rsidR="00110E2F">
        <w:t xml:space="preserve">New </w:t>
      </w:r>
      <w:r w:rsidR="00110E2F">
        <w:lastRenderedPageBreak/>
        <w:t xml:space="preserve">Zealand was converging with </w:t>
      </w:r>
      <w:r w:rsidR="00110E2F" w:rsidRPr="00337C72">
        <w:t xml:space="preserve">IFRS prior </w:t>
      </w:r>
      <w:r w:rsidR="00337C72">
        <w:t xml:space="preserve">to </w:t>
      </w:r>
      <w:r w:rsidR="00110E2F" w:rsidRPr="00337C72">
        <w:t>the</w:t>
      </w:r>
      <w:r w:rsidR="00110E2F">
        <w:t xml:space="preserve"> decision to adopt</w:t>
      </w:r>
      <w:r w:rsidR="007A362A" w:rsidRPr="007A362A">
        <w:t xml:space="preserve"> </w:t>
      </w:r>
      <w:r w:rsidR="007A362A">
        <w:t xml:space="preserve">(Bradbury and van </w:t>
      </w:r>
      <w:proofErr w:type="spellStart"/>
      <w:r w:rsidR="007A362A">
        <w:t>Zijl</w:t>
      </w:r>
      <w:proofErr w:type="spellEnd"/>
      <w:r w:rsidR="007A362A">
        <w:t>, 2006; 2007)</w:t>
      </w:r>
      <w:r w:rsidR="00110E2F">
        <w:t>.</w:t>
      </w:r>
      <w:r w:rsidR="00BC3F6F">
        <w:t xml:space="preserve"> </w:t>
      </w:r>
      <w:r w:rsidR="00FB18D4">
        <w:t xml:space="preserve">However, Christensen </w:t>
      </w:r>
      <w:r w:rsidR="00FB18D4">
        <w:rPr>
          <w:i/>
        </w:rPr>
        <w:t xml:space="preserve">et al. </w:t>
      </w:r>
      <w:r w:rsidR="00FB18D4" w:rsidRPr="00FB18D4">
        <w:t>(2007)</w:t>
      </w:r>
      <w:r w:rsidR="00651832">
        <w:t xml:space="preserve"> report that information on IFRS adoption from one economy can be useful for other jurisdictions. Hence, this study ought to be useful to the IASB</w:t>
      </w:r>
      <w:r w:rsidR="000A101A">
        <w:t xml:space="preserve">, </w:t>
      </w:r>
      <w:r w:rsidR="00651832">
        <w:t xml:space="preserve">national </w:t>
      </w:r>
      <w:r w:rsidR="00C25D7C">
        <w:t xml:space="preserve">standard </w:t>
      </w:r>
      <w:r w:rsidR="00651832">
        <w:t>setters</w:t>
      </w:r>
      <w:r w:rsidR="000A101A">
        <w:t xml:space="preserve">, and other </w:t>
      </w:r>
      <w:r w:rsidR="00E57A07">
        <w:t>constituents</w:t>
      </w:r>
      <w:r w:rsidR="00651832">
        <w:t xml:space="preserve"> when considering feedback on IFRS adoption or the decision to</w:t>
      </w:r>
      <w:r w:rsidR="00651832" w:rsidRPr="00651832">
        <w:t xml:space="preserve"> </w:t>
      </w:r>
      <w:r w:rsidR="00651832">
        <w:t>adopt.</w:t>
      </w:r>
      <w:r w:rsidR="009C13EE">
        <w:br w:type="page"/>
      </w:r>
    </w:p>
    <w:p w:rsidR="00514841" w:rsidRPr="007F15CF" w:rsidRDefault="00514841" w:rsidP="008149D4">
      <w:pPr>
        <w:pStyle w:val="manuscript"/>
      </w:pPr>
    </w:p>
    <w:p w:rsidR="00C445B0" w:rsidRPr="0046011D" w:rsidRDefault="00C445B0" w:rsidP="00C445B0">
      <w:pPr>
        <w:pStyle w:val="manuscript"/>
        <w:rPr>
          <w:b/>
        </w:rPr>
      </w:pPr>
      <w:r w:rsidRPr="0078048F">
        <w:rPr>
          <w:b/>
        </w:rPr>
        <w:t>References</w:t>
      </w:r>
    </w:p>
    <w:p w:rsidR="00C445B0" w:rsidRDefault="00C445B0" w:rsidP="00C445B0">
      <w:pPr>
        <w:rPr>
          <w:rFonts w:ascii="Times New Roman" w:hAnsi="Times New Roman" w:cs="Times New Roman"/>
          <w:sz w:val="24"/>
          <w:szCs w:val="24"/>
        </w:rPr>
      </w:pPr>
      <w:proofErr w:type="spellStart"/>
      <w:r w:rsidRPr="0046011D">
        <w:rPr>
          <w:rFonts w:ascii="Times New Roman" w:hAnsi="Times New Roman"/>
          <w:sz w:val="24"/>
        </w:rPr>
        <w:t>Agbejule</w:t>
      </w:r>
      <w:proofErr w:type="spellEnd"/>
      <w:r w:rsidRPr="0046011D">
        <w:rPr>
          <w:rFonts w:ascii="Times New Roman" w:hAnsi="Times New Roman"/>
          <w:sz w:val="24"/>
        </w:rPr>
        <w:t>, A.</w:t>
      </w:r>
      <w:r>
        <w:rPr>
          <w:rFonts w:ascii="Times New Roman" w:hAnsi="Times New Roman"/>
          <w:sz w:val="24"/>
        </w:rPr>
        <w:t>,</w:t>
      </w:r>
      <w:r w:rsidRPr="0046011D">
        <w:rPr>
          <w:rFonts w:ascii="Times New Roman" w:hAnsi="Times New Roman"/>
          <w:sz w:val="24"/>
        </w:rPr>
        <w:t xml:space="preserve"> 2005</w:t>
      </w:r>
      <w:r>
        <w:rPr>
          <w:rFonts w:ascii="Times New Roman" w:hAnsi="Times New Roman"/>
          <w:sz w:val="24"/>
        </w:rPr>
        <w:t>,</w:t>
      </w:r>
      <w:r w:rsidRPr="0046011D">
        <w:rPr>
          <w:rFonts w:ascii="Times New Roman" w:hAnsi="Times New Roman"/>
          <w:sz w:val="24"/>
        </w:rPr>
        <w:t xml:space="preserve"> </w:t>
      </w:r>
      <w:proofErr w:type="gramStart"/>
      <w:r w:rsidRPr="0046011D">
        <w:rPr>
          <w:rFonts w:ascii="Times New Roman" w:hAnsi="Times New Roman"/>
          <w:sz w:val="24"/>
        </w:rPr>
        <w:t>The</w:t>
      </w:r>
      <w:proofErr w:type="gramEnd"/>
      <w:r w:rsidRPr="0046011D">
        <w:rPr>
          <w:rFonts w:ascii="Times New Roman" w:hAnsi="Times New Roman"/>
          <w:sz w:val="24"/>
        </w:rPr>
        <w:t xml:space="preserve"> relationship between management accounting systems and perceived environmental uncertai</w:t>
      </w:r>
      <w:r>
        <w:rPr>
          <w:rFonts w:ascii="Times New Roman" w:hAnsi="Times New Roman"/>
          <w:sz w:val="24"/>
        </w:rPr>
        <w:t>nty on managerial performance: A</w:t>
      </w:r>
      <w:r w:rsidRPr="0046011D">
        <w:rPr>
          <w:rFonts w:ascii="Times New Roman" w:hAnsi="Times New Roman"/>
          <w:sz w:val="24"/>
        </w:rPr>
        <w:t xml:space="preserve"> research note, </w:t>
      </w:r>
      <w:r w:rsidRPr="0046011D">
        <w:rPr>
          <w:rFonts w:ascii="Times New Roman" w:hAnsi="Times New Roman"/>
          <w:i/>
          <w:sz w:val="24"/>
        </w:rPr>
        <w:t>Accounting and Business Research</w:t>
      </w:r>
      <w:r w:rsidRPr="0046011D">
        <w:rPr>
          <w:rFonts w:ascii="Times New Roman" w:hAnsi="Times New Roman"/>
          <w:sz w:val="24"/>
        </w:rPr>
        <w:t xml:space="preserve"> 35, 295-305.</w:t>
      </w:r>
      <w:r w:rsidRPr="00485287">
        <w:rPr>
          <w:rFonts w:ascii="Times New Roman" w:hAnsi="Times New Roman" w:cs="Times New Roman"/>
          <w:sz w:val="24"/>
          <w:szCs w:val="24"/>
        </w:rPr>
        <w:t xml:space="preserve"> </w:t>
      </w:r>
    </w:p>
    <w:p w:rsidR="00C445B0" w:rsidRPr="00E024AE" w:rsidRDefault="00C445B0" w:rsidP="00C445B0">
      <w:pPr>
        <w:rPr>
          <w:rFonts w:ascii="Times New Roman" w:hAnsi="Times New Roman" w:cs="Times New Roman"/>
          <w:sz w:val="24"/>
          <w:szCs w:val="24"/>
        </w:rPr>
      </w:pPr>
      <w:r w:rsidRPr="00EF4348">
        <w:rPr>
          <w:rFonts w:ascii="Times New Roman" w:hAnsi="Times New Roman" w:cs="Times New Roman"/>
          <w:sz w:val="24"/>
          <w:szCs w:val="24"/>
        </w:rPr>
        <w:t xml:space="preserve">Barth, </w:t>
      </w:r>
      <w:r>
        <w:rPr>
          <w:rFonts w:ascii="Times New Roman" w:hAnsi="Times New Roman" w:cs="Times New Roman"/>
          <w:sz w:val="24"/>
          <w:szCs w:val="24"/>
        </w:rPr>
        <w:t xml:space="preserve">M.E., G. </w:t>
      </w:r>
      <w:r w:rsidRPr="00EF4348">
        <w:rPr>
          <w:rFonts w:ascii="Times New Roman" w:hAnsi="Times New Roman" w:cs="Times New Roman"/>
          <w:sz w:val="24"/>
          <w:szCs w:val="24"/>
        </w:rPr>
        <w:t>Clinch</w:t>
      </w:r>
      <w:r>
        <w:rPr>
          <w:rFonts w:ascii="Times New Roman" w:hAnsi="Times New Roman" w:cs="Times New Roman"/>
          <w:sz w:val="24"/>
          <w:szCs w:val="24"/>
        </w:rPr>
        <w:t xml:space="preserve">, </w:t>
      </w:r>
      <w:r w:rsidRPr="00EF4348">
        <w:rPr>
          <w:rFonts w:ascii="Times New Roman" w:hAnsi="Times New Roman" w:cs="Times New Roman"/>
          <w:sz w:val="24"/>
          <w:szCs w:val="24"/>
        </w:rPr>
        <w:t xml:space="preserve">and </w:t>
      </w:r>
      <w:r>
        <w:rPr>
          <w:rFonts w:ascii="Times New Roman" w:hAnsi="Times New Roman" w:cs="Times New Roman"/>
          <w:sz w:val="24"/>
          <w:szCs w:val="24"/>
        </w:rPr>
        <w:t xml:space="preserve">T. </w:t>
      </w:r>
      <w:proofErr w:type="spellStart"/>
      <w:r w:rsidRPr="00EF4348">
        <w:rPr>
          <w:rFonts w:ascii="Times New Roman" w:hAnsi="Times New Roman" w:cs="Times New Roman"/>
          <w:sz w:val="24"/>
          <w:szCs w:val="24"/>
        </w:rPr>
        <w:t>Shibano</w:t>
      </w:r>
      <w:proofErr w:type="spellEnd"/>
      <w:r>
        <w:rPr>
          <w:rFonts w:ascii="Times New Roman" w:hAnsi="Times New Roman" w:cs="Times New Roman"/>
          <w:sz w:val="24"/>
          <w:szCs w:val="24"/>
        </w:rPr>
        <w:t xml:space="preserve">, </w:t>
      </w:r>
      <w:r w:rsidRPr="00EF4348">
        <w:rPr>
          <w:rFonts w:ascii="Times New Roman" w:hAnsi="Times New Roman" w:cs="Times New Roman"/>
          <w:sz w:val="24"/>
          <w:szCs w:val="24"/>
        </w:rPr>
        <w:t>1999</w:t>
      </w:r>
      <w:r>
        <w:rPr>
          <w:rFonts w:ascii="Times New Roman" w:hAnsi="Times New Roman" w:cs="Times New Roman"/>
          <w:sz w:val="24"/>
          <w:szCs w:val="24"/>
        </w:rPr>
        <w:t xml:space="preserve">, International accounting harmonization and global equity markets, </w:t>
      </w:r>
      <w:r w:rsidRPr="00EF4348">
        <w:rPr>
          <w:rFonts w:ascii="Times New Roman" w:hAnsi="Times New Roman" w:cs="Times New Roman"/>
          <w:i/>
          <w:sz w:val="24"/>
          <w:szCs w:val="24"/>
        </w:rPr>
        <w:t>Journal of Accounting and Economics</w:t>
      </w:r>
      <w:r>
        <w:rPr>
          <w:rFonts w:ascii="Times New Roman" w:hAnsi="Times New Roman" w:cs="Times New Roman"/>
          <w:sz w:val="24"/>
          <w:szCs w:val="24"/>
        </w:rPr>
        <w:t xml:space="preserve"> 26, 201-235.</w:t>
      </w:r>
    </w:p>
    <w:p w:rsidR="00C445B0" w:rsidRDefault="00C445B0" w:rsidP="00C445B0">
      <w:pPr>
        <w:rPr>
          <w:rFonts w:ascii="Times New Roman" w:hAnsi="Times New Roman"/>
          <w:sz w:val="24"/>
        </w:rPr>
      </w:pPr>
      <w:r w:rsidRPr="0046011D">
        <w:rPr>
          <w:rFonts w:ascii="Times New Roman" w:hAnsi="Times New Roman"/>
          <w:sz w:val="24"/>
        </w:rPr>
        <w:t xml:space="preserve">Bishop, H., </w:t>
      </w:r>
      <w:r>
        <w:rPr>
          <w:rFonts w:ascii="Times New Roman" w:hAnsi="Times New Roman"/>
          <w:sz w:val="24"/>
        </w:rPr>
        <w:t xml:space="preserve">M.E. </w:t>
      </w:r>
      <w:r w:rsidRPr="0046011D">
        <w:rPr>
          <w:rFonts w:ascii="Times New Roman" w:hAnsi="Times New Roman"/>
          <w:sz w:val="24"/>
        </w:rPr>
        <w:t xml:space="preserve">Bradbury, and </w:t>
      </w:r>
      <w:r>
        <w:rPr>
          <w:rFonts w:ascii="Times New Roman" w:hAnsi="Times New Roman"/>
          <w:sz w:val="24"/>
        </w:rPr>
        <w:t xml:space="preserve">T. </w:t>
      </w:r>
      <w:r w:rsidRPr="0046011D">
        <w:rPr>
          <w:rFonts w:ascii="Times New Roman" w:hAnsi="Times New Roman"/>
          <w:sz w:val="24"/>
        </w:rPr>
        <w:t xml:space="preserve">van </w:t>
      </w:r>
      <w:proofErr w:type="spellStart"/>
      <w:r w:rsidRPr="0046011D">
        <w:rPr>
          <w:rFonts w:ascii="Times New Roman" w:hAnsi="Times New Roman"/>
          <w:sz w:val="24"/>
        </w:rPr>
        <w:t>Zijl</w:t>
      </w:r>
      <w:proofErr w:type="spellEnd"/>
      <w:r w:rsidRPr="0046011D">
        <w:rPr>
          <w:rFonts w:ascii="Times New Roman" w:hAnsi="Times New Roman"/>
          <w:sz w:val="24"/>
        </w:rPr>
        <w:t>, 2005</w:t>
      </w:r>
      <w:r>
        <w:rPr>
          <w:rFonts w:ascii="Times New Roman" w:hAnsi="Times New Roman"/>
          <w:sz w:val="24"/>
        </w:rPr>
        <w:t>,</w:t>
      </w:r>
      <w:r w:rsidRPr="0046011D">
        <w:rPr>
          <w:rFonts w:ascii="Times New Roman" w:hAnsi="Times New Roman"/>
          <w:sz w:val="24"/>
        </w:rPr>
        <w:t xml:space="preserve"> NZ IAS 32: An evaluation of the potential impact on financial reporting by issuers of co</w:t>
      </w:r>
      <w:r>
        <w:rPr>
          <w:rFonts w:ascii="Times New Roman" w:hAnsi="Times New Roman"/>
          <w:sz w:val="24"/>
        </w:rPr>
        <w:t>nvertible financial instruments,</w:t>
      </w:r>
      <w:r w:rsidRPr="0046011D">
        <w:rPr>
          <w:rFonts w:ascii="Times New Roman" w:hAnsi="Times New Roman"/>
          <w:sz w:val="24"/>
        </w:rPr>
        <w:t xml:space="preserve"> </w:t>
      </w:r>
      <w:r w:rsidRPr="0046011D">
        <w:rPr>
          <w:rFonts w:ascii="Times New Roman" w:hAnsi="Times New Roman"/>
          <w:i/>
          <w:sz w:val="24"/>
        </w:rPr>
        <w:t>Pacific Accounting Review</w:t>
      </w:r>
      <w:r w:rsidRPr="0046011D">
        <w:rPr>
          <w:rFonts w:ascii="Times New Roman" w:hAnsi="Times New Roman"/>
          <w:sz w:val="24"/>
        </w:rPr>
        <w:t xml:space="preserve"> 17, 34-52.</w:t>
      </w:r>
    </w:p>
    <w:p w:rsidR="00C445B0" w:rsidRPr="00F5469E" w:rsidRDefault="00C445B0" w:rsidP="00C445B0">
      <w:pPr>
        <w:rPr>
          <w:rFonts w:ascii="Times New Roman" w:hAnsi="Times New Roman"/>
          <w:sz w:val="24"/>
        </w:rPr>
      </w:pPr>
      <w:proofErr w:type="spellStart"/>
      <w:proofErr w:type="gramStart"/>
      <w:r>
        <w:rPr>
          <w:rFonts w:ascii="Times New Roman" w:hAnsi="Times New Roman"/>
          <w:sz w:val="24"/>
        </w:rPr>
        <w:t>Boesso</w:t>
      </w:r>
      <w:proofErr w:type="spellEnd"/>
      <w:r>
        <w:rPr>
          <w:rFonts w:ascii="Times New Roman" w:hAnsi="Times New Roman"/>
          <w:sz w:val="24"/>
        </w:rPr>
        <w:t xml:space="preserve">, G., and K. </w:t>
      </w:r>
      <w:r w:rsidRPr="00F5469E">
        <w:rPr>
          <w:rFonts w:ascii="Times New Roman" w:hAnsi="Times New Roman"/>
          <w:sz w:val="24"/>
        </w:rPr>
        <w:t>Kumar, 2007</w:t>
      </w:r>
      <w:r>
        <w:rPr>
          <w:rFonts w:ascii="Times New Roman" w:hAnsi="Times New Roman"/>
          <w:sz w:val="24"/>
        </w:rPr>
        <w:t>,</w:t>
      </w:r>
      <w:r w:rsidRPr="00F5469E">
        <w:rPr>
          <w:rFonts w:ascii="Times New Roman" w:hAnsi="Times New Roman"/>
          <w:sz w:val="24"/>
        </w:rPr>
        <w:t xml:space="preserve"> Drivers of</w:t>
      </w:r>
      <w:r>
        <w:rPr>
          <w:rFonts w:ascii="Times New Roman" w:hAnsi="Times New Roman"/>
          <w:sz w:val="24"/>
        </w:rPr>
        <w:t xml:space="preserve"> corporate voluntary disclosure,</w:t>
      </w:r>
      <w:r w:rsidRPr="00F5469E">
        <w:rPr>
          <w:rFonts w:ascii="Times New Roman" w:hAnsi="Times New Roman"/>
          <w:sz w:val="24"/>
        </w:rPr>
        <w:t xml:space="preserve"> Acc</w:t>
      </w:r>
      <w:r w:rsidRPr="00F5469E">
        <w:rPr>
          <w:rFonts w:ascii="Times New Roman" w:hAnsi="Times New Roman"/>
          <w:i/>
          <w:sz w:val="24"/>
        </w:rPr>
        <w:t>ounting, Auditing &amp; Accountability Journal</w:t>
      </w:r>
      <w:r w:rsidRPr="00F5469E">
        <w:rPr>
          <w:rFonts w:ascii="Times New Roman" w:hAnsi="Times New Roman"/>
          <w:sz w:val="24"/>
        </w:rPr>
        <w:t xml:space="preserve"> 20, 269-296.</w:t>
      </w:r>
      <w:proofErr w:type="gramEnd"/>
    </w:p>
    <w:p w:rsidR="00C445B0" w:rsidRDefault="00C445B0" w:rsidP="00C445B0">
      <w:pPr>
        <w:rPr>
          <w:rFonts w:ascii="Times New Roman" w:hAnsi="Times New Roman"/>
          <w:sz w:val="24"/>
        </w:rPr>
      </w:pPr>
      <w:r w:rsidRPr="0046011D">
        <w:rPr>
          <w:rFonts w:ascii="Times New Roman" w:hAnsi="Times New Roman"/>
          <w:sz w:val="24"/>
        </w:rPr>
        <w:t>Bradbury, M.E.</w:t>
      </w:r>
      <w:r>
        <w:rPr>
          <w:rFonts w:ascii="Times New Roman" w:hAnsi="Times New Roman"/>
          <w:sz w:val="24"/>
        </w:rPr>
        <w:t>,</w:t>
      </w:r>
      <w:r w:rsidRPr="0046011D">
        <w:rPr>
          <w:rFonts w:ascii="Times New Roman" w:hAnsi="Times New Roman"/>
          <w:sz w:val="24"/>
        </w:rPr>
        <w:t xml:space="preserve"> </w:t>
      </w:r>
      <w:r>
        <w:rPr>
          <w:rFonts w:ascii="Times New Roman" w:hAnsi="Times New Roman"/>
          <w:sz w:val="24"/>
        </w:rPr>
        <w:t xml:space="preserve">1988, </w:t>
      </w:r>
      <w:r w:rsidRPr="0046011D">
        <w:rPr>
          <w:rFonts w:ascii="Times New Roman" w:hAnsi="Times New Roman"/>
          <w:sz w:val="24"/>
        </w:rPr>
        <w:t>Harmonising with overseas accounting stand</w:t>
      </w:r>
      <w:r>
        <w:rPr>
          <w:rFonts w:ascii="Times New Roman" w:hAnsi="Times New Roman"/>
          <w:sz w:val="24"/>
        </w:rPr>
        <w:t>ards: A New Zealand perspective</w:t>
      </w:r>
      <w:r w:rsidRPr="0046011D">
        <w:rPr>
          <w:rFonts w:ascii="Times New Roman" w:hAnsi="Times New Roman"/>
          <w:sz w:val="24"/>
        </w:rPr>
        <w:t xml:space="preserve">, </w:t>
      </w:r>
      <w:r w:rsidRPr="0046011D">
        <w:rPr>
          <w:rFonts w:ascii="Times New Roman" w:hAnsi="Times New Roman"/>
          <w:i/>
          <w:sz w:val="24"/>
        </w:rPr>
        <w:t>Australian Accounting Review</w:t>
      </w:r>
      <w:r w:rsidRPr="0046011D">
        <w:rPr>
          <w:rFonts w:ascii="Times New Roman" w:hAnsi="Times New Roman"/>
          <w:sz w:val="24"/>
        </w:rPr>
        <w:t xml:space="preserve"> 8</w:t>
      </w:r>
      <w:r>
        <w:rPr>
          <w:rFonts w:ascii="Times New Roman" w:hAnsi="Times New Roman"/>
          <w:sz w:val="24"/>
        </w:rPr>
        <w:t xml:space="preserve">, </w:t>
      </w:r>
      <w:r w:rsidRPr="0046011D">
        <w:rPr>
          <w:rFonts w:ascii="Times New Roman" w:hAnsi="Times New Roman"/>
          <w:sz w:val="24"/>
        </w:rPr>
        <w:t xml:space="preserve">18-23. </w:t>
      </w:r>
    </w:p>
    <w:p w:rsidR="00C445B0" w:rsidRPr="0046011D" w:rsidRDefault="00C445B0" w:rsidP="00C445B0">
      <w:pPr>
        <w:rPr>
          <w:rFonts w:ascii="Times New Roman" w:hAnsi="Times New Roman"/>
          <w:sz w:val="24"/>
        </w:rPr>
      </w:pPr>
      <w:r w:rsidRPr="0046011D">
        <w:rPr>
          <w:rFonts w:ascii="Times New Roman" w:hAnsi="Times New Roman"/>
          <w:sz w:val="24"/>
        </w:rPr>
        <w:t xml:space="preserve">Bradbury, M., and </w:t>
      </w:r>
      <w:r>
        <w:rPr>
          <w:rFonts w:ascii="Times New Roman" w:hAnsi="Times New Roman"/>
          <w:sz w:val="24"/>
        </w:rPr>
        <w:t xml:space="preserve">T. </w:t>
      </w:r>
      <w:r w:rsidRPr="0046011D">
        <w:rPr>
          <w:rFonts w:ascii="Times New Roman" w:hAnsi="Times New Roman"/>
          <w:sz w:val="24"/>
        </w:rPr>
        <w:t xml:space="preserve">van </w:t>
      </w:r>
      <w:proofErr w:type="spellStart"/>
      <w:r w:rsidRPr="0046011D">
        <w:rPr>
          <w:rFonts w:ascii="Times New Roman" w:hAnsi="Times New Roman"/>
          <w:sz w:val="24"/>
        </w:rPr>
        <w:t>Zijl</w:t>
      </w:r>
      <w:proofErr w:type="spellEnd"/>
      <w:r w:rsidRPr="0046011D">
        <w:rPr>
          <w:rFonts w:ascii="Times New Roman" w:hAnsi="Times New Roman"/>
          <w:sz w:val="24"/>
        </w:rPr>
        <w:t>, 2006</w:t>
      </w:r>
      <w:r>
        <w:rPr>
          <w:rFonts w:ascii="Times New Roman" w:hAnsi="Times New Roman"/>
          <w:sz w:val="24"/>
        </w:rPr>
        <w:t>,</w:t>
      </w:r>
      <w:r w:rsidRPr="0046011D">
        <w:rPr>
          <w:rFonts w:ascii="Times New Roman" w:hAnsi="Times New Roman"/>
          <w:sz w:val="24"/>
        </w:rPr>
        <w:t xml:space="preserve"> Due process and the </w:t>
      </w:r>
      <w:r>
        <w:rPr>
          <w:rFonts w:ascii="Times New Roman" w:hAnsi="Times New Roman"/>
          <w:sz w:val="24"/>
        </w:rPr>
        <w:t>adoption of IFRS in New Zealand,</w:t>
      </w:r>
      <w:r w:rsidRPr="0046011D">
        <w:rPr>
          <w:rFonts w:ascii="Times New Roman" w:hAnsi="Times New Roman"/>
          <w:sz w:val="24"/>
        </w:rPr>
        <w:t xml:space="preserve"> </w:t>
      </w:r>
      <w:r w:rsidRPr="0046011D">
        <w:rPr>
          <w:rFonts w:ascii="Times New Roman" w:hAnsi="Times New Roman"/>
          <w:i/>
          <w:sz w:val="24"/>
        </w:rPr>
        <w:t>Australian Accounting Review</w:t>
      </w:r>
      <w:r w:rsidRPr="0046011D">
        <w:rPr>
          <w:rFonts w:ascii="Times New Roman" w:hAnsi="Times New Roman"/>
          <w:sz w:val="24"/>
        </w:rPr>
        <w:t xml:space="preserve"> 16, </w:t>
      </w:r>
      <w:proofErr w:type="gramStart"/>
      <w:r w:rsidRPr="0046011D">
        <w:rPr>
          <w:rFonts w:ascii="Times New Roman" w:hAnsi="Times New Roman"/>
          <w:sz w:val="24"/>
        </w:rPr>
        <w:t>86</w:t>
      </w:r>
      <w:proofErr w:type="gramEnd"/>
      <w:r w:rsidRPr="0046011D">
        <w:rPr>
          <w:rFonts w:ascii="Times New Roman" w:hAnsi="Times New Roman"/>
          <w:sz w:val="24"/>
        </w:rPr>
        <w:t>-94.</w:t>
      </w:r>
    </w:p>
    <w:p w:rsidR="00C445B0" w:rsidRPr="0046011D" w:rsidRDefault="00C445B0" w:rsidP="00C445B0">
      <w:pPr>
        <w:rPr>
          <w:rFonts w:ascii="Times New Roman" w:hAnsi="Times New Roman"/>
          <w:sz w:val="24"/>
        </w:rPr>
      </w:pPr>
      <w:r w:rsidRPr="0046011D">
        <w:rPr>
          <w:rFonts w:ascii="Times New Roman" w:hAnsi="Times New Roman"/>
          <w:sz w:val="24"/>
        </w:rPr>
        <w:t xml:space="preserve">Bradbury, M.E., and </w:t>
      </w:r>
      <w:r>
        <w:rPr>
          <w:rFonts w:ascii="Times New Roman" w:hAnsi="Times New Roman"/>
          <w:sz w:val="24"/>
        </w:rPr>
        <w:t xml:space="preserve">T. </w:t>
      </w:r>
      <w:r w:rsidRPr="0046011D">
        <w:rPr>
          <w:rFonts w:ascii="Times New Roman" w:hAnsi="Times New Roman"/>
          <w:sz w:val="24"/>
        </w:rPr>
        <w:t xml:space="preserve">van </w:t>
      </w:r>
      <w:proofErr w:type="spellStart"/>
      <w:r w:rsidRPr="0046011D">
        <w:rPr>
          <w:rFonts w:ascii="Times New Roman" w:hAnsi="Times New Roman"/>
          <w:sz w:val="24"/>
        </w:rPr>
        <w:t>Zijl</w:t>
      </w:r>
      <w:proofErr w:type="spellEnd"/>
      <w:r w:rsidRPr="0046011D">
        <w:rPr>
          <w:rFonts w:ascii="Times New Roman" w:hAnsi="Times New Roman"/>
          <w:sz w:val="24"/>
        </w:rPr>
        <w:t>, 2007</w:t>
      </w:r>
      <w:r>
        <w:rPr>
          <w:rFonts w:ascii="Times New Roman" w:hAnsi="Times New Roman"/>
          <w:sz w:val="24"/>
        </w:rPr>
        <w:t>,</w:t>
      </w:r>
      <w:r w:rsidRPr="0046011D">
        <w:rPr>
          <w:rFonts w:ascii="Times New Roman" w:hAnsi="Times New Roman"/>
          <w:sz w:val="24"/>
        </w:rPr>
        <w:t xml:space="preserve"> International Financial Reporting Standards and New Zealand – loss of sector</w:t>
      </w:r>
      <w:r>
        <w:rPr>
          <w:rFonts w:ascii="Times New Roman" w:hAnsi="Times New Roman"/>
          <w:sz w:val="24"/>
        </w:rPr>
        <w:t xml:space="preserve"> neutrality,</w:t>
      </w:r>
      <w:r w:rsidRPr="0046011D">
        <w:rPr>
          <w:rFonts w:ascii="Times New Roman" w:hAnsi="Times New Roman"/>
          <w:sz w:val="24"/>
        </w:rPr>
        <w:t xml:space="preserve"> </w:t>
      </w:r>
      <w:r w:rsidRPr="0046011D">
        <w:rPr>
          <w:rFonts w:ascii="Times New Roman" w:hAnsi="Times New Roman"/>
          <w:i/>
          <w:sz w:val="24"/>
        </w:rPr>
        <w:t>Research in Accounting Regulation</w:t>
      </w:r>
      <w:r w:rsidRPr="0046011D">
        <w:rPr>
          <w:rFonts w:ascii="Times New Roman" w:hAnsi="Times New Roman"/>
          <w:sz w:val="24"/>
        </w:rPr>
        <w:t xml:space="preserve"> 19, 37-54.</w:t>
      </w:r>
    </w:p>
    <w:p w:rsidR="008042D5" w:rsidRPr="008042D5" w:rsidRDefault="008042D5" w:rsidP="008042D5">
      <w:pPr>
        <w:rPr>
          <w:rFonts w:ascii="Times New Roman" w:hAnsi="Times New Roman" w:cs="Times New Roman"/>
          <w:sz w:val="24"/>
          <w:szCs w:val="24"/>
          <w:lang w:val="en-NZ" w:bidi="ar-SA"/>
        </w:rPr>
      </w:pPr>
      <w:proofErr w:type="spellStart"/>
      <w:r w:rsidRPr="008042D5">
        <w:rPr>
          <w:rFonts w:ascii="Times New Roman" w:hAnsi="Times New Roman" w:cs="Times New Roman"/>
          <w:sz w:val="24"/>
          <w:szCs w:val="24"/>
          <w:lang w:val="en-NZ" w:bidi="ar-SA"/>
        </w:rPr>
        <w:t>Byard</w:t>
      </w:r>
      <w:proofErr w:type="spellEnd"/>
      <w:r w:rsidRPr="008042D5">
        <w:rPr>
          <w:rFonts w:ascii="Times New Roman" w:hAnsi="Times New Roman" w:cs="Times New Roman"/>
          <w:sz w:val="24"/>
          <w:szCs w:val="24"/>
          <w:lang w:val="en-NZ" w:bidi="ar-SA"/>
        </w:rPr>
        <w:t xml:space="preserve">, D., </w:t>
      </w:r>
      <w:r w:rsidR="00D07852">
        <w:rPr>
          <w:rFonts w:ascii="Times New Roman" w:hAnsi="Times New Roman" w:cs="Times New Roman"/>
          <w:sz w:val="24"/>
          <w:szCs w:val="24"/>
          <w:lang w:val="en-NZ" w:bidi="ar-SA"/>
        </w:rPr>
        <w:t xml:space="preserve">Y. </w:t>
      </w:r>
      <w:r w:rsidRPr="008042D5">
        <w:rPr>
          <w:rFonts w:ascii="Times New Roman" w:hAnsi="Times New Roman" w:cs="Times New Roman"/>
          <w:sz w:val="24"/>
          <w:szCs w:val="24"/>
          <w:lang w:val="en-NZ" w:bidi="ar-SA"/>
        </w:rPr>
        <w:t>Li</w:t>
      </w:r>
      <w:r>
        <w:rPr>
          <w:rFonts w:ascii="Times New Roman" w:hAnsi="Times New Roman" w:cs="Times New Roman"/>
          <w:sz w:val="24"/>
          <w:szCs w:val="24"/>
          <w:lang w:val="en-NZ" w:bidi="ar-SA"/>
        </w:rPr>
        <w:t xml:space="preserve"> and</w:t>
      </w:r>
      <w:r w:rsidR="00D07852">
        <w:rPr>
          <w:rFonts w:ascii="Times New Roman" w:hAnsi="Times New Roman" w:cs="Times New Roman"/>
          <w:sz w:val="24"/>
          <w:szCs w:val="24"/>
          <w:lang w:val="en-NZ" w:bidi="ar-SA"/>
        </w:rPr>
        <w:t>,</w:t>
      </w:r>
      <w:r>
        <w:rPr>
          <w:rFonts w:ascii="Times New Roman" w:hAnsi="Times New Roman" w:cs="Times New Roman"/>
          <w:sz w:val="24"/>
          <w:szCs w:val="24"/>
          <w:lang w:val="en-NZ" w:bidi="ar-SA"/>
        </w:rPr>
        <w:t xml:space="preserve"> </w:t>
      </w:r>
      <w:proofErr w:type="spellStart"/>
      <w:r w:rsidR="00D07852">
        <w:rPr>
          <w:rFonts w:ascii="Times New Roman" w:hAnsi="Times New Roman" w:cs="Times New Roman"/>
          <w:sz w:val="24"/>
          <w:szCs w:val="24"/>
          <w:lang w:val="en-NZ" w:bidi="ar-SA"/>
        </w:rPr>
        <w:t>Y.</w:t>
      </w:r>
      <w:r>
        <w:rPr>
          <w:rFonts w:ascii="Times New Roman" w:hAnsi="Times New Roman" w:cs="Times New Roman"/>
          <w:sz w:val="24"/>
          <w:szCs w:val="24"/>
          <w:lang w:val="en-NZ" w:bidi="ar-SA"/>
        </w:rPr>
        <w:t>Lu</w:t>
      </w:r>
      <w:proofErr w:type="spellEnd"/>
      <w:r>
        <w:rPr>
          <w:rFonts w:ascii="Times New Roman" w:hAnsi="Times New Roman" w:cs="Times New Roman"/>
          <w:sz w:val="24"/>
          <w:szCs w:val="24"/>
          <w:lang w:val="en-NZ" w:bidi="ar-SA"/>
        </w:rPr>
        <w:t xml:space="preserve">, </w:t>
      </w:r>
      <w:r w:rsidRPr="008042D5">
        <w:rPr>
          <w:rFonts w:ascii="Times New Roman" w:hAnsi="Times New Roman" w:cs="Times New Roman"/>
          <w:sz w:val="24"/>
          <w:szCs w:val="24"/>
          <w:lang w:val="en-NZ" w:bidi="ar-SA"/>
        </w:rPr>
        <w:t>2011</w:t>
      </w:r>
      <w:r>
        <w:rPr>
          <w:rFonts w:ascii="Times New Roman" w:hAnsi="Times New Roman" w:cs="Times New Roman"/>
          <w:sz w:val="24"/>
          <w:szCs w:val="24"/>
          <w:lang w:val="en-NZ" w:bidi="ar-SA"/>
        </w:rPr>
        <w:t>,</w:t>
      </w:r>
      <w:r w:rsidRPr="008042D5">
        <w:rPr>
          <w:rFonts w:ascii="Times New Roman" w:hAnsi="Times New Roman" w:cs="Times New Roman"/>
          <w:sz w:val="24"/>
          <w:szCs w:val="24"/>
          <w:lang w:val="en-NZ" w:bidi="ar-SA"/>
        </w:rPr>
        <w:t xml:space="preserve"> The Effect of Mandatory IFRS Adoption on Financial Analysts' Information Environment</w:t>
      </w:r>
      <w:r>
        <w:rPr>
          <w:rFonts w:ascii="Times New Roman" w:hAnsi="Times New Roman" w:cs="Times New Roman"/>
          <w:sz w:val="24"/>
          <w:szCs w:val="24"/>
          <w:lang w:val="en-NZ" w:bidi="ar-SA"/>
        </w:rPr>
        <w:t>,</w:t>
      </w:r>
      <w:r w:rsidRPr="008042D5">
        <w:rPr>
          <w:rFonts w:ascii="Times New Roman" w:hAnsi="Times New Roman" w:cs="Times New Roman"/>
          <w:sz w:val="24"/>
          <w:szCs w:val="24"/>
          <w:lang w:val="en-NZ" w:bidi="ar-SA"/>
        </w:rPr>
        <w:t xml:space="preserve"> </w:t>
      </w:r>
      <w:r w:rsidRPr="008042D5">
        <w:rPr>
          <w:rFonts w:ascii="Times New Roman" w:hAnsi="Times New Roman" w:cs="Times New Roman"/>
          <w:i/>
          <w:sz w:val="24"/>
          <w:szCs w:val="24"/>
          <w:lang w:val="en-NZ" w:bidi="ar-SA"/>
        </w:rPr>
        <w:t>Journal of Accounting Research</w:t>
      </w:r>
      <w:r w:rsidRPr="008042D5">
        <w:rPr>
          <w:rFonts w:ascii="Times New Roman" w:hAnsi="Times New Roman" w:cs="Times New Roman"/>
          <w:sz w:val="24"/>
          <w:szCs w:val="24"/>
          <w:lang w:val="en-NZ" w:bidi="ar-SA"/>
        </w:rPr>
        <w:t xml:space="preserve"> 49: 69-96.</w:t>
      </w:r>
    </w:p>
    <w:p w:rsidR="00C445B0" w:rsidRDefault="00C445B0" w:rsidP="00C445B0">
      <w:pPr>
        <w:rPr>
          <w:rFonts w:ascii="Times New Roman" w:hAnsi="Times New Roman" w:cs="Times New Roman"/>
          <w:sz w:val="24"/>
          <w:szCs w:val="24"/>
          <w:lang w:val="en-NZ" w:bidi="ar-SA"/>
        </w:rPr>
      </w:pPr>
      <w:r>
        <w:rPr>
          <w:rFonts w:ascii="Times New Roman" w:hAnsi="Times New Roman" w:cs="Times New Roman"/>
          <w:sz w:val="24"/>
          <w:szCs w:val="24"/>
          <w:lang w:val="en-NZ" w:bidi="ar-SA"/>
        </w:rPr>
        <w:lastRenderedPageBreak/>
        <w:t xml:space="preserve">Cairns, D., D. </w:t>
      </w:r>
      <w:proofErr w:type="spellStart"/>
      <w:r>
        <w:rPr>
          <w:rFonts w:ascii="Times New Roman" w:hAnsi="Times New Roman" w:cs="Times New Roman"/>
          <w:sz w:val="24"/>
          <w:szCs w:val="24"/>
          <w:lang w:val="en-NZ" w:bidi="ar-SA"/>
        </w:rPr>
        <w:t>Massoudi</w:t>
      </w:r>
      <w:proofErr w:type="spellEnd"/>
      <w:r>
        <w:rPr>
          <w:rFonts w:ascii="Times New Roman" w:hAnsi="Times New Roman" w:cs="Times New Roman"/>
          <w:sz w:val="24"/>
          <w:szCs w:val="24"/>
          <w:lang w:val="en-NZ" w:bidi="ar-SA"/>
        </w:rPr>
        <w:t>,</w:t>
      </w:r>
      <w:r w:rsidRPr="00D17A00">
        <w:rPr>
          <w:rFonts w:ascii="Times New Roman" w:hAnsi="Times New Roman" w:cs="Times New Roman"/>
          <w:sz w:val="24"/>
          <w:szCs w:val="24"/>
          <w:lang w:val="en-NZ" w:bidi="ar-SA"/>
        </w:rPr>
        <w:t xml:space="preserve"> </w:t>
      </w:r>
      <w:r>
        <w:rPr>
          <w:rFonts w:ascii="Times New Roman" w:hAnsi="Times New Roman" w:cs="Times New Roman"/>
          <w:sz w:val="24"/>
          <w:szCs w:val="24"/>
          <w:lang w:val="en-NZ" w:bidi="ar-SA"/>
        </w:rPr>
        <w:t>R</w:t>
      </w:r>
      <w:r w:rsidRPr="00625B38">
        <w:rPr>
          <w:rFonts w:ascii="Times New Roman" w:hAnsi="Times New Roman" w:cs="Times New Roman"/>
          <w:sz w:val="24"/>
          <w:szCs w:val="24"/>
          <w:lang w:val="en-NZ" w:bidi="ar-SA"/>
        </w:rPr>
        <w:t>.</w:t>
      </w:r>
      <w:r>
        <w:rPr>
          <w:rFonts w:ascii="Times New Roman" w:hAnsi="Times New Roman" w:cs="Times New Roman"/>
          <w:sz w:val="24"/>
          <w:szCs w:val="24"/>
          <w:lang w:val="en-NZ" w:bidi="ar-SA"/>
        </w:rPr>
        <w:t xml:space="preserve"> </w:t>
      </w:r>
      <w:proofErr w:type="spellStart"/>
      <w:r>
        <w:rPr>
          <w:rFonts w:ascii="Times New Roman" w:hAnsi="Times New Roman" w:cs="Times New Roman"/>
          <w:sz w:val="24"/>
          <w:szCs w:val="24"/>
          <w:lang w:val="en-NZ" w:bidi="ar-SA"/>
        </w:rPr>
        <w:t>Taplin</w:t>
      </w:r>
      <w:proofErr w:type="spellEnd"/>
      <w:r>
        <w:rPr>
          <w:rFonts w:ascii="Times New Roman" w:hAnsi="Times New Roman" w:cs="Times New Roman"/>
          <w:sz w:val="24"/>
          <w:szCs w:val="24"/>
          <w:lang w:val="en-NZ" w:bidi="ar-SA"/>
        </w:rPr>
        <w:t xml:space="preserve">, and, A. Tarca, </w:t>
      </w:r>
      <w:r w:rsidRPr="00D17A00">
        <w:rPr>
          <w:rFonts w:ascii="Times New Roman" w:hAnsi="Times New Roman" w:cs="Times New Roman"/>
          <w:sz w:val="24"/>
          <w:szCs w:val="24"/>
          <w:lang w:val="en-NZ" w:bidi="ar-SA"/>
        </w:rPr>
        <w:t>2011</w:t>
      </w:r>
      <w:r>
        <w:rPr>
          <w:rFonts w:ascii="Times New Roman" w:hAnsi="Times New Roman" w:cs="Times New Roman"/>
          <w:sz w:val="24"/>
          <w:szCs w:val="24"/>
          <w:lang w:val="en-NZ" w:bidi="ar-SA"/>
        </w:rPr>
        <w:t>,</w:t>
      </w:r>
      <w:r w:rsidRPr="00D17A00">
        <w:rPr>
          <w:rFonts w:ascii="Times New Roman" w:hAnsi="Times New Roman" w:cs="Times New Roman"/>
          <w:sz w:val="24"/>
          <w:szCs w:val="24"/>
          <w:lang w:val="en-NZ" w:bidi="ar-SA"/>
        </w:rPr>
        <w:t xml:space="preserve"> IFRS fair value measurement and accounting policy choice in t</w:t>
      </w:r>
      <w:r>
        <w:rPr>
          <w:rFonts w:ascii="Times New Roman" w:hAnsi="Times New Roman" w:cs="Times New Roman"/>
          <w:sz w:val="24"/>
          <w:szCs w:val="24"/>
          <w:lang w:val="en-NZ" w:bidi="ar-SA"/>
        </w:rPr>
        <w:t>he United Kingdom and Australia,</w:t>
      </w:r>
      <w:r w:rsidRPr="00D17A00">
        <w:rPr>
          <w:rFonts w:ascii="Times New Roman" w:hAnsi="Times New Roman" w:cs="Times New Roman"/>
          <w:sz w:val="24"/>
          <w:szCs w:val="24"/>
          <w:lang w:val="en-NZ" w:bidi="ar-SA"/>
        </w:rPr>
        <w:t xml:space="preserve"> </w:t>
      </w:r>
      <w:r w:rsidRPr="00B53B2B">
        <w:rPr>
          <w:rFonts w:ascii="Times New Roman" w:hAnsi="Times New Roman" w:cs="Times New Roman"/>
          <w:i/>
          <w:sz w:val="24"/>
          <w:szCs w:val="24"/>
          <w:lang w:val="en-NZ" w:bidi="ar-SA"/>
        </w:rPr>
        <w:t>The British Accounting Review</w:t>
      </w:r>
      <w:r w:rsidRPr="00D17A00">
        <w:rPr>
          <w:rFonts w:ascii="Times New Roman" w:hAnsi="Times New Roman" w:cs="Times New Roman"/>
          <w:sz w:val="24"/>
          <w:szCs w:val="24"/>
          <w:lang w:val="en-NZ" w:bidi="ar-SA"/>
        </w:rPr>
        <w:t xml:space="preserve"> </w:t>
      </w:r>
      <w:r w:rsidRPr="00D17A00">
        <w:rPr>
          <w:rFonts w:ascii="Times New Roman" w:hAnsi="Times New Roman" w:cs="Times New Roman"/>
          <w:bCs/>
          <w:sz w:val="24"/>
          <w:szCs w:val="24"/>
          <w:lang w:val="en-NZ" w:bidi="ar-SA"/>
        </w:rPr>
        <w:t>43</w:t>
      </w:r>
      <w:r>
        <w:rPr>
          <w:rFonts w:ascii="Times New Roman" w:hAnsi="Times New Roman" w:cs="Times New Roman"/>
          <w:sz w:val="24"/>
          <w:szCs w:val="24"/>
          <w:lang w:val="en-NZ" w:bidi="ar-SA"/>
        </w:rPr>
        <w:t>,</w:t>
      </w:r>
      <w:r w:rsidRPr="00D17A00">
        <w:rPr>
          <w:rFonts w:ascii="Times New Roman" w:hAnsi="Times New Roman" w:cs="Times New Roman"/>
          <w:sz w:val="24"/>
          <w:szCs w:val="24"/>
          <w:lang w:val="en-NZ" w:bidi="ar-SA"/>
        </w:rPr>
        <w:t xml:space="preserve"> 1-21.</w:t>
      </w:r>
    </w:p>
    <w:p w:rsidR="000D360F" w:rsidRDefault="00C445B0" w:rsidP="000D360F">
      <w:pPr>
        <w:rPr>
          <w:rFonts w:ascii="Times New Roman" w:hAnsi="Times New Roman" w:cs="Times New Roman"/>
          <w:sz w:val="24"/>
          <w:szCs w:val="24"/>
          <w:lang w:val="en-NZ" w:bidi="ar-SA"/>
        </w:rPr>
      </w:pPr>
      <w:proofErr w:type="spellStart"/>
      <w:r w:rsidRPr="0046011D">
        <w:rPr>
          <w:rFonts w:ascii="Times New Roman" w:hAnsi="Times New Roman"/>
          <w:sz w:val="24"/>
        </w:rPr>
        <w:t>Cavana</w:t>
      </w:r>
      <w:proofErr w:type="spellEnd"/>
      <w:r w:rsidRPr="0046011D">
        <w:rPr>
          <w:rFonts w:ascii="Times New Roman" w:hAnsi="Times New Roman"/>
          <w:sz w:val="24"/>
        </w:rPr>
        <w:t xml:space="preserve">, R. Y., </w:t>
      </w:r>
      <w:r>
        <w:rPr>
          <w:rFonts w:ascii="Times New Roman" w:hAnsi="Times New Roman"/>
          <w:sz w:val="24"/>
        </w:rPr>
        <w:t xml:space="preserve">B. L. </w:t>
      </w:r>
      <w:proofErr w:type="spellStart"/>
      <w:r w:rsidRPr="0046011D">
        <w:rPr>
          <w:rFonts w:ascii="Times New Roman" w:hAnsi="Times New Roman"/>
          <w:sz w:val="24"/>
        </w:rPr>
        <w:t>Delahaye</w:t>
      </w:r>
      <w:proofErr w:type="spellEnd"/>
      <w:r w:rsidRPr="0046011D">
        <w:rPr>
          <w:rFonts w:ascii="Times New Roman" w:hAnsi="Times New Roman"/>
          <w:sz w:val="24"/>
        </w:rPr>
        <w:t xml:space="preserve">, and </w:t>
      </w:r>
      <w:r>
        <w:rPr>
          <w:rFonts w:ascii="Times New Roman" w:hAnsi="Times New Roman"/>
          <w:sz w:val="24"/>
        </w:rPr>
        <w:t xml:space="preserve">U. </w:t>
      </w:r>
      <w:proofErr w:type="spellStart"/>
      <w:r w:rsidRPr="0046011D">
        <w:rPr>
          <w:rFonts w:ascii="Times New Roman" w:hAnsi="Times New Roman"/>
          <w:sz w:val="24"/>
        </w:rPr>
        <w:t>Sekaran</w:t>
      </w:r>
      <w:proofErr w:type="spellEnd"/>
      <w:r w:rsidRPr="0046011D">
        <w:rPr>
          <w:rFonts w:ascii="Times New Roman" w:hAnsi="Times New Roman"/>
          <w:sz w:val="24"/>
        </w:rPr>
        <w:t>, 2001</w:t>
      </w:r>
      <w:r>
        <w:rPr>
          <w:rFonts w:ascii="Times New Roman" w:hAnsi="Times New Roman"/>
          <w:sz w:val="24"/>
        </w:rPr>
        <w:t>,</w:t>
      </w:r>
      <w:r w:rsidRPr="0046011D">
        <w:rPr>
          <w:rFonts w:ascii="Times New Roman" w:hAnsi="Times New Roman"/>
          <w:sz w:val="24"/>
        </w:rPr>
        <w:t xml:space="preserve"> </w:t>
      </w:r>
      <w:r w:rsidRPr="0046011D">
        <w:rPr>
          <w:rFonts w:ascii="Times New Roman" w:hAnsi="Times New Roman"/>
          <w:i/>
          <w:sz w:val="24"/>
        </w:rPr>
        <w:t>Applied Business Research: Qualitative and Quantitative Methods</w:t>
      </w:r>
      <w:r>
        <w:rPr>
          <w:rFonts w:ascii="Times New Roman" w:hAnsi="Times New Roman"/>
          <w:sz w:val="24"/>
        </w:rPr>
        <w:t>,</w:t>
      </w:r>
      <w:r w:rsidRPr="0046011D">
        <w:rPr>
          <w:rFonts w:ascii="Times New Roman" w:hAnsi="Times New Roman"/>
          <w:sz w:val="24"/>
        </w:rPr>
        <w:t xml:space="preserve"> Milton, Queensland: John Wiley and Sons.</w:t>
      </w:r>
      <w:r w:rsidR="000D360F" w:rsidRPr="000D360F">
        <w:rPr>
          <w:rFonts w:ascii="Times New Roman" w:hAnsi="Times New Roman" w:cs="Times New Roman"/>
          <w:sz w:val="24"/>
          <w:szCs w:val="24"/>
          <w:lang w:val="en-NZ" w:bidi="ar-SA"/>
        </w:rPr>
        <w:t xml:space="preserve"> </w:t>
      </w:r>
    </w:p>
    <w:p w:rsidR="000D360F" w:rsidRPr="00B11B74" w:rsidRDefault="000D360F" w:rsidP="000D360F">
      <w:pPr>
        <w:rPr>
          <w:rFonts w:ascii="Times New Roman" w:hAnsi="Times New Roman" w:cs="Times New Roman"/>
          <w:sz w:val="24"/>
          <w:szCs w:val="24"/>
          <w:lang w:val="en-NZ" w:bidi="ar-SA"/>
        </w:rPr>
      </w:pPr>
      <w:r w:rsidRPr="00B11B74">
        <w:rPr>
          <w:rFonts w:ascii="Times New Roman" w:hAnsi="Times New Roman" w:cs="Times New Roman"/>
          <w:sz w:val="24"/>
          <w:szCs w:val="24"/>
          <w:lang w:val="en-NZ" w:bidi="ar-SA"/>
        </w:rPr>
        <w:t>C</w:t>
      </w:r>
      <w:r>
        <w:rPr>
          <w:rFonts w:ascii="Times New Roman" w:hAnsi="Times New Roman" w:cs="Times New Roman"/>
          <w:sz w:val="24"/>
          <w:szCs w:val="24"/>
          <w:lang w:val="en-NZ" w:bidi="ar-SA"/>
        </w:rPr>
        <w:t>FERF</w:t>
      </w:r>
      <w:r w:rsidRPr="00B11B74">
        <w:rPr>
          <w:rFonts w:ascii="Times New Roman" w:hAnsi="Times New Roman" w:cs="Times New Roman"/>
          <w:sz w:val="24"/>
          <w:szCs w:val="24"/>
          <w:lang w:val="en-NZ" w:bidi="ar-SA"/>
        </w:rPr>
        <w:t xml:space="preserve">, 2013, </w:t>
      </w:r>
      <w:proofErr w:type="gramStart"/>
      <w:r>
        <w:rPr>
          <w:rFonts w:ascii="Times New Roman" w:hAnsi="Times New Roman" w:cs="Times New Roman"/>
          <w:i/>
          <w:sz w:val="24"/>
          <w:szCs w:val="24"/>
          <w:lang w:val="en-NZ" w:bidi="ar-SA"/>
        </w:rPr>
        <w:t>The</w:t>
      </w:r>
      <w:proofErr w:type="gramEnd"/>
      <w:r>
        <w:rPr>
          <w:rFonts w:ascii="Times New Roman" w:hAnsi="Times New Roman" w:cs="Times New Roman"/>
          <w:i/>
          <w:sz w:val="24"/>
          <w:szCs w:val="24"/>
          <w:lang w:val="en-NZ" w:bidi="ar-SA"/>
        </w:rPr>
        <w:t xml:space="preserve"> Cost o</w:t>
      </w:r>
      <w:r w:rsidRPr="00B11B74">
        <w:rPr>
          <w:rFonts w:ascii="Times New Roman" w:hAnsi="Times New Roman" w:cs="Times New Roman"/>
          <w:i/>
          <w:sz w:val="24"/>
          <w:szCs w:val="24"/>
          <w:lang w:val="en-NZ" w:bidi="ar-SA"/>
        </w:rPr>
        <w:t>f IFRS</w:t>
      </w:r>
      <w:r>
        <w:rPr>
          <w:rFonts w:ascii="Times New Roman" w:hAnsi="Times New Roman" w:cs="Times New Roman"/>
          <w:i/>
          <w:sz w:val="24"/>
          <w:szCs w:val="24"/>
          <w:lang w:val="en-NZ" w:bidi="ar-SA"/>
        </w:rPr>
        <w:t xml:space="preserve"> Transition i</w:t>
      </w:r>
      <w:r w:rsidRPr="00B11B74">
        <w:rPr>
          <w:rFonts w:ascii="Times New Roman" w:hAnsi="Times New Roman" w:cs="Times New Roman"/>
          <w:i/>
          <w:sz w:val="24"/>
          <w:szCs w:val="24"/>
          <w:lang w:val="en-NZ" w:bidi="ar-SA"/>
        </w:rPr>
        <w:t>n Canada</w:t>
      </w:r>
      <w:r w:rsidRPr="00B11B74">
        <w:rPr>
          <w:rFonts w:ascii="Times New Roman" w:hAnsi="Times New Roman" w:cs="Times New Roman"/>
          <w:sz w:val="24"/>
          <w:szCs w:val="24"/>
          <w:lang w:val="en-NZ" w:bidi="ar-SA"/>
        </w:rPr>
        <w:t>, Canadian Financial Executives Research Foundation</w:t>
      </w:r>
      <w:r>
        <w:rPr>
          <w:rFonts w:ascii="Times New Roman" w:hAnsi="Times New Roman" w:cs="Times New Roman"/>
          <w:sz w:val="24"/>
          <w:szCs w:val="24"/>
          <w:lang w:val="en-NZ" w:bidi="ar-SA"/>
        </w:rPr>
        <w:t xml:space="preserve">, </w:t>
      </w:r>
      <w:r w:rsidRPr="00B11B74">
        <w:rPr>
          <w:rFonts w:ascii="Times New Roman" w:hAnsi="Times New Roman" w:cs="Times New Roman"/>
          <w:sz w:val="24"/>
          <w:szCs w:val="24"/>
          <w:lang w:val="en-NZ" w:bidi="ar-SA"/>
        </w:rPr>
        <w:t>Toronto.</w:t>
      </w:r>
    </w:p>
    <w:p w:rsidR="00C445B0" w:rsidRDefault="00C445B0" w:rsidP="00C445B0">
      <w:pPr>
        <w:rPr>
          <w:rFonts w:ascii="Times New Roman" w:hAnsi="Times New Roman"/>
          <w:sz w:val="24"/>
        </w:rPr>
      </w:pPr>
      <w:r>
        <w:rPr>
          <w:rFonts w:ascii="Times New Roman" w:hAnsi="Times New Roman"/>
          <w:sz w:val="24"/>
        </w:rPr>
        <w:t xml:space="preserve">Christensen, H.B., </w:t>
      </w:r>
      <w:r w:rsidRPr="0046011D">
        <w:rPr>
          <w:rFonts w:ascii="Times New Roman" w:hAnsi="Times New Roman"/>
          <w:sz w:val="24"/>
        </w:rPr>
        <w:t>2012</w:t>
      </w:r>
      <w:r>
        <w:rPr>
          <w:rFonts w:ascii="Times New Roman" w:hAnsi="Times New Roman"/>
          <w:sz w:val="24"/>
        </w:rPr>
        <w:t>,</w:t>
      </w:r>
      <w:r w:rsidRPr="0046011D">
        <w:rPr>
          <w:rFonts w:ascii="Times New Roman" w:hAnsi="Times New Roman"/>
          <w:sz w:val="24"/>
        </w:rPr>
        <w:t xml:space="preserve"> </w:t>
      </w:r>
      <w:proofErr w:type="gramStart"/>
      <w:r w:rsidRPr="0046011D">
        <w:rPr>
          <w:rFonts w:ascii="Times New Roman" w:hAnsi="Times New Roman"/>
          <w:sz w:val="24"/>
        </w:rPr>
        <w:t>Why</w:t>
      </w:r>
      <w:proofErr w:type="gramEnd"/>
      <w:r w:rsidRPr="0046011D">
        <w:rPr>
          <w:rFonts w:ascii="Times New Roman" w:hAnsi="Times New Roman"/>
          <w:sz w:val="24"/>
        </w:rPr>
        <w:t xml:space="preserve"> do firms rarely adopt IFRS voluntarily?</w:t>
      </w:r>
      <w:r w:rsidR="006B14C5">
        <w:rPr>
          <w:rFonts w:ascii="Times New Roman" w:hAnsi="Times New Roman"/>
          <w:sz w:val="24"/>
        </w:rPr>
        <w:t xml:space="preserve"> Academics find significant benefits and the costs appear to be low</w:t>
      </w:r>
      <w:proofErr w:type="gramStart"/>
      <w:r>
        <w:rPr>
          <w:rFonts w:ascii="Times New Roman" w:hAnsi="Times New Roman"/>
          <w:sz w:val="24"/>
        </w:rPr>
        <w:t>,</w:t>
      </w:r>
      <w:r w:rsidRPr="0046011D">
        <w:rPr>
          <w:rFonts w:ascii="Times New Roman" w:hAnsi="Times New Roman"/>
          <w:sz w:val="24"/>
        </w:rPr>
        <w:t xml:space="preserve"> </w:t>
      </w:r>
      <w:r w:rsidR="00AA412C">
        <w:rPr>
          <w:rFonts w:ascii="Times New Roman" w:hAnsi="Times New Roman"/>
          <w:sz w:val="24"/>
        </w:rPr>
        <w:t xml:space="preserve"> </w:t>
      </w:r>
      <w:r w:rsidR="00B97F1B" w:rsidRPr="005853FA">
        <w:rPr>
          <w:rFonts w:ascii="Times New Roman" w:hAnsi="Times New Roman"/>
          <w:i/>
          <w:sz w:val="24"/>
        </w:rPr>
        <w:t>Review</w:t>
      </w:r>
      <w:proofErr w:type="gramEnd"/>
      <w:r w:rsidR="00B97F1B" w:rsidRPr="005853FA">
        <w:rPr>
          <w:rFonts w:ascii="Times New Roman" w:hAnsi="Times New Roman"/>
          <w:i/>
          <w:sz w:val="24"/>
        </w:rPr>
        <w:t xml:space="preserve"> of Accounting Studies</w:t>
      </w:r>
      <w:r w:rsidR="00AA412C">
        <w:rPr>
          <w:rFonts w:ascii="Times New Roman" w:hAnsi="Times New Roman"/>
          <w:sz w:val="24"/>
        </w:rPr>
        <w:t>, 17, 518 - 525</w:t>
      </w:r>
      <w:r w:rsidRPr="0046011D">
        <w:rPr>
          <w:rFonts w:ascii="Times New Roman" w:hAnsi="Times New Roman"/>
          <w:sz w:val="24"/>
        </w:rPr>
        <w:t>.</w:t>
      </w:r>
    </w:p>
    <w:p w:rsidR="00D07852" w:rsidRPr="0046011D" w:rsidRDefault="00D07852" w:rsidP="00C445B0">
      <w:pPr>
        <w:rPr>
          <w:rFonts w:ascii="Times New Roman" w:hAnsi="Times New Roman"/>
          <w:sz w:val="24"/>
        </w:rPr>
      </w:pPr>
      <w:r>
        <w:rPr>
          <w:rFonts w:ascii="Times New Roman" w:hAnsi="Times New Roman"/>
          <w:sz w:val="24"/>
        </w:rPr>
        <w:t xml:space="preserve">Christensen, H.B., L. Hail, and, C. </w:t>
      </w:r>
      <w:proofErr w:type="spellStart"/>
      <w:r>
        <w:rPr>
          <w:rFonts w:ascii="Times New Roman" w:hAnsi="Times New Roman"/>
          <w:sz w:val="24"/>
        </w:rPr>
        <w:t>Leuz</w:t>
      </w:r>
      <w:proofErr w:type="spellEnd"/>
      <w:r>
        <w:rPr>
          <w:rFonts w:ascii="Times New Roman" w:hAnsi="Times New Roman"/>
          <w:sz w:val="24"/>
        </w:rPr>
        <w:t xml:space="preserve">, </w:t>
      </w:r>
      <w:r w:rsidR="00AA412C">
        <w:rPr>
          <w:rFonts w:ascii="Times New Roman" w:hAnsi="Times New Roman"/>
          <w:sz w:val="24"/>
        </w:rPr>
        <w:t xml:space="preserve">2013, </w:t>
      </w:r>
      <w:r>
        <w:rPr>
          <w:rFonts w:ascii="Times New Roman" w:hAnsi="Times New Roman"/>
          <w:sz w:val="24"/>
        </w:rPr>
        <w:t xml:space="preserve">Mandatory IFRS reporting and changes in enforcement, </w:t>
      </w:r>
      <w:r w:rsidRPr="00D07852">
        <w:rPr>
          <w:rFonts w:ascii="Times New Roman" w:hAnsi="Times New Roman"/>
          <w:i/>
          <w:sz w:val="24"/>
        </w:rPr>
        <w:t>Journal of Accounting and Economics</w:t>
      </w:r>
      <w:r>
        <w:rPr>
          <w:rFonts w:ascii="Times New Roman" w:hAnsi="Times New Roman"/>
          <w:sz w:val="24"/>
        </w:rPr>
        <w:t>, 56, 147 - 177</w:t>
      </w:r>
    </w:p>
    <w:p w:rsidR="00C445B0" w:rsidRPr="0046011D" w:rsidRDefault="00C445B0" w:rsidP="00C445B0">
      <w:pPr>
        <w:rPr>
          <w:rFonts w:ascii="Times New Roman" w:hAnsi="Times New Roman"/>
          <w:sz w:val="24"/>
        </w:rPr>
      </w:pPr>
      <w:r w:rsidRPr="0046011D">
        <w:rPr>
          <w:rFonts w:ascii="Times New Roman" w:hAnsi="Times New Roman"/>
          <w:sz w:val="24"/>
        </w:rPr>
        <w:t xml:space="preserve">Christensen, H.B., </w:t>
      </w:r>
      <w:r>
        <w:rPr>
          <w:rFonts w:ascii="Times New Roman" w:hAnsi="Times New Roman"/>
          <w:sz w:val="24"/>
        </w:rPr>
        <w:t xml:space="preserve">E. </w:t>
      </w:r>
      <w:r w:rsidRPr="0046011D">
        <w:rPr>
          <w:rFonts w:ascii="Times New Roman" w:hAnsi="Times New Roman"/>
          <w:sz w:val="24"/>
        </w:rPr>
        <w:t xml:space="preserve">Lee, and </w:t>
      </w:r>
      <w:r>
        <w:rPr>
          <w:rFonts w:ascii="Times New Roman" w:hAnsi="Times New Roman"/>
          <w:sz w:val="24"/>
        </w:rPr>
        <w:t xml:space="preserve">M. </w:t>
      </w:r>
      <w:r w:rsidRPr="0046011D">
        <w:rPr>
          <w:rFonts w:ascii="Times New Roman" w:hAnsi="Times New Roman"/>
          <w:sz w:val="24"/>
        </w:rPr>
        <w:t>Walker, 2007</w:t>
      </w:r>
      <w:r>
        <w:rPr>
          <w:rFonts w:ascii="Times New Roman" w:hAnsi="Times New Roman"/>
          <w:sz w:val="24"/>
        </w:rPr>
        <w:t>,</w:t>
      </w:r>
      <w:r w:rsidRPr="0046011D">
        <w:rPr>
          <w:rFonts w:ascii="Times New Roman" w:hAnsi="Times New Roman"/>
          <w:sz w:val="24"/>
        </w:rPr>
        <w:t xml:space="preserve"> Cross-sectional variation in the economic consequences of international accounting harmonization: The case of ma</w:t>
      </w:r>
      <w:r>
        <w:rPr>
          <w:rFonts w:ascii="Times New Roman" w:hAnsi="Times New Roman"/>
          <w:sz w:val="24"/>
        </w:rPr>
        <w:t>ndatory IFRS adoption in the UK,</w:t>
      </w:r>
      <w:r w:rsidRPr="0046011D">
        <w:rPr>
          <w:rFonts w:ascii="Times New Roman" w:hAnsi="Times New Roman"/>
          <w:sz w:val="24"/>
        </w:rPr>
        <w:t xml:space="preserve"> </w:t>
      </w:r>
      <w:r w:rsidRPr="00535A9C">
        <w:rPr>
          <w:rFonts w:ascii="Times New Roman" w:hAnsi="Times New Roman"/>
          <w:i/>
          <w:sz w:val="24"/>
        </w:rPr>
        <w:t>The International Journal of Accounting</w:t>
      </w:r>
      <w:r w:rsidRPr="0046011D">
        <w:rPr>
          <w:rFonts w:ascii="Times New Roman" w:hAnsi="Times New Roman"/>
          <w:sz w:val="24"/>
        </w:rPr>
        <w:t xml:space="preserve"> 42, 341 - 379.</w:t>
      </w:r>
    </w:p>
    <w:p w:rsidR="00C445B0" w:rsidRDefault="00C445B0" w:rsidP="00C445B0">
      <w:pPr>
        <w:rPr>
          <w:rFonts w:ascii="Times New Roman" w:hAnsi="Times New Roman"/>
          <w:sz w:val="24"/>
        </w:rPr>
      </w:pPr>
      <w:r w:rsidRPr="0046011D">
        <w:rPr>
          <w:rFonts w:ascii="Times New Roman" w:hAnsi="Times New Roman"/>
          <w:sz w:val="24"/>
        </w:rPr>
        <w:t xml:space="preserve">Christensen, H.B., </w:t>
      </w:r>
      <w:r>
        <w:rPr>
          <w:rFonts w:ascii="Times New Roman" w:hAnsi="Times New Roman"/>
          <w:sz w:val="24"/>
        </w:rPr>
        <w:t xml:space="preserve">E. </w:t>
      </w:r>
      <w:r w:rsidRPr="0046011D">
        <w:rPr>
          <w:rFonts w:ascii="Times New Roman" w:hAnsi="Times New Roman"/>
          <w:sz w:val="24"/>
        </w:rPr>
        <w:t xml:space="preserve">Lee, and </w:t>
      </w:r>
      <w:r>
        <w:rPr>
          <w:rFonts w:ascii="Times New Roman" w:hAnsi="Times New Roman"/>
          <w:sz w:val="24"/>
        </w:rPr>
        <w:t>M. Walker,</w:t>
      </w:r>
      <w:r w:rsidRPr="0046011D">
        <w:rPr>
          <w:rFonts w:ascii="Times New Roman" w:hAnsi="Times New Roman"/>
          <w:sz w:val="24"/>
        </w:rPr>
        <w:t xml:space="preserve"> 2009</w:t>
      </w:r>
      <w:r>
        <w:rPr>
          <w:rFonts w:ascii="Times New Roman" w:hAnsi="Times New Roman"/>
          <w:sz w:val="24"/>
        </w:rPr>
        <w:t>,</w:t>
      </w:r>
      <w:r w:rsidR="00E57A07">
        <w:rPr>
          <w:rFonts w:ascii="Times New Roman" w:hAnsi="Times New Roman"/>
          <w:sz w:val="24"/>
        </w:rPr>
        <w:t xml:space="preserve"> </w:t>
      </w:r>
      <w:proofErr w:type="gramStart"/>
      <w:r w:rsidR="00E57A07">
        <w:rPr>
          <w:rFonts w:ascii="Times New Roman" w:hAnsi="Times New Roman"/>
          <w:sz w:val="24"/>
        </w:rPr>
        <w:t>Do</w:t>
      </w:r>
      <w:proofErr w:type="gramEnd"/>
      <w:r w:rsidR="00E57A07">
        <w:rPr>
          <w:rFonts w:ascii="Times New Roman" w:hAnsi="Times New Roman"/>
          <w:sz w:val="24"/>
        </w:rPr>
        <w:t xml:space="preserve"> IFRS reconciliations convey i</w:t>
      </w:r>
      <w:r w:rsidRPr="0046011D">
        <w:rPr>
          <w:rFonts w:ascii="Times New Roman" w:hAnsi="Times New Roman"/>
          <w:sz w:val="24"/>
        </w:rPr>
        <w:t>nformation?</w:t>
      </w:r>
      <w:r w:rsidR="00E57A07">
        <w:rPr>
          <w:rFonts w:ascii="Times New Roman" w:hAnsi="Times New Roman"/>
          <w:sz w:val="24"/>
        </w:rPr>
        <w:t xml:space="preserve"> </w:t>
      </w:r>
      <w:proofErr w:type="gramStart"/>
      <w:r w:rsidR="00E57A07">
        <w:rPr>
          <w:rFonts w:ascii="Times New Roman" w:hAnsi="Times New Roman"/>
          <w:sz w:val="24"/>
        </w:rPr>
        <w:t>The effect of debt c</w:t>
      </w:r>
      <w:r>
        <w:rPr>
          <w:rFonts w:ascii="Times New Roman" w:hAnsi="Times New Roman"/>
          <w:sz w:val="24"/>
        </w:rPr>
        <w:t>ontracting,</w:t>
      </w:r>
      <w:r w:rsidRPr="0046011D">
        <w:rPr>
          <w:rFonts w:ascii="Times New Roman" w:hAnsi="Times New Roman"/>
          <w:sz w:val="24"/>
        </w:rPr>
        <w:t xml:space="preserve"> </w:t>
      </w:r>
      <w:r w:rsidRPr="00535A9C">
        <w:rPr>
          <w:rFonts w:ascii="Times New Roman" w:hAnsi="Times New Roman"/>
          <w:i/>
          <w:sz w:val="24"/>
        </w:rPr>
        <w:t>Journal of Accounting Research</w:t>
      </w:r>
      <w:r>
        <w:rPr>
          <w:rFonts w:ascii="Times New Roman" w:hAnsi="Times New Roman"/>
          <w:sz w:val="24"/>
        </w:rPr>
        <w:t xml:space="preserve"> </w:t>
      </w:r>
      <w:r w:rsidRPr="0046011D">
        <w:rPr>
          <w:rFonts w:ascii="Times New Roman" w:hAnsi="Times New Roman"/>
          <w:sz w:val="24"/>
        </w:rPr>
        <w:t>47, 1167 - 1199.</w:t>
      </w:r>
      <w:proofErr w:type="gramEnd"/>
    </w:p>
    <w:p w:rsidR="005F3B32" w:rsidRPr="005853FA" w:rsidRDefault="0057743F" w:rsidP="005853FA">
      <w:pPr>
        <w:spacing w:before="240"/>
      </w:pPr>
      <w:proofErr w:type="spellStart"/>
      <w:r>
        <w:rPr>
          <w:rFonts w:ascii="Times New Roman" w:hAnsi="Times New Roman"/>
          <w:sz w:val="24"/>
        </w:rPr>
        <w:t>C</w:t>
      </w:r>
      <w:r w:rsidRPr="00B95360">
        <w:rPr>
          <w:rFonts w:ascii="Times New Roman" w:hAnsi="Times New Roman"/>
          <w:sz w:val="24"/>
        </w:rPr>
        <w:t>ovrig</w:t>
      </w:r>
      <w:proofErr w:type="spellEnd"/>
      <w:r>
        <w:rPr>
          <w:rFonts w:ascii="Times New Roman" w:hAnsi="Times New Roman"/>
          <w:sz w:val="24"/>
        </w:rPr>
        <w:t>, V. M., M</w:t>
      </w:r>
      <w:r w:rsidRPr="005853FA">
        <w:rPr>
          <w:rFonts w:ascii="Times New Roman" w:hAnsi="Times New Roman"/>
          <w:sz w:val="24"/>
        </w:rPr>
        <w:t xml:space="preserve">. </w:t>
      </w:r>
      <w:r>
        <w:rPr>
          <w:rFonts w:ascii="Times New Roman" w:hAnsi="Times New Roman"/>
          <w:sz w:val="24"/>
        </w:rPr>
        <w:t xml:space="preserve">L. </w:t>
      </w:r>
      <w:proofErr w:type="spellStart"/>
      <w:r>
        <w:rPr>
          <w:rFonts w:ascii="Times New Roman" w:hAnsi="Times New Roman"/>
          <w:sz w:val="24"/>
        </w:rPr>
        <w:t>D</w:t>
      </w:r>
      <w:r w:rsidRPr="005853FA">
        <w:rPr>
          <w:rFonts w:ascii="Times New Roman" w:hAnsi="Times New Roman"/>
          <w:sz w:val="24"/>
        </w:rPr>
        <w:t>efond</w:t>
      </w:r>
      <w:proofErr w:type="spellEnd"/>
      <w:r>
        <w:rPr>
          <w:rFonts w:ascii="Times New Roman" w:hAnsi="Times New Roman"/>
          <w:sz w:val="24"/>
        </w:rPr>
        <w:t>,</w:t>
      </w:r>
      <w:r w:rsidRPr="005853FA">
        <w:rPr>
          <w:rFonts w:ascii="Times New Roman" w:hAnsi="Times New Roman"/>
          <w:sz w:val="24"/>
        </w:rPr>
        <w:t xml:space="preserve"> and</w:t>
      </w:r>
      <w:r>
        <w:rPr>
          <w:rFonts w:ascii="Times New Roman" w:hAnsi="Times New Roman"/>
          <w:sz w:val="24"/>
        </w:rPr>
        <w:t xml:space="preserve"> M.</w:t>
      </w:r>
      <w:r w:rsidRPr="005853FA">
        <w:rPr>
          <w:rFonts w:ascii="Times New Roman" w:hAnsi="Times New Roman"/>
          <w:sz w:val="24"/>
        </w:rPr>
        <w:t xml:space="preserve"> </w:t>
      </w:r>
      <w:r>
        <w:rPr>
          <w:rFonts w:ascii="Times New Roman" w:hAnsi="Times New Roman"/>
          <w:sz w:val="24"/>
        </w:rPr>
        <w:t>H</w:t>
      </w:r>
      <w:r w:rsidRPr="005853FA">
        <w:rPr>
          <w:rFonts w:ascii="Times New Roman" w:hAnsi="Times New Roman"/>
          <w:sz w:val="24"/>
        </w:rPr>
        <w:t>ung</w:t>
      </w:r>
      <w:r>
        <w:rPr>
          <w:rFonts w:ascii="Times New Roman" w:hAnsi="Times New Roman"/>
          <w:sz w:val="24"/>
        </w:rPr>
        <w:t>, 2007, H</w:t>
      </w:r>
      <w:r w:rsidRPr="0016175F">
        <w:rPr>
          <w:rFonts w:ascii="Times New Roman" w:hAnsi="Times New Roman"/>
          <w:sz w:val="24"/>
        </w:rPr>
        <w:t>ome bias, foreign mutual fund holdings, and the voluntary adoption of international accounting standards</w:t>
      </w:r>
      <w:r>
        <w:rPr>
          <w:rFonts w:ascii="Times New Roman" w:hAnsi="Times New Roman"/>
          <w:sz w:val="24"/>
        </w:rPr>
        <w:t xml:space="preserve">, </w:t>
      </w:r>
      <w:r w:rsidRPr="005853FA">
        <w:rPr>
          <w:rFonts w:ascii="Times New Roman" w:hAnsi="Times New Roman"/>
          <w:i/>
          <w:sz w:val="24"/>
        </w:rPr>
        <w:t xml:space="preserve">Journal of </w:t>
      </w:r>
      <w:r>
        <w:rPr>
          <w:rFonts w:ascii="Times New Roman" w:hAnsi="Times New Roman"/>
          <w:i/>
          <w:sz w:val="24"/>
        </w:rPr>
        <w:t>A</w:t>
      </w:r>
      <w:r w:rsidRPr="005853FA">
        <w:rPr>
          <w:rFonts w:ascii="Times New Roman" w:hAnsi="Times New Roman"/>
          <w:i/>
          <w:sz w:val="24"/>
        </w:rPr>
        <w:t xml:space="preserve">ccounting </w:t>
      </w:r>
      <w:r>
        <w:rPr>
          <w:rFonts w:ascii="Times New Roman" w:hAnsi="Times New Roman"/>
          <w:i/>
          <w:sz w:val="24"/>
        </w:rPr>
        <w:t>R</w:t>
      </w:r>
      <w:r w:rsidRPr="005853FA">
        <w:rPr>
          <w:rFonts w:ascii="Times New Roman" w:hAnsi="Times New Roman"/>
          <w:i/>
          <w:sz w:val="24"/>
        </w:rPr>
        <w:t>esearch</w:t>
      </w:r>
      <w:r>
        <w:rPr>
          <w:rFonts w:ascii="Times New Roman" w:hAnsi="Times New Roman"/>
          <w:sz w:val="24"/>
        </w:rPr>
        <w:t xml:space="preserve"> 45</w:t>
      </w:r>
      <w:r w:rsidR="00955972">
        <w:rPr>
          <w:rFonts w:ascii="Times New Roman" w:hAnsi="Times New Roman"/>
          <w:sz w:val="24"/>
        </w:rPr>
        <w:t>,</w:t>
      </w:r>
      <w:r>
        <w:rPr>
          <w:rFonts w:ascii="Times New Roman" w:hAnsi="Times New Roman"/>
          <w:sz w:val="24"/>
        </w:rPr>
        <w:t xml:space="preserve"> </w:t>
      </w:r>
      <w:r w:rsidRPr="005853FA">
        <w:rPr>
          <w:rFonts w:ascii="Times New Roman" w:hAnsi="Times New Roman"/>
          <w:sz w:val="24"/>
        </w:rPr>
        <w:t>41–</w:t>
      </w:r>
      <w:r w:rsidR="005F3B32" w:rsidRPr="005853FA">
        <w:t>70</w:t>
      </w:r>
      <w:r>
        <w:t>.</w:t>
      </w:r>
    </w:p>
    <w:p w:rsidR="00C445B0" w:rsidRPr="003F3829" w:rsidRDefault="00C445B0" w:rsidP="00C445B0">
      <w:pPr>
        <w:rPr>
          <w:rFonts w:ascii="Times New Roman" w:hAnsi="Times New Roman"/>
          <w:sz w:val="24"/>
        </w:rPr>
      </w:pPr>
      <w:proofErr w:type="spellStart"/>
      <w:r>
        <w:rPr>
          <w:rFonts w:ascii="Times New Roman" w:hAnsi="Times New Roman"/>
          <w:sz w:val="24"/>
        </w:rPr>
        <w:lastRenderedPageBreak/>
        <w:t>Cresswell</w:t>
      </w:r>
      <w:proofErr w:type="spellEnd"/>
      <w:r>
        <w:rPr>
          <w:rFonts w:ascii="Times New Roman" w:hAnsi="Times New Roman"/>
          <w:sz w:val="24"/>
        </w:rPr>
        <w:t xml:space="preserve">, J.W., 2003, </w:t>
      </w:r>
      <w:r w:rsidRPr="003F3829">
        <w:rPr>
          <w:rFonts w:ascii="Times New Roman" w:hAnsi="Times New Roman"/>
          <w:i/>
          <w:sz w:val="24"/>
        </w:rPr>
        <w:t xml:space="preserve">Research Design: Qualitative, Quantitative, and Mixed Methods Approaches </w:t>
      </w:r>
      <w:r>
        <w:rPr>
          <w:rFonts w:ascii="Times New Roman" w:hAnsi="Times New Roman"/>
          <w:i/>
          <w:sz w:val="24"/>
        </w:rPr>
        <w:t>(</w:t>
      </w:r>
      <w:r w:rsidRPr="003F3829">
        <w:rPr>
          <w:rFonts w:ascii="Times New Roman" w:hAnsi="Times New Roman"/>
          <w:i/>
          <w:sz w:val="24"/>
        </w:rPr>
        <w:t>2</w:t>
      </w:r>
      <w:r w:rsidRPr="003F3829">
        <w:rPr>
          <w:rFonts w:ascii="Times New Roman" w:hAnsi="Times New Roman"/>
          <w:i/>
          <w:sz w:val="24"/>
          <w:vertAlign w:val="superscript"/>
        </w:rPr>
        <w:t>nd</w:t>
      </w:r>
      <w:r>
        <w:rPr>
          <w:rFonts w:ascii="Times New Roman" w:hAnsi="Times New Roman"/>
          <w:i/>
          <w:sz w:val="24"/>
        </w:rPr>
        <w:t xml:space="preserve"> </w:t>
      </w:r>
      <w:proofErr w:type="spellStart"/>
      <w:proofErr w:type="gramStart"/>
      <w:r>
        <w:rPr>
          <w:rFonts w:ascii="Times New Roman" w:hAnsi="Times New Roman"/>
          <w:i/>
          <w:sz w:val="24"/>
        </w:rPr>
        <w:t>ed</w:t>
      </w:r>
      <w:proofErr w:type="spellEnd"/>
      <w:proofErr w:type="gramEnd"/>
      <w:r>
        <w:rPr>
          <w:rFonts w:ascii="Times New Roman" w:hAnsi="Times New Roman"/>
          <w:i/>
          <w:sz w:val="24"/>
        </w:rPr>
        <w:t>),</w:t>
      </w:r>
      <w:r w:rsidRPr="003F3829">
        <w:rPr>
          <w:rFonts w:ascii="Times New Roman" w:hAnsi="Times New Roman"/>
          <w:i/>
          <w:sz w:val="24"/>
        </w:rPr>
        <w:t xml:space="preserve"> </w:t>
      </w:r>
      <w:r w:rsidRPr="003F3829">
        <w:rPr>
          <w:rFonts w:ascii="Times New Roman" w:hAnsi="Times New Roman"/>
          <w:sz w:val="24"/>
        </w:rPr>
        <w:t>Sage Publications</w:t>
      </w:r>
      <w:r>
        <w:rPr>
          <w:rFonts w:ascii="Times New Roman" w:hAnsi="Times New Roman"/>
          <w:sz w:val="24"/>
        </w:rPr>
        <w:t>.</w:t>
      </w:r>
    </w:p>
    <w:p w:rsidR="00C445B0" w:rsidRPr="0046011D" w:rsidRDefault="00C445B0" w:rsidP="00C445B0">
      <w:pPr>
        <w:rPr>
          <w:rFonts w:ascii="Times New Roman" w:hAnsi="Times New Roman"/>
          <w:sz w:val="24"/>
        </w:rPr>
      </w:pPr>
      <w:proofErr w:type="spellStart"/>
      <w:r w:rsidRPr="0046011D">
        <w:rPr>
          <w:rFonts w:ascii="Times New Roman" w:hAnsi="Times New Roman"/>
          <w:sz w:val="24"/>
        </w:rPr>
        <w:t>Daske</w:t>
      </w:r>
      <w:proofErr w:type="spellEnd"/>
      <w:r w:rsidRPr="0046011D">
        <w:rPr>
          <w:rFonts w:ascii="Times New Roman" w:hAnsi="Times New Roman"/>
          <w:sz w:val="24"/>
        </w:rPr>
        <w:t xml:space="preserve">, H., </w:t>
      </w:r>
      <w:r>
        <w:rPr>
          <w:rFonts w:ascii="Times New Roman" w:hAnsi="Times New Roman"/>
          <w:sz w:val="24"/>
        </w:rPr>
        <w:t xml:space="preserve">L. </w:t>
      </w:r>
      <w:r w:rsidRPr="0046011D">
        <w:rPr>
          <w:rFonts w:ascii="Times New Roman" w:hAnsi="Times New Roman"/>
          <w:sz w:val="24"/>
        </w:rPr>
        <w:t xml:space="preserve">Hail, </w:t>
      </w:r>
      <w:r>
        <w:rPr>
          <w:rFonts w:ascii="Times New Roman" w:hAnsi="Times New Roman"/>
          <w:sz w:val="24"/>
        </w:rPr>
        <w:t>C.</w:t>
      </w:r>
      <w:r w:rsidRPr="0046011D">
        <w:rPr>
          <w:rFonts w:ascii="Times New Roman" w:hAnsi="Times New Roman"/>
          <w:sz w:val="24"/>
        </w:rPr>
        <w:t xml:space="preserve"> </w:t>
      </w:r>
      <w:proofErr w:type="spellStart"/>
      <w:r w:rsidRPr="0046011D">
        <w:rPr>
          <w:rFonts w:ascii="Times New Roman" w:hAnsi="Times New Roman"/>
          <w:sz w:val="24"/>
        </w:rPr>
        <w:t>Leuz</w:t>
      </w:r>
      <w:proofErr w:type="spellEnd"/>
      <w:r w:rsidRPr="0046011D">
        <w:rPr>
          <w:rFonts w:ascii="Times New Roman" w:hAnsi="Times New Roman"/>
          <w:sz w:val="24"/>
        </w:rPr>
        <w:t xml:space="preserve">, and </w:t>
      </w:r>
      <w:r>
        <w:rPr>
          <w:rFonts w:ascii="Times New Roman" w:hAnsi="Times New Roman"/>
          <w:sz w:val="24"/>
        </w:rPr>
        <w:t xml:space="preserve">R. </w:t>
      </w:r>
      <w:r w:rsidRPr="0046011D">
        <w:rPr>
          <w:rFonts w:ascii="Times New Roman" w:hAnsi="Times New Roman"/>
          <w:sz w:val="24"/>
        </w:rPr>
        <w:t>Verdi, 2008</w:t>
      </w:r>
      <w:r>
        <w:rPr>
          <w:rFonts w:ascii="Times New Roman" w:hAnsi="Times New Roman"/>
          <w:sz w:val="24"/>
        </w:rPr>
        <w:t>, Mandatory IFRS reporting around the world: Early evidence on the economic c</w:t>
      </w:r>
      <w:r w:rsidRPr="0046011D">
        <w:rPr>
          <w:rFonts w:ascii="Times New Roman" w:hAnsi="Times New Roman"/>
          <w:sz w:val="24"/>
        </w:rPr>
        <w:t xml:space="preserve">onsequences, </w:t>
      </w:r>
      <w:r w:rsidRPr="00535A9C">
        <w:rPr>
          <w:rFonts w:ascii="Times New Roman" w:hAnsi="Times New Roman"/>
          <w:i/>
          <w:sz w:val="24"/>
        </w:rPr>
        <w:t>Journal of Accounting Research</w:t>
      </w:r>
      <w:r w:rsidRPr="0046011D">
        <w:rPr>
          <w:rFonts w:ascii="Times New Roman" w:hAnsi="Times New Roman"/>
          <w:sz w:val="24"/>
        </w:rPr>
        <w:t xml:space="preserve"> 46, 1085-1142.</w:t>
      </w:r>
    </w:p>
    <w:p w:rsidR="00C445B0" w:rsidRPr="004148E4" w:rsidRDefault="00C445B0" w:rsidP="00C445B0">
      <w:pPr>
        <w:rPr>
          <w:rFonts w:ascii="Times New Roman" w:hAnsi="Times New Roman" w:cs="Times New Roman"/>
          <w:sz w:val="24"/>
        </w:rPr>
      </w:pPr>
      <w:r w:rsidRPr="0046011D">
        <w:rPr>
          <w:rFonts w:ascii="Times New Roman" w:hAnsi="Times New Roman"/>
          <w:sz w:val="24"/>
        </w:rPr>
        <w:t>Dunstan, K. L.</w:t>
      </w:r>
      <w:r>
        <w:rPr>
          <w:rFonts w:ascii="Times New Roman" w:hAnsi="Times New Roman"/>
          <w:sz w:val="24"/>
        </w:rPr>
        <w:t>,</w:t>
      </w:r>
      <w:r w:rsidRPr="0046011D">
        <w:rPr>
          <w:rFonts w:ascii="Times New Roman" w:hAnsi="Times New Roman"/>
          <w:sz w:val="24"/>
        </w:rPr>
        <w:t xml:space="preserve"> 2002</w:t>
      </w:r>
      <w:r>
        <w:rPr>
          <w:rFonts w:ascii="Times New Roman" w:hAnsi="Times New Roman"/>
          <w:sz w:val="24"/>
        </w:rPr>
        <w:t>,</w:t>
      </w:r>
      <w:r w:rsidRPr="0046011D">
        <w:rPr>
          <w:rFonts w:ascii="Times New Roman" w:hAnsi="Times New Roman"/>
          <w:sz w:val="24"/>
        </w:rPr>
        <w:t xml:space="preserve"> </w:t>
      </w:r>
      <w:r>
        <w:rPr>
          <w:rFonts w:ascii="Times New Roman" w:hAnsi="Times New Roman"/>
          <w:i/>
          <w:sz w:val="24"/>
        </w:rPr>
        <w:t>The Case for the use of international financial r</w:t>
      </w:r>
      <w:r w:rsidRPr="00535A9C">
        <w:rPr>
          <w:rFonts w:ascii="Times New Roman" w:hAnsi="Times New Roman"/>
          <w:i/>
          <w:sz w:val="24"/>
        </w:rPr>
        <w:t>ep</w:t>
      </w:r>
      <w:r>
        <w:rPr>
          <w:rFonts w:ascii="Times New Roman" w:hAnsi="Times New Roman"/>
          <w:i/>
          <w:sz w:val="24"/>
        </w:rPr>
        <w:t>orting s</w:t>
      </w:r>
      <w:r w:rsidRPr="00535A9C">
        <w:rPr>
          <w:rFonts w:ascii="Times New Roman" w:hAnsi="Times New Roman"/>
          <w:i/>
          <w:sz w:val="24"/>
        </w:rPr>
        <w:t>tandards in New Zealand</w:t>
      </w:r>
      <w:r>
        <w:rPr>
          <w:rFonts w:ascii="Times New Roman" w:hAnsi="Times New Roman"/>
          <w:i/>
          <w:sz w:val="24"/>
        </w:rPr>
        <w:t>: A briefing p</w:t>
      </w:r>
      <w:r w:rsidRPr="00535A9C">
        <w:rPr>
          <w:rFonts w:ascii="Times New Roman" w:hAnsi="Times New Roman"/>
          <w:i/>
          <w:sz w:val="24"/>
        </w:rPr>
        <w:t>aper prepared on behalf of the New Zealand Securities Commission</w:t>
      </w:r>
      <w:r>
        <w:rPr>
          <w:rFonts w:ascii="Times New Roman" w:hAnsi="Times New Roman"/>
          <w:sz w:val="24"/>
        </w:rPr>
        <w:t xml:space="preserve">, </w:t>
      </w:r>
      <w:r w:rsidRPr="0046011D">
        <w:rPr>
          <w:rFonts w:ascii="Times New Roman" w:hAnsi="Times New Roman"/>
          <w:sz w:val="24"/>
        </w:rPr>
        <w:t>Centre for Accounting Governance and Taxation Research</w:t>
      </w:r>
      <w:r>
        <w:rPr>
          <w:rFonts w:ascii="Times New Roman" w:hAnsi="Times New Roman"/>
          <w:sz w:val="24"/>
        </w:rPr>
        <w:t>,</w:t>
      </w:r>
      <w:r w:rsidRPr="0046011D">
        <w:rPr>
          <w:rFonts w:ascii="Times New Roman" w:hAnsi="Times New Roman"/>
          <w:sz w:val="24"/>
        </w:rPr>
        <w:t xml:space="preserve"> School of Accounting and Commercial Law</w:t>
      </w:r>
      <w:r>
        <w:rPr>
          <w:rFonts w:ascii="Times New Roman" w:hAnsi="Times New Roman"/>
          <w:sz w:val="24"/>
        </w:rPr>
        <w:t>,</w:t>
      </w:r>
      <w:r w:rsidRPr="0046011D">
        <w:rPr>
          <w:rFonts w:ascii="Times New Roman" w:hAnsi="Times New Roman"/>
          <w:sz w:val="24"/>
        </w:rPr>
        <w:t xml:space="preserve"> Victoria University of Wellington</w:t>
      </w:r>
      <w:r>
        <w:rPr>
          <w:rFonts w:ascii="Times New Roman" w:hAnsi="Times New Roman"/>
          <w:sz w:val="24"/>
        </w:rPr>
        <w:t>, N.Z.</w:t>
      </w:r>
    </w:p>
    <w:p w:rsidR="00C445B0" w:rsidRPr="0046011D" w:rsidRDefault="00C445B0" w:rsidP="00C445B0">
      <w:pPr>
        <w:rPr>
          <w:rFonts w:ascii="Times New Roman" w:hAnsi="Times New Roman"/>
          <w:sz w:val="24"/>
        </w:rPr>
      </w:pPr>
      <w:proofErr w:type="gramStart"/>
      <w:r w:rsidRPr="0046011D">
        <w:rPr>
          <w:rFonts w:ascii="Times New Roman" w:hAnsi="Times New Roman"/>
          <w:sz w:val="24"/>
        </w:rPr>
        <w:t>Ernst and</w:t>
      </w:r>
      <w:r>
        <w:rPr>
          <w:rFonts w:ascii="Times New Roman" w:hAnsi="Times New Roman"/>
          <w:sz w:val="24"/>
        </w:rPr>
        <w:t xml:space="preserve"> Young,</w:t>
      </w:r>
      <w:r w:rsidRPr="0046011D">
        <w:rPr>
          <w:rFonts w:ascii="Times New Roman" w:hAnsi="Times New Roman"/>
          <w:sz w:val="24"/>
        </w:rPr>
        <w:t xml:space="preserve"> 2004</w:t>
      </w:r>
      <w:r>
        <w:rPr>
          <w:rFonts w:ascii="Times New Roman" w:hAnsi="Times New Roman"/>
          <w:sz w:val="24"/>
        </w:rPr>
        <w:t>,</w:t>
      </w:r>
      <w:r w:rsidRPr="0046011D">
        <w:rPr>
          <w:rFonts w:ascii="Times New Roman" w:hAnsi="Times New Roman"/>
          <w:sz w:val="24"/>
        </w:rPr>
        <w:t xml:space="preserve"> </w:t>
      </w:r>
      <w:r w:rsidRPr="00535A9C">
        <w:rPr>
          <w:rFonts w:ascii="Times New Roman" w:hAnsi="Times New Roman"/>
          <w:i/>
          <w:sz w:val="24"/>
        </w:rPr>
        <w:t>IFRS Impact Report</w:t>
      </w:r>
      <w:r>
        <w:rPr>
          <w:rFonts w:ascii="Times New Roman" w:hAnsi="Times New Roman"/>
          <w:sz w:val="24"/>
        </w:rPr>
        <w:t>,</w:t>
      </w:r>
      <w:r w:rsidRPr="0046011D">
        <w:rPr>
          <w:rFonts w:ascii="Times New Roman" w:hAnsi="Times New Roman"/>
          <w:sz w:val="24"/>
        </w:rPr>
        <w:t xml:space="preserve"> Ernst and Young.</w:t>
      </w:r>
      <w:proofErr w:type="gramEnd"/>
    </w:p>
    <w:p w:rsidR="00C445B0" w:rsidRPr="0046011D" w:rsidRDefault="00C445B0" w:rsidP="00C445B0">
      <w:pPr>
        <w:rPr>
          <w:rFonts w:ascii="Times New Roman" w:hAnsi="Times New Roman"/>
          <w:sz w:val="24"/>
        </w:rPr>
      </w:pPr>
      <w:proofErr w:type="gramStart"/>
      <w:r w:rsidRPr="0046011D">
        <w:rPr>
          <w:rFonts w:ascii="Times New Roman" w:hAnsi="Times New Roman"/>
          <w:sz w:val="24"/>
        </w:rPr>
        <w:t xml:space="preserve">Faircloth, A. W., and </w:t>
      </w:r>
      <w:r>
        <w:rPr>
          <w:rFonts w:ascii="Times New Roman" w:hAnsi="Times New Roman"/>
          <w:sz w:val="24"/>
        </w:rPr>
        <w:t xml:space="preserve">D. N. </w:t>
      </w:r>
      <w:proofErr w:type="spellStart"/>
      <w:r w:rsidRPr="0046011D">
        <w:rPr>
          <w:rFonts w:ascii="Times New Roman" w:hAnsi="Times New Roman"/>
          <w:sz w:val="24"/>
        </w:rPr>
        <w:t>Ricchiute</w:t>
      </w:r>
      <w:proofErr w:type="spellEnd"/>
      <w:r w:rsidRPr="0046011D">
        <w:rPr>
          <w:rFonts w:ascii="Times New Roman" w:hAnsi="Times New Roman"/>
          <w:sz w:val="24"/>
        </w:rPr>
        <w:t>, 1981</w:t>
      </w:r>
      <w:r>
        <w:rPr>
          <w:rFonts w:ascii="Times New Roman" w:hAnsi="Times New Roman"/>
          <w:sz w:val="24"/>
        </w:rPr>
        <w:t>,</w:t>
      </w:r>
      <w:r w:rsidRPr="0046011D">
        <w:rPr>
          <w:rFonts w:ascii="Times New Roman" w:hAnsi="Times New Roman"/>
          <w:sz w:val="24"/>
        </w:rPr>
        <w:t xml:space="preserve"> Ambiguity intolerance and financial reporting alternatives, </w:t>
      </w:r>
      <w:r>
        <w:rPr>
          <w:rFonts w:ascii="Times New Roman" w:hAnsi="Times New Roman"/>
          <w:i/>
          <w:sz w:val="24"/>
        </w:rPr>
        <w:t>Accounting, Organizations and</w:t>
      </w:r>
      <w:r w:rsidRPr="00535A9C">
        <w:rPr>
          <w:rFonts w:ascii="Times New Roman" w:hAnsi="Times New Roman"/>
          <w:i/>
          <w:sz w:val="24"/>
        </w:rPr>
        <w:t xml:space="preserve"> Society</w:t>
      </w:r>
      <w:r w:rsidRPr="0046011D">
        <w:rPr>
          <w:rFonts w:ascii="Times New Roman" w:hAnsi="Times New Roman"/>
          <w:sz w:val="24"/>
        </w:rPr>
        <w:t xml:space="preserve"> 6, 53-67</w:t>
      </w:r>
      <w:r>
        <w:rPr>
          <w:rFonts w:ascii="Times New Roman" w:hAnsi="Times New Roman"/>
          <w:sz w:val="24"/>
        </w:rPr>
        <w:t>.</w:t>
      </w:r>
      <w:proofErr w:type="gramEnd"/>
    </w:p>
    <w:p w:rsidR="00C445B0" w:rsidRPr="00535A9C" w:rsidRDefault="00C445B0" w:rsidP="00C445B0">
      <w:pPr>
        <w:rPr>
          <w:rFonts w:ascii="Times New Roman" w:hAnsi="Times New Roman"/>
          <w:sz w:val="24"/>
        </w:rPr>
      </w:pPr>
      <w:r w:rsidRPr="0046011D">
        <w:rPr>
          <w:rFonts w:ascii="Times New Roman" w:hAnsi="Times New Roman"/>
          <w:sz w:val="24"/>
        </w:rPr>
        <w:t>F</w:t>
      </w:r>
      <w:r>
        <w:rPr>
          <w:rFonts w:ascii="Times New Roman" w:hAnsi="Times New Roman"/>
          <w:sz w:val="24"/>
        </w:rPr>
        <w:t xml:space="preserve">arrell, J., and G. </w:t>
      </w:r>
      <w:proofErr w:type="spellStart"/>
      <w:r>
        <w:rPr>
          <w:rFonts w:ascii="Times New Roman" w:hAnsi="Times New Roman"/>
          <w:sz w:val="24"/>
        </w:rPr>
        <w:t>Saloner</w:t>
      </w:r>
      <w:proofErr w:type="spellEnd"/>
      <w:r>
        <w:rPr>
          <w:rFonts w:ascii="Times New Roman" w:hAnsi="Times New Roman"/>
          <w:sz w:val="24"/>
        </w:rPr>
        <w:t>, 1986,</w:t>
      </w:r>
      <w:r w:rsidRPr="0046011D">
        <w:rPr>
          <w:rFonts w:ascii="Times New Roman" w:hAnsi="Times New Roman"/>
          <w:sz w:val="24"/>
        </w:rPr>
        <w:t xml:space="preserve"> </w:t>
      </w:r>
      <w:r>
        <w:rPr>
          <w:rFonts w:ascii="Times New Roman" w:hAnsi="Times New Roman"/>
          <w:sz w:val="24"/>
        </w:rPr>
        <w:t xml:space="preserve">Installed base and compatibility: </w:t>
      </w:r>
      <w:r w:rsidRPr="0046011D">
        <w:rPr>
          <w:rFonts w:ascii="Times New Roman" w:hAnsi="Times New Roman"/>
          <w:sz w:val="24"/>
        </w:rPr>
        <w:t>innovation</w:t>
      </w:r>
      <w:r>
        <w:rPr>
          <w:rFonts w:ascii="Times New Roman" w:hAnsi="Times New Roman"/>
          <w:sz w:val="24"/>
        </w:rPr>
        <w:t xml:space="preserve">, product preannouncements and predation, </w:t>
      </w:r>
      <w:r>
        <w:rPr>
          <w:rFonts w:ascii="Times New Roman" w:hAnsi="Times New Roman"/>
          <w:i/>
          <w:sz w:val="24"/>
        </w:rPr>
        <w:t>The American Economic Review</w:t>
      </w:r>
      <w:r>
        <w:rPr>
          <w:rFonts w:ascii="Times New Roman" w:hAnsi="Times New Roman"/>
          <w:sz w:val="24"/>
        </w:rPr>
        <w:t xml:space="preserve"> 76, 940-955.</w:t>
      </w:r>
    </w:p>
    <w:p w:rsidR="00C445B0" w:rsidRPr="00535A9C" w:rsidRDefault="00C445B0" w:rsidP="00C445B0">
      <w:pPr>
        <w:rPr>
          <w:rFonts w:ascii="Times New Roman" w:hAnsi="Times New Roman"/>
          <w:sz w:val="24"/>
        </w:rPr>
      </w:pPr>
      <w:r w:rsidRPr="0046011D">
        <w:rPr>
          <w:rFonts w:ascii="Times New Roman" w:hAnsi="Times New Roman"/>
          <w:sz w:val="24"/>
        </w:rPr>
        <w:t>F</w:t>
      </w:r>
      <w:r>
        <w:rPr>
          <w:rFonts w:ascii="Times New Roman" w:hAnsi="Times New Roman"/>
          <w:sz w:val="24"/>
        </w:rPr>
        <w:t xml:space="preserve">arrell, J. and G. </w:t>
      </w:r>
      <w:proofErr w:type="spellStart"/>
      <w:r>
        <w:rPr>
          <w:rFonts w:ascii="Times New Roman" w:hAnsi="Times New Roman"/>
          <w:sz w:val="24"/>
        </w:rPr>
        <w:t>Saloner</w:t>
      </w:r>
      <w:proofErr w:type="spellEnd"/>
      <w:r>
        <w:rPr>
          <w:rFonts w:ascii="Times New Roman" w:hAnsi="Times New Roman"/>
          <w:sz w:val="24"/>
        </w:rPr>
        <w:t>, 1987,</w:t>
      </w:r>
      <w:r w:rsidRPr="0046011D">
        <w:rPr>
          <w:rFonts w:ascii="Times New Roman" w:hAnsi="Times New Roman"/>
          <w:sz w:val="24"/>
        </w:rPr>
        <w:t xml:space="preserve"> </w:t>
      </w:r>
      <w:r>
        <w:rPr>
          <w:rFonts w:ascii="Times New Roman" w:hAnsi="Times New Roman"/>
          <w:sz w:val="24"/>
        </w:rPr>
        <w:t xml:space="preserve">Competition, compatibility </w:t>
      </w:r>
      <w:r w:rsidRPr="0046011D">
        <w:rPr>
          <w:rFonts w:ascii="Times New Roman" w:hAnsi="Times New Roman"/>
          <w:sz w:val="24"/>
        </w:rPr>
        <w:t xml:space="preserve">and </w:t>
      </w:r>
      <w:r>
        <w:rPr>
          <w:rFonts w:ascii="Times New Roman" w:hAnsi="Times New Roman"/>
          <w:sz w:val="24"/>
        </w:rPr>
        <w:t xml:space="preserve">standards: the economics of horses, penguins and lemmings, in Gabel, H.L. ed., </w:t>
      </w:r>
      <w:r>
        <w:rPr>
          <w:rFonts w:ascii="Times New Roman" w:hAnsi="Times New Roman"/>
          <w:i/>
          <w:sz w:val="24"/>
        </w:rPr>
        <w:t>Product Standardization and Competitive Strategy</w:t>
      </w:r>
      <w:r>
        <w:rPr>
          <w:rFonts w:ascii="Times New Roman" w:hAnsi="Times New Roman"/>
          <w:sz w:val="24"/>
        </w:rPr>
        <w:t>, Elsevier Science Publishers B.V., North Holland, 1-22.</w:t>
      </w:r>
    </w:p>
    <w:p w:rsidR="00C445B0" w:rsidRPr="0046011D" w:rsidRDefault="00C445B0" w:rsidP="00C445B0">
      <w:pPr>
        <w:rPr>
          <w:rFonts w:ascii="Times New Roman" w:hAnsi="Times New Roman"/>
          <w:sz w:val="24"/>
        </w:rPr>
      </w:pPr>
      <w:r w:rsidRPr="0046011D">
        <w:rPr>
          <w:rFonts w:ascii="Times New Roman" w:hAnsi="Times New Roman"/>
          <w:sz w:val="24"/>
        </w:rPr>
        <w:t xml:space="preserve">Fields, T. D., </w:t>
      </w:r>
      <w:r>
        <w:rPr>
          <w:rFonts w:ascii="Times New Roman" w:hAnsi="Times New Roman"/>
          <w:sz w:val="24"/>
        </w:rPr>
        <w:t xml:space="preserve">T. Z. </w:t>
      </w:r>
      <w:r w:rsidRPr="0046011D">
        <w:rPr>
          <w:rFonts w:ascii="Times New Roman" w:hAnsi="Times New Roman"/>
          <w:sz w:val="24"/>
        </w:rPr>
        <w:t xml:space="preserve">Lys, and </w:t>
      </w:r>
      <w:r>
        <w:rPr>
          <w:rFonts w:ascii="Times New Roman" w:hAnsi="Times New Roman"/>
          <w:sz w:val="24"/>
        </w:rPr>
        <w:t xml:space="preserve">L. </w:t>
      </w:r>
      <w:r w:rsidRPr="0046011D">
        <w:rPr>
          <w:rFonts w:ascii="Times New Roman" w:hAnsi="Times New Roman"/>
          <w:sz w:val="24"/>
        </w:rPr>
        <w:t>Vincent, 2001</w:t>
      </w:r>
      <w:r>
        <w:rPr>
          <w:rFonts w:ascii="Times New Roman" w:hAnsi="Times New Roman"/>
          <w:sz w:val="24"/>
        </w:rPr>
        <w:t>,</w:t>
      </w:r>
      <w:r w:rsidRPr="0046011D">
        <w:rPr>
          <w:rFonts w:ascii="Times New Roman" w:hAnsi="Times New Roman"/>
          <w:sz w:val="24"/>
        </w:rPr>
        <w:t xml:space="preserve"> Empirical research on accounting choice, </w:t>
      </w:r>
      <w:r w:rsidRPr="007271B1">
        <w:rPr>
          <w:rFonts w:ascii="Times New Roman" w:hAnsi="Times New Roman"/>
          <w:i/>
          <w:sz w:val="24"/>
        </w:rPr>
        <w:t>Journal of Accounting and Economics</w:t>
      </w:r>
      <w:r w:rsidRPr="0046011D">
        <w:rPr>
          <w:rFonts w:ascii="Times New Roman" w:hAnsi="Times New Roman"/>
          <w:sz w:val="24"/>
        </w:rPr>
        <w:t xml:space="preserve"> 31, 255-307.</w:t>
      </w:r>
    </w:p>
    <w:p w:rsidR="00C445B0" w:rsidRDefault="00C445B0" w:rsidP="00C445B0">
      <w:pPr>
        <w:rPr>
          <w:rFonts w:ascii="Times New Roman" w:hAnsi="Times New Roman"/>
          <w:sz w:val="24"/>
        </w:rPr>
      </w:pPr>
      <w:r w:rsidRPr="0046011D">
        <w:rPr>
          <w:rFonts w:ascii="Times New Roman" w:hAnsi="Times New Roman"/>
          <w:sz w:val="24"/>
        </w:rPr>
        <w:t xml:space="preserve">Frost, C. A., and </w:t>
      </w:r>
      <w:r>
        <w:rPr>
          <w:rFonts w:ascii="Times New Roman" w:hAnsi="Times New Roman"/>
          <w:sz w:val="24"/>
        </w:rPr>
        <w:t xml:space="preserve">V. L. </w:t>
      </w:r>
      <w:r w:rsidRPr="0046011D">
        <w:rPr>
          <w:rFonts w:ascii="Times New Roman" w:hAnsi="Times New Roman"/>
          <w:sz w:val="24"/>
        </w:rPr>
        <w:t>Bernard, 1989</w:t>
      </w:r>
      <w:r>
        <w:rPr>
          <w:rFonts w:ascii="Times New Roman" w:hAnsi="Times New Roman"/>
          <w:sz w:val="24"/>
        </w:rPr>
        <w:t>,</w:t>
      </w:r>
      <w:r w:rsidRPr="0046011D">
        <w:rPr>
          <w:rFonts w:ascii="Times New Roman" w:hAnsi="Times New Roman"/>
          <w:sz w:val="24"/>
        </w:rPr>
        <w:t xml:space="preserve"> </w:t>
      </w:r>
      <w:proofErr w:type="gramStart"/>
      <w:r w:rsidRPr="0046011D">
        <w:rPr>
          <w:rFonts w:ascii="Times New Roman" w:hAnsi="Times New Roman"/>
          <w:sz w:val="24"/>
        </w:rPr>
        <w:t>The</w:t>
      </w:r>
      <w:proofErr w:type="gramEnd"/>
      <w:r w:rsidRPr="0046011D">
        <w:rPr>
          <w:rFonts w:ascii="Times New Roman" w:hAnsi="Times New Roman"/>
          <w:sz w:val="24"/>
        </w:rPr>
        <w:t xml:space="preserve"> role of debt covenants in assessing the economic consequences of limiting capitalization of exploration costs, </w:t>
      </w:r>
      <w:r w:rsidRPr="007271B1">
        <w:rPr>
          <w:rFonts w:ascii="Times New Roman" w:hAnsi="Times New Roman"/>
          <w:i/>
          <w:sz w:val="24"/>
        </w:rPr>
        <w:t>The Accounting Review</w:t>
      </w:r>
      <w:r w:rsidRPr="0046011D">
        <w:rPr>
          <w:rFonts w:ascii="Times New Roman" w:hAnsi="Times New Roman"/>
          <w:sz w:val="24"/>
        </w:rPr>
        <w:t xml:space="preserve"> 64, 788-809.</w:t>
      </w:r>
    </w:p>
    <w:p w:rsidR="001F4AC4" w:rsidRPr="0046011D" w:rsidRDefault="001F4AC4" w:rsidP="00C445B0">
      <w:pPr>
        <w:rPr>
          <w:rFonts w:ascii="Times New Roman" w:hAnsi="Times New Roman"/>
          <w:sz w:val="24"/>
        </w:rPr>
      </w:pPr>
      <w:r>
        <w:rPr>
          <w:rFonts w:ascii="Times New Roman" w:hAnsi="Times New Roman"/>
          <w:sz w:val="24"/>
        </w:rPr>
        <w:lastRenderedPageBreak/>
        <w:t xml:space="preserve">Graham, J.R., R.H. Harvey, and </w:t>
      </w:r>
      <w:proofErr w:type="spellStart"/>
      <w:r>
        <w:rPr>
          <w:rFonts w:ascii="Times New Roman" w:hAnsi="Times New Roman"/>
          <w:sz w:val="24"/>
        </w:rPr>
        <w:t>S.Rajgopal</w:t>
      </w:r>
      <w:proofErr w:type="spellEnd"/>
      <w:r w:rsidR="00F21456">
        <w:rPr>
          <w:rFonts w:ascii="Times New Roman" w:hAnsi="Times New Roman"/>
          <w:sz w:val="24"/>
        </w:rPr>
        <w:t xml:space="preserve">, 2005, </w:t>
      </w:r>
      <w:proofErr w:type="gramStart"/>
      <w:r w:rsidR="00F21456">
        <w:rPr>
          <w:rFonts w:ascii="Times New Roman" w:hAnsi="Times New Roman"/>
          <w:sz w:val="24"/>
        </w:rPr>
        <w:t>The</w:t>
      </w:r>
      <w:proofErr w:type="gramEnd"/>
      <w:r w:rsidR="00F21456">
        <w:rPr>
          <w:rFonts w:ascii="Times New Roman" w:hAnsi="Times New Roman"/>
          <w:sz w:val="24"/>
        </w:rPr>
        <w:t xml:space="preserve"> economic implications of corporate financial reporting, </w:t>
      </w:r>
      <w:r w:rsidR="00F21456" w:rsidRPr="004D587C">
        <w:rPr>
          <w:rFonts w:ascii="Times New Roman" w:hAnsi="Times New Roman"/>
          <w:i/>
          <w:sz w:val="24"/>
        </w:rPr>
        <w:t>Journal of Accounting and Economics</w:t>
      </w:r>
      <w:r w:rsidR="00F21456">
        <w:rPr>
          <w:rFonts w:ascii="Times New Roman" w:hAnsi="Times New Roman"/>
          <w:sz w:val="24"/>
        </w:rPr>
        <w:t>, 40, 3-73</w:t>
      </w:r>
    </w:p>
    <w:p w:rsidR="00C445B0" w:rsidRDefault="00C445B0" w:rsidP="00C445B0">
      <w:pPr>
        <w:rPr>
          <w:rFonts w:ascii="Times New Roman" w:hAnsi="Times New Roman"/>
          <w:sz w:val="24"/>
        </w:rPr>
      </w:pPr>
      <w:r w:rsidRPr="0046011D">
        <w:rPr>
          <w:rFonts w:ascii="Times New Roman" w:hAnsi="Times New Roman"/>
          <w:sz w:val="24"/>
        </w:rPr>
        <w:t xml:space="preserve">Griffin, P. A., </w:t>
      </w:r>
      <w:r>
        <w:rPr>
          <w:rFonts w:ascii="Times New Roman" w:hAnsi="Times New Roman"/>
          <w:sz w:val="24"/>
        </w:rPr>
        <w:t xml:space="preserve">D. H. </w:t>
      </w:r>
      <w:r w:rsidRPr="0046011D">
        <w:rPr>
          <w:rFonts w:ascii="Times New Roman" w:hAnsi="Times New Roman"/>
          <w:sz w:val="24"/>
        </w:rPr>
        <w:t xml:space="preserve">Lont, and </w:t>
      </w:r>
      <w:r>
        <w:rPr>
          <w:rFonts w:ascii="Times New Roman" w:hAnsi="Times New Roman"/>
          <w:sz w:val="24"/>
        </w:rPr>
        <w:t xml:space="preserve">Y. </w:t>
      </w:r>
      <w:r w:rsidRPr="0046011D">
        <w:rPr>
          <w:rFonts w:ascii="Times New Roman" w:hAnsi="Times New Roman"/>
          <w:sz w:val="24"/>
        </w:rPr>
        <w:t>Sun, 2009</w:t>
      </w:r>
      <w:r>
        <w:rPr>
          <w:rFonts w:ascii="Times New Roman" w:hAnsi="Times New Roman"/>
          <w:sz w:val="24"/>
        </w:rPr>
        <w:t>, Governance regulatory c</w:t>
      </w:r>
      <w:r w:rsidRPr="0046011D">
        <w:rPr>
          <w:rFonts w:ascii="Times New Roman" w:hAnsi="Times New Roman"/>
          <w:sz w:val="24"/>
        </w:rPr>
        <w:t>hanges, International</w:t>
      </w:r>
      <w:r>
        <w:rPr>
          <w:rFonts w:ascii="Times New Roman" w:hAnsi="Times New Roman"/>
          <w:sz w:val="24"/>
        </w:rPr>
        <w:t xml:space="preserve"> Financial Reporting Standards adoption, and New Zealand audit and non-audit fees: Empirical evidence,</w:t>
      </w:r>
      <w:r w:rsidRPr="0046011D">
        <w:rPr>
          <w:rFonts w:ascii="Times New Roman" w:hAnsi="Times New Roman"/>
          <w:sz w:val="24"/>
        </w:rPr>
        <w:t xml:space="preserve"> </w:t>
      </w:r>
      <w:r w:rsidRPr="007271B1">
        <w:rPr>
          <w:rFonts w:ascii="Times New Roman" w:hAnsi="Times New Roman"/>
          <w:i/>
          <w:sz w:val="24"/>
        </w:rPr>
        <w:t>Accounting and Finance</w:t>
      </w:r>
      <w:r w:rsidRPr="0046011D">
        <w:rPr>
          <w:rFonts w:ascii="Times New Roman" w:hAnsi="Times New Roman"/>
          <w:sz w:val="24"/>
        </w:rPr>
        <w:t xml:space="preserve"> 49, 697-724.</w:t>
      </w:r>
    </w:p>
    <w:p w:rsidR="00C445B0" w:rsidRPr="001C560B" w:rsidRDefault="00C445B0" w:rsidP="00C445B0">
      <w:pPr>
        <w:rPr>
          <w:rFonts w:ascii="Times New Roman" w:hAnsi="Times New Roman"/>
          <w:sz w:val="24"/>
        </w:rPr>
      </w:pPr>
      <w:proofErr w:type="spellStart"/>
      <w:r w:rsidRPr="001C560B">
        <w:rPr>
          <w:rFonts w:ascii="Times New Roman" w:hAnsi="Times New Roman" w:cs="Times New Roman"/>
          <w:sz w:val="24"/>
          <w:szCs w:val="24"/>
          <w:lang w:val="en-NZ" w:bidi="ar-SA"/>
        </w:rPr>
        <w:t>Guerreiro</w:t>
      </w:r>
      <w:proofErr w:type="spellEnd"/>
      <w:r w:rsidRPr="001C560B">
        <w:rPr>
          <w:rFonts w:ascii="Times New Roman" w:hAnsi="Times New Roman" w:cs="Times New Roman"/>
          <w:sz w:val="24"/>
          <w:szCs w:val="24"/>
          <w:lang w:val="en-NZ" w:bidi="ar-SA"/>
        </w:rPr>
        <w:t xml:space="preserve">, M. S., </w:t>
      </w:r>
      <w:r>
        <w:rPr>
          <w:rFonts w:ascii="Times New Roman" w:hAnsi="Times New Roman" w:cs="Times New Roman"/>
          <w:sz w:val="24"/>
          <w:szCs w:val="24"/>
          <w:lang w:val="en-NZ" w:bidi="ar-SA"/>
        </w:rPr>
        <w:t xml:space="preserve">L. L. </w:t>
      </w:r>
      <w:r w:rsidRPr="001C560B">
        <w:rPr>
          <w:rFonts w:ascii="Times New Roman" w:hAnsi="Times New Roman" w:cs="Times New Roman"/>
          <w:sz w:val="24"/>
          <w:szCs w:val="24"/>
          <w:lang w:val="en-NZ" w:bidi="ar-SA"/>
        </w:rPr>
        <w:t xml:space="preserve">Rodrigues, </w:t>
      </w:r>
      <w:r>
        <w:rPr>
          <w:rFonts w:ascii="Times New Roman" w:hAnsi="Times New Roman" w:cs="Times New Roman"/>
          <w:sz w:val="24"/>
          <w:szCs w:val="24"/>
          <w:lang w:val="en-NZ" w:bidi="ar-SA"/>
        </w:rPr>
        <w:t xml:space="preserve">and R. Craig, </w:t>
      </w:r>
      <w:r w:rsidRPr="001C560B">
        <w:rPr>
          <w:rFonts w:ascii="Times New Roman" w:hAnsi="Times New Roman" w:cs="Times New Roman"/>
          <w:sz w:val="24"/>
          <w:szCs w:val="24"/>
          <w:lang w:val="en-NZ" w:bidi="ar-SA"/>
        </w:rPr>
        <w:t>2012</w:t>
      </w:r>
      <w:r>
        <w:rPr>
          <w:rFonts w:ascii="Times New Roman" w:hAnsi="Times New Roman" w:cs="Times New Roman"/>
          <w:sz w:val="24"/>
          <w:szCs w:val="24"/>
          <w:lang w:val="en-NZ" w:bidi="ar-SA"/>
        </w:rPr>
        <w:t>,</w:t>
      </w:r>
      <w:r w:rsidRPr="001C560B">
        <w:rPr>
          <w:rFonts w:ascii="Times New Roman" w:hAnsi="Times New Roman" w:cs="Times New Roman"/>
          <w:sz w:val="24"/>
          <w:szCs w:val="24"/>
          <w:lang w:val="en-NZ" w:bidi="ar-SA"/>
        </w:rPr>
        <w:t xml:space="preserve"> Voluntary adoption of International Financial Reporting Standards by large unlisted companies in Portugal – Institutional</w:t>
      </w:r>
      <w:r>
        <w:rPr>
          <w:rFonts w:ascii="Times New Roman" w:hAnsi="Times New Roman" w:cs="Times New Roman"/>
          <w:sz w:val="24"/>
          <w:szCs w:val="24"/>
          <w:lang w:val="en-NZ" w:bidi="ar-SA"/>
        </w:rPr>
        <w:t xml:space="preserve"> logics and strategic responses,</w:t>
      </w:r>
      <w:r w:rsidRPr="001C560B">
        <w:rPr>
          <w:rFonts w:ascii="Times New Roman" w:hAnsi="Times New Roman" w:cs="Times New Roman"/>
          <w:sz w:val="24"/>
          <w:szCs w:val="24"/>
          <w:lang w:val="en-NZ" w:bidi="ar-SA"/>
        </w:rPr>
        <w:t xml:space="preserve"> </w:t>
      </w:r>
      <w:r w:rsidRPr="00B53B2B">
        <w:rPr>
          <w:rFonts w:ascii="Times New Roman" w:hAnsi="Times New Roman" w:cs="Times New Roman"/>
          <w:i/>
          <w:sz w:val="24"/>
          <w:szCs w:val="24"/>
          <w:lang w:val="en-NZ" w:bidi="ar-SA"/>
        </w:rPr>
        <w:t>Accounting, Organizations and Society</w:t>
      </w:r>
      <w:r w:rsidRPr="001C560B">
        <w:rPr>
          <w:rFonts w:ascii="Times New Roman" w:hAnsi="Times New Roman" w:cs="Times New Roman"/>
          <w:sz w:val="24"/>
          <w:szCs w:val="24"/>
          <w:lang w:val="en-NZ" w:bidi="ar-SA"/>
        </w:rPr>
        <w:t xml:space="preserve"> </w:t>
      </w:r>
      <w:r w:rsidRPr="00D17A00">
        <w:rPr>
          <w:rFonts w:ascii="Times New Roman" w:hAnsi="Times New Roman" w:cs="Times New Roman"/>
          <w:bCs/>
          <w:sz w:val="24"/>
          <w:szCs w:val="24"/>
          <w:lang w:val="en-NZ" w:bidi="ar-SA"/>
        </w:rPr>
        <w:t>37</w:t>
      </w:r>
      <w:r>
        <w:rPr>
          <w:rFonts w:ascii="Times New Roman" w:hAnsi="Times New Roman" w:cs="Times New Roman"/>
          <w:sz w:val="24"/>
          <w:szCs w:val="24"/>
          <w:lang w:val="en-NZ" w:bidi="ar-SA"/>
        </w:rPr>
        <w:t>,</w:t>
      </w:r>
      <w:r w:rsidRPr="001C560B">
        <w:rPr>
          <w:rFonts w:ascii="Times New Roman" w:hAnsi="Times New Roman" w:cs="Times New Roman"/>
          <w:sz w:val="24"/>
          <w:szCs w:val="24"/>
          <w:lang w:val="en-NZ" w:bidi="ar-SA"/>
        </w:rPr>
        <w:t xml:space="preserve"> 482-499.</w:t>
      </w:r>
    </w:p>
    <w:p w:rsidR="00C445B0" w:rsidRDefault="00C445B0" w:rsidP="00C445B0">
      <w:pPr>
        <w:rPr>
          <w:rFonts w:ascii="Times New Roman" w:hAnsi="Times New Roman"/>
          <w:sz w:val="24"/>
        </w:rPr>
      </w:pPr>
      <w:proofErr w:type="gramStart"/>
      <w:r w:rsidRPr="0046011D">
        <w:rPr>
          <w:rFonts w:ascii="Times New Roman" w:hAnsi="Times New Roman"/>
          <w:sz w:val="24"/>
        </w:rPr>
        <w:t xml:space="preserve">Hickey, L., </w:t>
      </w:r>
      <w:r>
        <w:rPr>
          <w:rFonts w:ascii="Times New Roman" w:hAnsi="Times New Roman"/>
          <w:sz w:val="24"/>
        </w:rPr>
        <w:t xml:space="preserve">J. </w:t>
      </w:r>
      <w:r w:rsidRPr="0046011D">
        <w:rPr>
          <w:rFonts w:ascii="Times New Roman" w:hAnsi="Times New Roman"/>
          <w:sz w:val="24"/>
        </w:rPr>
        <w:t xml:space="preserve">Spencer, </w:t>
      </w:r>
      <w:r>
        <w:rPr>
          <w:rFonts w:ascii="Times New Roman" w:hAnsi="Times New Roman"/>
          <w:sz w:val="24"/>
        </w:rPr>
        <w:t>T.</w:t>
      </w:r>
      <w:r w:rsidRPr="0046011D">
        <w:rPr>
          <w:rFonts w:ascii="Times New Roman" w:hAnsi="Times New Roman"/>
          <w:sz w:val="24"/>
        </w:rPr>
        <w:t xml:space="preserve"> van </w:t>
      </w:r>
      <w:proofErr w:type="spellStart"/>
      <w:r w:rsidRPr="0046011D">
        <w:rPr>
          <w:rFonts w:ascii="Times New Roman" w:hAnsi="Times New Roman"/>
          <w:sz w:val="24"/>
        </w:rPr>
        <w:t>Zijl</w:t>
      </w:r>
      <w:proofErr w:type="spellEnd"/>
      <w:r w:rsidRPr="0046011D">
        <w:rPr>
          <w:rFonts w:ascii="Times New Roman" w:hAnsi="Times New Roman"/>
          <w:sz w:val="24"/>
        </w:rPr>
        <w:t xml:space="preserve">, and </w:t>
      </w:r>
      <w:r>
        <w:rPr>
          <w:rFonts w:ascii="Times New Roman" w:hAnsi="Times New Roman"/>
          <w:sz w:val="24"/>
        </w:rPr>
        <w:t xml:space="preserve">J. </w:t>
      </w:r>
      <w:r w:rsidRPr="0046011D">
        <w:rPr>
          <w:rFonts w:ascii="Times New Roman" w:hAnsi="Times New Roman"/>
          <w:sz w:val="24"/>
        </w:rPr>
        <w:t>Perry, 2003</w:t>
      </w:r>
      <w:r>
        <w:rPr>
          <w:rFonts w:ascii="Times New Roman" w:hAnsi="Times New Roman"/>
          <w:sz w:val="24"/>
        </w:rPr>
        <w:t>,</w:t>
      </w:r>
      <w:r w:rsidRPr="0046011D">
        <w:rPr>
          <w:rFonts w:ascii="Times New Roman" w:hAnsi="Times New Roman"/>
          <w:sz w:val="24"/>
        </w:rPr>
        <w:t xml:space="preserve"> Ado</w:t>
      </w:r>
      <w:r>
        <w:rPr>
          <w:rFonts w:ascii="Times New Roman" w:hAnsi="Times New Roman"/>
          <w:sz w:val="24"/>
        </w:rPr>
        <w:t>ption of IFRS - Background and process,</w:t>
      </w:r>
      <w:r w:rsidRPr="0046011D">
        <w:rPr>
          <w:rFonts w:ascii="Times New Roman" w:hAnsi="Times New Roman"/>
          <w:sz w:val="24"/>
        </w:rPr>
        <w:t xml:space="preserve"> </w:t>
      </w:r>
      <w:r w:rsidRPr="007271B1">
        <w:rPr>
          <w:rFonts w:ascii="Times New Roman" w:hAnsi="Times New Roman"/>
          <w:i/>
          <w:sz w:val="24"/>
        </w:rPr>
        <w:t>Chartered Accountants Journal of New Zealand</w:t>
      </w:r>
      <w:r w:rsidRPr="0046011D">
        <w:rPr>
          <w:rFonts w:ascii="Times New Roman" w:hAnsi="Times New Roman"/>
          <w:sz w:val="24"/>
        </w:rPr>
        <w:t xml:space="preserve"> 82, 4-7.</w:t>
      </w:r>
      <w:proofErr w:type="gramEnd"/>
    </w:p>
    <w:p w:rsidR="00C445B0" w:rsidRPr="00964534" w:rsidRDefault="00C445B0" w:rsidP="00C445B0">
      <w:pPr>
        <w:rPr>
          <w:rFonts w:ascii="Times New Roman" w:hAnsi="Times New Roman" w:cs="Times New Roman"/>
          <w:sz w:val="24"/>
        </w:rPr>
      </w:pPr>
      <w:proofErr w:type="spellStart"/>
      <w:r>
        <w:rPr>
          <w:rFonts w:ascii="Times New Roman" w:hAnsi="Times New Roman"/>
          <w:sz w:val="24"/>
        </w:rPr>
        <w:t>Holsti</w:t>
      </w:r>
      <w:proofErr w:type="spellEnd"/>
      <w:r>
        <w:rPr>
          <w:rFonts w:ascii="Times New Roman" w:hAnsi="Times New Roman"/>
          <w:sz w:val="24"/>
        </w:rPr>
        <w:t>, O.</w:t>
      </w:r>
      <w:r w:rsidRPr="005A4572">
        <w:rPr>
          <w:rFonts w:ascii="Times New Roman" w:hAnsi="Times New Roman"/>
          <w:sz w:val="24"/>
        </w:rPr>
        <w:t>R.</w:t>
      </w:r>
      <w:r>
        <w:rPr>
          <w:rFonts w:ascii="Times New Roman" w:hAnsi="Times New Roman"/>
          <w:sz w:val="24"/>
        </w:rPr>
        <w:t>,</w:t>
      </w:r>
      <w:r w:rsidRPr="005A4572">
        <w:rPr>
          <w:rFonts w:ascii="Times New Roman" w:hAnsi="Times New Roman"/>
          <w:sz w:val="24"/>
        </w:rPr>
        <w:t xml:space="preserve"> 1969</w:t>
      </w:r>
      <w:r>
        <w:rPr>
          <w:rFonts w:ascii="Times New Roman" w:hAnsi="Times New Roman"/>
          <w:sz w:val="24"/>
        </w:rPr>
        <w:t>,</w:t>
      </w:r>
      <w:r w:rsidRPr="005A4572">
        <w:rPr>
          <w:rFonts w:ascii="Times New Roman" w:hAnsi="Times New Roman"/>
          <w:sz w:val="24"/>
        </w:rPr>
        <w:t xml:space="preserve"> </w:t>
      </w:r>
      <w:r w:rsidRPr="005A4572">
        <w:rPr>
          <w:rFonts w:ascii="Times New Roman" w:hAnsi="Times New Roman"/>
          <w:i/>
          <w:sz w:val="24"/>
        </w:rPr>
        <w:t>Content Analysis for the Social Sciences</w:t>
      </w:r>
      <w:r>
        <w:rPr>
          <w:rFonts w:ascii="Times New Roman" w:hAnsi="Times New Roman"/>
          <w:sz w:val="24"/>
        </w:rPr>
        <w:t>,</w:t>
      </w:r>
      <w:r w:rsidRPr="005A4572">
        <w:rPr>
          <w:rFonts w:ascii="Times New Roman" w:hAnsi="Times New Roman"/>
          <w:sz w:val="24"/>
        </w:rPr>
        <w:t xml:space="preserve"> Reading, Massachusetts: Addison-Wesley.</w:t>
      </w:r>
    </w:p>
    <w:p w:rsidR="00C445B0" w:rsidRDefault="00C445B0" w:rsidP="00C445B0">
      <w:pPr>
        <w:rPr>
          <w:rFonts w:ascii="Times New Roman" w:hAnsi="Times New Roman" w:cs="Times New Roman"/>
          <w:sz w:val="24"/>
          <w:lang w:val="en-US"/>
        </w:rPr>
      </w:pPr>
      <w:proofErr w:type="spellStart"/>
      <w:r w:rsidRPr="00D17A00">
        <w:rPr>
          <w:rFonts w:ascii="Times New Roman" w:hAnsi="Times New Roman" w:cs="Times New Roman"/>
          <w:sz w:val="24"/>
          <w:szCs w:val="24"/>
          <w:lang w:val="en-NZ" w:bidi="ar-SA"/>
        </w:rPr>
        <w:t>Iatridis</w:t>
      </w:r>
      <w:proofErr w:type="spellEnd"/>
      <w:r w:rsidRPr="00D17A00">
        <w:rPr>
          <w:rFonts w:ascii="Times New Roman" w:hAnsi="Times New Roman" w:cs="Times New Roman"/>
          <w:sz w:val="24"/>
          <w:szCs w:val="24"/>
          <w:lang w:val="en-NZ" w:bidi="ar-SA"/>
        </w:rPr>
        <w:t>, G.</w:t>
      </w:r>
      <w:r>
        <w:rPr>
          <w:rFonts w:ascii="Times New Roman" w:hAnsi="Times New Roman" w:cs="Times New Roman"/>
          <w:sz w:val="24"/>
          <w:szCs w:val="24"/>
          <w:lang w:val="en-NZ" w:bidi="ar-SA"/>
        </w:rPr>
        <w:t>,</w:t>
      </w:r>
      <w:r w:rsidRPr="00D17A00">
        <w:rPr>
          <w:rFonts w:ascii="Times New Roman" w:hAnsi="Times New Roman" w:cs="Times New Roman"/>
          <w:sz w:val="24"/>
          <w:szCs w:val="24"/>
          <w:lang w:val="en-NZ" w:bidi="ar-SA"/>
        </w:rPr>
        <w:t xml:space="preserve"> 2012</w:t>
      </w:r>
      <w:r>
        <w:rPr>
          <w:rFonts w:ascii="Times New Roman" w:hAnsi="Times New Roman" w:cs="Times New Roman"/>
          <w:sz w:val="24"/>
          <w:szCs w:val="24"/>
          <w:lang w:val="en-NZ" w:bidi="ar-SA"/>
        </w:rPr>
        <w:t>,</w:t>
      </w:r>
      <w:r w:rsidRPr="00D17A00">
        <w:rPr>
          <w:rFonts w:ascii="Times New Roman" w:hAnsi="Times New Roman" w:cs="Times New Roman"/>
          <w:sz w:val="24"/>
          <w:szCs w:val="24"/>
          <w:lang w:val="en-NZ" w:bidi="ar-SA"/>
        </w:rPr>
        <w:t xml:space="preserve"> </w:t>
      </w:r>
      <w:proofErr w:type="gramStart"/>
      <w:r w:rsidRPr="00D17A00">
        <w:rPr>
          <w:rFonts w:ascii="Times New Roman" w:hAnsi="Times New Roman" w:cs="Times New Roman"/>
          <w:sz w:val="24"/>
          <w:szCs w:val="24"/>
          <w:lang w:val="en-NZ" w:bidi="ar-SA"/>
        </w:rPr>
        <w:t>Hedging</w:t>
      </w:r>
      <w:proofErr w:type="gramEnd"/>
      <w:r w:rsidRPr="00D17A00">
        <w:rPr>
          <w:rFonts w:ascii="Times New Roman" w:hAnsi="Times New Roman" w:cs="Times New Roman"/>
          <w:sz w:val="24"/>
          <w:szCs w:val="24"/>
          <w:lang w:val="en-NZ" w:bidi="ar-SA"/>
        </w:rPr>
        <w:t xml:space="preserve"> and earnings management in the light of IFRS implementation: Ev</w:t>
      </w:r>
      <w:r>
        <w:rPr>
          <w:rFonts w:ascii="Times New Roman" w:hAnsi="Times New Roman" w:cs="Times New Roman"/>
          <w:sz w:val="24"/>
          <w:szCs w:val="24"/>
          <w:lang w:val="en-NZ" w:bidi="ar-SA"/>
        </w:rPr>
        <w:t>idence from the UK stock market,</w:t>
      </w:r>
      <w:r w:rsidRPr="00D17A00">
        <w:rPr>
          <w:rFonts w:ascii="Times New Roman" w:hAnsi="Times New Roman" w:cs="Times New Roman"/>
          <w:sz w:val="24"/>
          <w:szCs w:val="24"/>
          <w:lang w:val="en-NZ" w:bidi="ar-SA"/>
        </w:rPr>
        <w:t xml:space="preserve"> </w:t>
      </w:r>
      <w:r w:rsidRPr="00B53B2B">
        <w:rPr>
          <w:rFonts w:ascii="Times New Roman" w:hAnsi="Times New Roman" w:cs="Times New Roman"/>
          <w:i/>
          <w:sz w:val="24"/>
          <w:szCs w:val="24"/>
          <w:lang w:val="en-NZ" w:bidi="ar-SA"/>
        </w:rPr>
        <w:t>The British Accounting Review</w:t>
      </w:r>
      <w:r w:rsidRPr="00D17A00">
        <w:rPr>
          <w:rFonts w:ascii="Times New Roman" w:hAnsi="Times New Roman" w:cs="Times New Roman"/>
          <w:sz w:val="24"/>
          <w:szCs w:val="24"/>
          <w:lang w:val="en-NZ" w:bidi="ar-SA"/>
        </w:rPr>
        <w:t xml:space="preserve"> </w:t>
      </w:r>
      <w:r w:rsidRPr="00D17A00">
        <w:rPr>
          <w:rFonts w:ascii="Times New Roman" w:hAnsi="Times New Roman" w:cs="Times New Roman"/>
          <w:bCs/>
          <w:sz w:val="24"/>
          <w:szCs w:val="24"/>
          <w:lang w:val="en-NZ" w:bidi="ar-SA"/>
        </w:rPr>
        <w:t>44</w:t>
      </w:r>
      <w:r>
        <w:rPr>
          <w:rFonts w:ascii="Times New Roman" w:hAnsi="Times New Roman" w:cs="Times New Roman"/>
          <w:sz w:val="24"/>
          <w:szCs w:val="24"/>
          <w:lang w:val="en-NZ" w:bidi="ar-SA"/>
        </w:rPr>
        <w:t>,</w:t>
      </w:r>
      <w:r w:rsidRPr="00D17A00">
        <w:rPr>
          <w:rFonts w:ascii="Times New Roman" w:hAnsi="Times New Roman" w:cs="Times New Roman"/>
          <w:sz w:val="24"/>
          <w:szCs w:val="24"/>
          <w:lang w:val="en-NZ" w:bidi="ar-SA"/>
        </w:rPr>
        <w:t xml:space="preserve"> 21-35.</w:t>
      </w:r>
    </w:p>
    <w:p w:rsidR="00C445B0" w:rsidRDefault="00C445B0" w:rsidP="00C445B0">
      <w:pPr>
        <w:rPr>
          <w:rFonts w:ascii="Times New Roman" w:hAnsi="Times New Roman"/>
          <w:sz w:val="24"/>
        </w:rPr>
      </w:pPr>
      <w:proofErr w:type="spellStart"/>
      <w:r w:rsidRPr="0046011D">
        <w:rPr>
          <w:rFonts w:ascii="Times New Roman" w:hAnsi="Times New Roman"/>
          <w:sz w:val="24"/>
        </w:rPr>
        <w:t>Jermakowicz</w:t>
      </w:r>
      <w:proofErr w:type="spellEnd"/>
      <w:r w:rsidRPr="0046011D">
        <w:rPr>
          <w:rFonts w:ascii="Times New Roman" w:hAnsi="Times New Roman"/>
          <w:sz w:val="24"/>
        </w:rPr>
        <w:t xml:space="preserve">, E. K., </w:t>
      </w:r>
      <w:r>
        <w:rPr>
          <w:rFonts w:ascii="Times New Roman" w:hAnsi="Times New Roman"/>
          <w:sz w:val="24"/>
        </w:rPr>
        <w:t xml:space="preserve">J. </w:t>
      </w:r>
      <w:r w:rsidRPr="0046011D">
        <w:rPr>
          <w:rFonts w:ascii="Times New Roman" w:hAnsi="Times New Roman"/>
          <w:sz w:val="24"/>
        </w:rPr>
        <w:t xml:space="preserve">Prather-Kinsey, and </w:t>
      </w:r>
      <w:r>
        <w:rPr>
          <w:rFonts w:ascii="Times New Roman" w:hAnsi="Times New Roman"/>
          <w:sz w:val="24"/>
        </w:rPr>
        <w:t xml:space="preserve">I. </w:t>
      </w:r>
      <w:proofErr w:type="spellStart"/>
      <w:r w:rsidRPr="0046011D">
        <w:rPr>
          <w:rFonts w:ascii="Times New Roman" w:hAnsi="Times New Roman"/>
          <w:sz w:val="24"/>
        </w:rPr>
        <w:t>Wulf</w:t>
      </w:r>
      <w:proofErr w:type="spellEnd"/>
      <w:r w:rsidRPr="0046011D">
        <w:rPr>
          <w:rFonts w:ascii="Times New Roman" w:hAnsi="Times New Roman"/>
          <w:sz w:val="24"/>
        </w:rPr>
        <w:t>, 2007</w:t>
      </w:r>
      <w:r>
        <w:rPr>
          <w:rFonts w:ascii="Times New Roman" w:hAnsi="Times New Roman"/>
          <w:sz w:val="24"/>
        </w:rPr>
        <w:t>, The value relevance of accounting income reported by DAX-30 German c</w:t>
      </w:r>
      <w:r w:rsidRPr="0046011D">
        <w:rPr>
          <w:rFonts w:ascii="Times New Roman" w:hAnsi="Times New Roman"/>
          <w:sz w:val="24"/>
        </w:rPr>
        <w:t>ompanies</w:t>
      </w:r>
      <w:r>
        <w:rPr>
          <w:rFonts w:ascii="Times New Roman" w:hAnsi="Times New Roman"/>
          <w:sz w:val="24"/>
        </w:rPr>
        <w:t>,</w:t>
      </w:r>
      <w:r w:rsidRPr="0046011D">
        <w:rPr>
          <w:rFonts w:ascii="Times New Roman" w:hAnsi="Times New Roman"/>
          <w:sz w:val="24"/>
        </w:rPr>
        <w:t xml:space="preserve"> </w:t>
      </w:r>
      <w:r w:rsidRPr="007271B1">
        <w:rPr>
          <w:rFonts w:ascii="Times New Roman" w:hAnsi="Times New Roman"/>
          <w:i/>
          <w:sz w:val="24"/>
        </w:rPr>
        <w:t>Journal of International Financial Management and Accounting</w:t>
      </w:r>
      <w:r w:rsidRPr="0046011D">
        <w:rPr>
          <w:rFonts w:ascii="Times New Roman" w:hAnsi="Times New Roman"/>
          <w:sz w:val="24"/>
        </w:rPr>
        <w:t xml:space="preserve"> 18, 151-191.</w:t>
      </w:r>
    </w:p>
    <w:p w:rsidR="00C445B0" w:rsidRPr="0046011D" w:rsidRDefault="00C445B0" w:rsidP="00C445B0">
      <w:pPr>
        <w:rPr>
          <w:rFonts w:ascii="Times New Roman" w:hAnsi="Times New Roman"/>
          <w:sz w:val="24"/>
        </w:rPr>
      </w:pPr>
      <w:r w:rsidRPr="00D17A00">
        <w:rPr>
          <w:rFonts w:ascii="Times New Roman" w:hAnsi="Times New Roman" w:cs="Times New Roman"/>
          <w:sz w:val="24"/>
          <w:szCs w:val="24"/>
          <w:lang w:val="en-NZ" w:bidi="ar-SA"/>
        </w:rPr>
        <w:t xml:space="preserve">Jones, S. and </w:t>
      </w:r>
      <w:r>
        <w:rPr>
          <w:rFonts w:ascii="Times New Roman" w:hAnsi="Times New Roman" w:cs="Times New Roman"/>
          <w:sz w:val="24"/>
          <w:szCs w:val="24"/>
          <w:lang w:val="en-NZ" w:bidi="ar-SA"/>
        </w:rPr>
        <w:t xml:space="preserve">A. </w:t>
      </w:r>
      <w:r w:rsidRPr="00D17A00">
        <w:rPr>
          <w:rFonts w:ascii="Times New Roman" w:hAnsi="Times New Roman" w:cs="Times New Roman"/>
          <w:sz w:val="24"/>
          <w:szCs w:val="24"/>
          <w:lang w:val="en-NZ" w:bidi="ar-SA"/>
        </w:rPr>
        <w:t>Finley</w:t>
      </w:r>
      <w:r>
        <w:rPr>
          <w:rFonts w:ascii="Times New Roman" w:hAnsi="Times New Roman" w:cs="Times New Roman"/>
          <w:sz w:val="24"/>
          <w:szCs w:val="24"/>
          <w:lang w:val="en-NZ" w:bidi="ar-SA"/>
        </w:rPr>
        <w:t xml:space="preserve">, </w:t>
      </w:r>
      <w:r w:rsidRPr="00D17A00">
        <w:rPr>
          <w:rFonts w:ascii="Times New Roman" w:hAnsi="Times New Roman" w:cs="Times New Roman"/>
          <w:sz w:val="24"/>
          <w:szCs w:val="24"/>
          <w:lang w:val="en-NZ" w:bidi="ar-SA"/>
        </w:rPr>
        <w:t>2011</w:t>
      </w:r>
      <w:r>
        <w:rPr>
          <w:rFonts w:ascii="Times New Roman" w:hAnsi="Times New Roman" w:cs="Times New Roman"/>
          <w:sz w:val="24"/>
          <w:szCs w:val="24"/>
          <w:lang w:val="en-NZ" w:bidi="ar-SA"/>
        </w:rPr>
        <w:t>,</w:t>
      </w:r>
      <w:r w:rsidRPr="00D17A00">
        <w:rPr>
          <w:rFonts w:ascii="Times New Roman" w:hAnsi="Times New Roman" w:cs="Times New Roman"/>
          <w:sz w:val="24"/>
          <w:szCs w:val="24"/>
          <w:lang w:val="en-NZ" w:bidi="ar-SA"/>
        </w:rPr>
        <w:t xml:space="preserve"> Have IFRS made a difference to intra-country financial reporting diversity</w:t>
      </w:r>
      <w:proofErr w:type="gramStart"/>
      <w:r w:rsidRPr="00D17A00">
        <w:rPr>
          <w:rFonts w:ascii="Times New Roman" w:hAnsi="Times New Roman" w:cs="Times New Roman"/>
          <w:sz w:val="24"/>
          <w:szCs w:val="24"/>
          <w:lang w:val="en-NZ" w:bidi="ar-SA"/>
        </w:rPr>
        <w:t>?</w:t>
      </w:r>
      <w:r>
        <w:rPr>
          <w:rFonts w:ascii="Times New Roman" w:hAnsi="Times New Roman" w:cs="Times New Roman"/>
          <w:sz w:val="24"/>
          <w:szCs w:val="24"/>
          <w:lang w:val="en-NZ" w:bidi="ar-SA"/>
        </w:rPr>
        <w:t>,</w:t>
      </w:r>
      <w:proofErr w:type="gramEnd"/>
      <w:r w:rsidRPr="00D17A00">
        <w:rPr>
          <w:rFonts w:ascii="Times New Roman" w:hAnsi="Times New Roman" w:cs="Times New Roman"/>
          <w:sz w:val="24"/>
          <w:szCs w:val="24"/>
          <w:lang w:val="en-NZ" w:bidi="ar-SA"/>
        </w:rPr>
        <w:t xml:space="preserve"> </w:t>
      </w:r>
      <w:r w:rsidRPr="00B53B2B">
        <w:rPr>
          <w:rFonts w:ascii="Times New Roman" w:hAnsi="Times New Roman" w:cs="Times New Roman"/>
          <w:i/>
          <w:sz w:val="24"/>
          <w:szCs w:val="24"/>
          <w:lang w:val="en-NZ" w:bidi="ar-SA"/>
        </w:rPr>
        <w:t>The British Accounting Review</w:t>
      </w:r>
      <w:r w:rsidRPr="00D17A00">
        <w:rPr>
          <w:rFonts w:ascii="Times New Roman" w:hAnsi="Times New Roman" w:cs="Times New Roman"/>
          <w:sz w:val="24"/>
          <w:szCs w:val="24"/>
          <w:lang w:val="en-NZ" w:bidi="ar-SA"/>
        </w:rPr>
        <w:t xml:space="preserve"> </w:t>
      </w:r>
      <w:r w:rsidRPr="00D17A00">
        <w:rPr>
          <w:rFonts w:ascii="Times New Roman" w:hAnsi="Times New Roman" w:cs="Times New Roman"/>
          <w:bCs/>
          <w:sz w:val="24"/>
          <w:szCs w:val="24"/>
          <w:lang w:val="en-NZ" w:bidi="ar-SA"/>
        </w:rPr>
        <w:t>43</w:t>
      </w:r>
      <w:r w:rsidRPr="00D17A00">
        <w:rPr>
          <w:rFonts w:ascii="Times New Roman" w:hAnsi="Times New Roman" w:cs="Times New Roman"/>
          <w:sz w:val="24"/>
          <w:szCs w:val="24"/>
          <w:lang w:val="en-NZ" w:bidi="ar-SA"/>
        </w:rPr>
        <w:t>, 22-38.</w:t>
      </w:r>
    </w:p>
    <w:p w:rsidR="00C445B0" w:rsidRPr="0046011D" w:rsidRDefault="00C445B0" w:rsidP="00C445B0">
      <w:pPr>
        <w:rPr>
          <w:rFonts w:ascii="Times New Roman" w:hAnsi="Times New Roman"/>
          <w:sz w:val="24"/>
        </w:rPr>
      </w:pPr>
      <w:r w:rsidRPr="0046011D">
        <w:rPr>
          <w:rFonts w:ascii="Times New Roman" w:hAnsi="Times New Roman"/>
          <w:sz w:val="24"/>
        </w:rPr>
        <w:lastRenderedPageBreak/>
        <w:t xml:space="preserve">Jones, S., and </w:t>
      </w:r>
      <w:r>
        <w:rPr>
          <w:rFonts w:ascii="Times New Roman" w:hAnsi="Times New Roman"/>
          <w:sz w:val="24"/>
        </w:rPr>
        <w:t xml:space="preserve">A. D. </w:t>
      </w:r>
      <w:r w:rsidRPr="0046011D">
        <w:rPr>
          <w:rFonts w:ascii="Times New Roman" w:hAnsi="Times New Roman"/>
          <w:sz w:val="24"/>
        </w:rPr>
        <w:t>Higgins, 2006</w:t>
      </w:r>
      <w:r>
        <w:rPr>
          <w:rFonts w:ascii="Times New Roman" w:hAnsi="Times New Roman"/>
          <w:sz w:val="24"/>
        </w:rPr>
        <w:t>,</w:t>
      </w:r>
      <w:r w:rsidRPr="0046011D">
        <w:rPr>
          <w:rFonts w:ascii="Times New Roman" w:hAnsi="Times New Roman"/>
          <w:sz w:val="24"/>
        </w:rPr>
        <w:t xml:space="preserve"> Australia's switch to international financial reporting standards: a perspective from account preparers</w:t>
      </w:r>
      <w:r>
        <w:rPr>
          <w:rFonts w:ascii="Times New Roman" w:hAnsi="Times New Roman"/>
          <w:sz w:val="24"/>
        </w:rPr>
        <w:t>,</w:t>
      </w:r>
      <w:r w:rsidRPr="0046011D">
        <w:rPr>
          <w:rFonts w:ascii="Times New Roman" w:hAnsi="Times New Roman"/>
          <w:sz w:val="24"/>
        </w:rPr>
        <w:t xml:space="preserve"> </w:t>
      </w:r>
      <w:r w:rsidRPr="007271B1">
        <w:rPr>
          <w:rFonts w:ascii="Times New Roman" w:hAnsi="Times New Roman"/>
          <w:i/>
          <w:sz w:val="24"/>
        </w:rPr>
        <w:t>Accounting and Finance</w:t>
      </w:r>
      <w:r w:rsidRPr="0046011D">
        <w:rPr>
          <w:rFonts w:ascii="Times New Roman" w:hAnsi="Times New Roman"/>
          <w:sz w:val="24"/>
        </w:rPr>
        <w:t xml:space="preserve"> 46, 629-652.</w:t>
      </w:r>
    </w:p>
    <w:p w:rsidR="00C445B0" w:rsidRPr="0046011D" w:rsidRDefault="00C445B0" w:rsidP="00C445B0">
      <w:pPr>
        <w:rPr>
          <w:rFonts w:ascii="Times New Roman" w:hAnsi="Times New Roman"/>
          <w:sz w:val="24"/>
        </w:rPr>
      </w:pPr>
      <w:proofErr w:type="spellStart"/>
      <w:r w:rsidRPr="0046011D">
        <w:rPr>
          <w:rFonts w:ascii="Times New Roman" w:hAnsi="Times New Roman"/>
          <w:sz w:val="24"/>
        </w:rPr>
        <w:t>Kabir</w:t>
      </w:r>
      <w:proofErr w:type="spellEnd"/>
      <w:r w:rsidRPr="0046011D">
        <w:rPr>
          <w:rFonts w:ascii="Times New Roman" w:hAnsi="Times New Roman"/>
          <w:sz w:val="24"/>
        </w:rPr>
        <w:t xml:space="preserve">, M. H., </w:t>
      </w:r>
      <w:r>
        <w:rPr>
          <w:rFonts w:ascii="Times New Roman" w:hAnsi="Times New Roman"/>
          <w:sz w:val="24"/>
        </w:rPr>
        <w:t xml:space="preserve">F. </w:t>
      </w:r>
      <w:r w:rsidRPr="0046011D">
        <w:rPr>
          <w:rFonts w:ascii="Times New Roman" w:hAnsi="Times New Roman"/>
          <w:sz w:val="24"/>
        </w:rPr>
        <w:t>Laswad, and</w:t>
      </w:r>
      <w:r w:rsidRPr="00CE2077">
        <w:rPr>
          <w:rFonts w:ascii="Times New Roman" w:hAnsi="Times New Roman"/>
          <w:sz w:val="24"/>
        </w:rPr>
        <w:t xml:space="preserve"> </w:t>
      </w:r>
      <w:r>
        <w:rPr>
          <w:rFonts w:ascii="Times New Roman" w:hAnsi="Times New Roman"/>
          <w:sz w:val="24"/>
        </w:rPr>
        <w:t>M. A.</w:t>
      </w:r>
      <w:r w:rsidRPr="0046011D">
        <w:rPr>
          <w:rFonts w:ascii="Times New Roman" w:hAnsi="Times New Roman"/>
          <w:sz w:val="24"/>
        </w:rPr>
        <w:t xml:space="preserve"> Islam, 2010</w:t>
      </w:r>
      <w:r>
        <w:rPr>
          <w:rFonts w:ascii="Times New Roman" w:hAnsi="Times New Roman"/>
          <w:sz w:val="24"/>
        </w:rPr>
        <w:t>,</w:t>
      </w:r>
      <w:r w:rsidRPr="0046011D">
        <w:rPr>
          <w:rFonts w:ascii="Times New Roman" w:hAnsi="Times New Roman"/>
          <w:sz w:val="24"/>
        </w:rPr>
        <w:t xml:space="preserve"> Impact of IFRS in New Zealand o</w:t>
      </w:r>
      <w:r>
        <w:rPr>
          <w:rFonts w:ascii="Times New Roman" w:hAnsi="Times New Roman"/>
          <w:sz w:val="24"/>
        </w:rPr>
        <w:t>n accounts and earnings quality,</w:t>
      </w:r>
      <w:r w:rsidRPr="0046011D">
        <w:rPr>
          <w:rFonts w:ascii="Times New Roman" w:hAnsi="Times New Roman"/>
          <w:sz w:val="24"/>
        </w:rPr>
        <w:t xml:space="preserve"> </w:t>
      </w:r>
      <w:r w:rsidRPr="007271B1">
        <w:rPr>
          <w:rFonts w:ascii="Times New Roman" w:hAnsi="Times New Roman"/>
          <w:i/>
          <w:sz w:val="24"/>
        </w:rPr>
        <w:t>Australian Accounting Review</w:t>
      </w:r>
      <w:r w:rsidRPr="0046011D">
        <w:rPr>
          <w:rFonts w:ascii="Times New Roman" w:hAnsi="Times New Roman"/>
          <w:sz w:val="24"/>
        </w:rPr>
        <w:t xml:space="preserve"> 20, 343-357.</w:t>
      </w:r>
    </w:p>
    <w:p w:rsidR="000D360F" w:rsidRPr="00B11B74" w:rsidRDefault="000D360F" w:rsidP="000D360F">
      <w:pPr>
        <w:autoSpaceDE w:val="0"/>
        <w:autoSpaceDN w:val="0"/>
        <w:adjustRightInd w:val="0"/>
        <w:spacing w:after="0"/>
        <w:ind w:firstLine="426"/>
        <w:rPr>
          <w:rFonts w:ascii="Times New Roman" w:hAnsi="Times New Roman"/>
          <w:sz w:val="24"/>
        </w:rPr>
      </w:pPr>
      <w:r w:rsidRPr="00B11B74">
        <w:rPr>
          <w:rFonts w:ascii="Times New Roman" w:hAnsi="Times New Roman"/>
          <w:sz w:val="24"/>
        </w:rPr>
        <w:t>K</w:t>
      </w:r>
      <w:r>
        <w:rPr>
          <w:rFonts w:ascii="Times New Roman" w:hAnsi="Times New Roman"/>
          <w:sz w:val="24"/>
        </w:rPr>
        <w:t>ASB</w:t>
      </w:r>
      <w:r w:rsidRPr="00B11B74">
        <w:rPr>
          <w:rFonts w:ascii="Times New Roman" w:hAnsi="Times New Roman"/>
          <w:sz w:val="24"/>
        </w:rPr>
        <w:t xml:space="preserve">, </w:t>
      </w:r>
      <w:r>
        <w:rPr>
          <w:rFonts w:ascii="Times New Roman" w:hAnsi="Times New Roman"/>
          <w:sz w:val="24"/>
        </w:rPr>
        <w:t>2013,</w:t>
      </w:r>
      <w:r w:rsidRPr="00B11B74">
        <w:rPr>
          <w:rFonts w:ascii="Arial-BoldMT" w:hAnsi="Arial-BoldMT" w:cs="Arial-BoldMT"/>
          <w:b/>
          <w:bCs/>
          <w:sz w:val="32"/>
          <w:szCs w:val="32"/>
          <w:lang w:val="en-NZ" w:bidi="ar-SA"/>
        </w:rPr>
        <w:t xml:space="preserve"> </w:t>
      </w:r>
      <w:r w:rsidRPr="00B11B74">
        <w:rPr>
          <w:rFonts w:ascii="Times New Roman" w:hAnsi="Times New Roman"/>
          <w:i/>
          <w:sz w:val="24"/>
        </w:rPr>
        <w:t>IFRS Adoption and Implementation in</w:t>
      </w:r>
      <w:r>
        <w:rPr>
          <w:rFonts w:ascii="Times New Roman" w:hAnsi="Times New Roman"/>
          <w:i/>
          <w:sz w:val="24"/>
        </w:rPr>
        <w:t xml:space="preserve"> </w:t>
      </w:r>
      <w:r w:rsidRPr="00B11B74">
        <w:rPr>
          <w:rFonts w:ascii="Times New Roman" w:hAnsi="Times New Roman"/>
          <w:i/>
          <w:sz w:val="24"/>
        </w:rPr>
        <w:t>Korea, and the Lessons Learned</w:t>
      </w:r>
      <w:r>
        <w:rPr>
          <w:rFonts w:ascii="Times New Roman" w:hAnsi="Times New Roman"/>
          <w:sz w:val="24"/>
        </w:rPr>
        <w:t xml:space="preserve">, </w:t>
      </w:r>
      <w:r w:rsidRPr="00B11B74">
        <w:rPr>
          <w:rFonts w:ascii="Times New Roman" w:hAnsi="Times New Roman"/>
          <w:sz w:val="24"/>
        </w:rPr>
        <w:t>Ko</w:t>
      </w:r>
      <w:r>
        <w:rPr>
          <w:rFonts w:ascii="Times New Roman" w:hAnsi="Times New Roman"/>
          <w:sz w:val="24"/>
        </w:rPr>
        <w:t>rean Accounting Standards Board.</w:t>
      </w:r>
    </w:p>
    <w:p w:rsidR="00C445B0" w:rsidRDefault="00C445B0" w:rsidP="00C445B0">
      <w:pPr>
        <w:rPr>
          <w:rFonts w:ascii="Times New Roman" w:hAnsi="Times New Roman"/>
          <w:sz w:val="24"/>
        </w:rPr>
      </w:pPr>
      <w:proofErr w:type="gramStart"/>
      <w:r w:rsidRPr="0046011D">
        <w:rPr>
          <w:rFonts w:ascii="Times New Roman" w:hAnsi="Times New Roman"/>
          <w:sz w:val="24"/>
        </w:rPr>
        <w:t>Keenan, M. G.</w:t>
      </w:r>
      <w:r>
        <w:rPr>
          <w:rFonts w:ascii="Times New Roman" w:hAnsi="Times New Roman"/>
          <w:sz w:val="24"/>
        </w:rPr>
        <w:t>,</w:t>
      </w:r>
      <w:r w:rsidRPr="0046011D">
        <w:rPr>
          <w:rFonts w:ascii="Times New Roman" w:hAnsi="Times New Roman"/>
          <w:sz w:val="24"/>
        </w:rPr>
        <w:t xml:space="preserve"> 2011</w:t>
      </w:r>
      <w:r>
        <w:rPr>
          <w:rFonts w:ascii="Times New Roman" w:hAnsi="Times New Roman"/>
          <w:sz w:val="24"/>
        </w:rPr>
        <w:t>,</w:t>
      </w:r>
      <w:r w:rsidRPr="0046011D">
        <w:rPr>
          <w:rFonts w:ascii="Times New Roman" w:hAnsi="Times New Roman"/>
          <w:sz w:val="24"/>
        </w:rPr>
        <w:t xml:space="preserve"> Accounting choice,</w:t>
      </w:r>
      <w:r>
        <w:rPr>
          <w:rFonts w:ascii="Times New Roman" w:hAnsi="Times New Roman"/>
          <w:sz w:val="24"/>
        </w:rPr>
        <w:t xml:space="preserve"> market failure, and regulation,</w:t>
      </w:r>
      <w:r w:rsidRPr="0046011D">
        <w:rPr>
          <w:rFonts w:ascii="Times New Roman" w:hAnsi="Times New Roman"/>
          <w:sz w:val="24"/>
        </w:rPr>
        <w:t xml:space="preserve"> </w:t>
      </w:r>
      <w:r w:rsidRPr="007271B1">
        <w:rPr>
          <w:rFonts w:ascii="Times New Roman" w:hAnsi="Times New Roman"/>
          <w:i/>
          <w:sz w:val="24"/>
        </w:rPr>
        <w:t>Pacific Accounting Review</w:t>
      </w:r>
      <w:r w:rsidRPr="0046011D">
        <w:rPr>
          <w:rFonts w:ascii="Times New Roman" w:hAnsi="Times New Roman"/>
          <w:sz w:val="24"/>
        </w:rPr>
        <w:t xml:space="preserve"> 23, 101-121.</w:t>
      </w:r>
      <w:proofErr w:type="gramEnd"/>
    </w:p>
    <w:p w:rsidR="00C445B0" w:rsidRDefault="00C445B0" w:rsidP="00C445B0">
      <w:pPr>
        <w:rPr>
          <w:rFonts w:ascii="Times New Roman" w:hAnsi="Times New Roman"/>
          <w:sz w:val="24"/>
        </w:rPr>
      </w:pPr>
      <w:proofErr w:type="spellStart"/>
      <w:r w:rsidRPr="00F5469E">
        <w:rPr>
          <w:rFonts w:ascii="Times New Roman" w:hAnsi="Times New Roman"/>
          <w:sz w:val="24"/>
        </w:rPr>
        <w:t>Krippendorff</w:t>
      </w:r>
      <w:proofErr w:type="spellEnd"/>
      <w:r w:rsidRPr="00F5469E">
        <w:rPr>
          <w:rFonts w:ascii="Times New Roman" w:hAnsi="Times New Roman"/>
          <w:sz w:val="24"/>
        </w:rPr>
        <w:t>, K.</w:t>
      </w:r>
      <w:r>
        <w:rPr>
          <w:rFonts w:ascii="Times New Roman" w:hAnsi="Times New Roman"/>
          <w:sz w:val="24"/>
        </w:rPr>
        <w:t>,</w:t>
      </w:r>
      <w:r w:rsidRPr="00F5469E">
        <w:rPr>
          <w:rFonts w:ascii="Times New Roman" w:hAnsi="Times New Roman"/>
          <w:sz w:val="24"/>
        </w:rPr>
        <w:t xml:space="preserve"> 2004</w:t>
      </w:r>
      <w:r>
        <w:rPr>
          <w:rFonts w:ascii="Times New Roman" w:hAnsi="Times New Roman"/>
          <w:sz w:val="24"/>
        </w:rPr>
        <w:t>,</w:t>
      </w:r>
      <w:r w:rsidRPr="00F5469E">
        <w:rPr>
          <w:rFonts w:ascii="Times New Roman" w:hAnsi="Times New Roman"/>
          <w:sz w:val="24"/>
        </w:rPr>
        <w:t xml:space="preserve"> </w:t>
      </w:r>
      <w:r w:rsidRPr="00F5469E">
        <w:rPr>
          <w:rFonts w:ascii="Times New Roman" w:hAnsi="Times New Roman"/>
          <w:i/>
          <w:sz w:val="24"/>
        </w:rPr>
        <w:t>Content Analysis: An Introduction to its Methodology</w:t>
      </w:r>
      <w:r w:rsidRPr="00F5469E">
        <w:rPr>
          <w:rFonts w:ascii="Times New Roman" w:hAnsi="Times New Roman"/>
          <w:sz w:val="24"/>
        </w:rPr>
        <w:t xml:space="preserve"> 2nd ed.</w:t>
      </w:r>
      <w:r>
        <w:rPr>
          <w:rFonts w:ascii="Times New Roman" w:hAnsi="Times New Roman"/>
          <w:sz w:val="24"/>
        </w:rPr>
        <w:t>,</w:t>
      </w:r>
      <w:r w:rsidRPr="00F5469E">
        <w:rPr>
          <w:rFonts w:ascii="Times New Roman" w:hAnsi="Times New Roman"/>
          <w:sz w:val="24"/>
        </w:rPr>
        <w:t xml:space="preserve"> London: Sage Publications.</w:t>
      </w:r>
    </w:p>
    <w:p w:rsidR="009605D6" w:rsidRDefault="00C445B0" w:rsidP="009605D6">
      <w:pPr>
        <w:rPr>
          <w:rFonts w:ascii="Times New Roman" w:hAnsi="Times New Roman"/>
          <w:sz w:val="24"/>
        </w:rPr>
      </w:pPr>
      <w:proofErr w:type="spellStart"/>
      <w:r w:rsidRPr="0046011D">
        <w:rPr>
          <w:rFonts w:ascii="Times New Roman" w:hAnsi="Times New Roman"/>
          <w:sz w:val="24"/>
        </w:rPr>
        <w:t>Lantto</w:t>
      </w:r>
      <w:proofErr w:type="spellEnd"/>
      <w:r w:rsidRPr="0046011D">
        <w:rPr>
          <w:rFonts w:ascii="Times New Roman" w:hAnsi="Times New Roman"/>
          <w:sz w:val="24"/>
        </w:rPr>
        <w:t>, A-M.</w:t>
      </w:r>
      <w:r>
        <w:rPr>
          <w:rFonts w:ascii="Times New Roman" w:hAnsi="Times New Roman"/>
          <w:sz w:val="24"/>
        </w:rPr>
        <w:t>,</w:t>
      </w:r>
      <w:r w:rsidRPr="0046011D">
        <w:rPr>
          <w:rFonts w:ascii="Times New Roman" w:hAnsi="Times New Roman"/>
          <w:sz w:val="24"/>
        </w:rPr>
        <w:t xml:space="preserve"> 2006</w:t>
      </w:r>
      <w:r>
        <w:rPr>
          <w:rFonts w:ascii="Times New Roman" w:hAnsi="Times New Roman"/>
          <w:sz w:val="24"/>
        </w:rPr>
        <w:t>, Usefulness of accounting information: IFRS compared to domestic GAAP,</w:t>
      </w:r>
      <w:r w:rsidRPr="0046011D">
        <w:rPr>
          <w:rFonts w:ascii="Times New Roman" w:hAnsi="Times New Roman"/>
          <w:sz w:val="24"/>
        </w:rPr>
        <w:t xml:space="preserve"> Working paper</w:t>
      </w:r>
      <w:proofErr w:type="gramStart"/>
      <w:r w:rsidRPr="0046011D">
        <w:rPr>
          <w:rFonts w:ascii="Times New Roman" w:hAnsi="Times New Roman"/>
          <w:sz w:val="24"/>
        </w:rPr>
        <w:t>,  SSRN</w:t>
      </w:r>
      <w:proofErr w:type="gramEnd"/>
      <w:r w:rsidRPr="0046011D">
        <w:rPr>
          <w:rFonts w:ascii="Times New Roman" w:hAnsi="Times New Roman"/>
          <w:sz w:val="24"/>
        </w:rPr>
        <w:t xml:space="preserve"> </w:t>
      </w:r>
      <w:proofErr w:type="spellStart"/>
      <w:r w:rsidRPr="0046011D">
        <w:rPr>
          <w:rFonts w:ascii="Times New Roman" w:hAnsi="Times New Roman"/>
          <w:sz w:val="24"/>
        </w:rPr>
        <w:t>eLibrary</w:t>
      </w:r>
      <w:proofErr w:type="spellEnd"/>
      <w:r w:rsidRPr="0046011D">
        <w:rPr>
          <w:rFonts w:ascii="Times New Roman" w:hAnsi="Times New Roman"/>
          <w:sz w:val="24"/>
        </w:rPr>
        <w:t>.</w:t>
      </w:r>
    </w:p>
    <w:p w:rsidR="009605D6" w:rsidRPr="00F5469E" w:rsidRDefault="009605D6" w:rsidP="009605D6">
      <w:pPr>
        <w:rPr>
          <w:rFonts w:ascii="Times New Roman" w:hAnsi="Times New Roman"/>
          <w:sz w:val="24"/>
        </w:rPr>
      </w:pPr>
      <w:r w:rsidRPr="009605D6">
        <w:rPr>
          <w:rFonts w:ascii="Times New Roman" w:hAnsi="Times New Roman" w:cs="Times New Roman"/>
          <w:sz w:val="24"/>
          <w:szCs w:val="24"/>
        </w:rPr>
        <w:t xml:space="preserve"> </w:t>
      </w:r>
      <w:proofErr w:type="spellStart"/>
      <w:r w:rsidRPr="002E1F01">
        <w:rPr>
          <w:rFonts w:ascii="Times New Roman" w:hAnsi="Times New Roman" w:cs="Times New Roman"/>
          <w:sz w:val="24"/>
          <w:szCs w:val="24"/>
        </w:rPr>
        <w:t>Leuz</w:t>
      </w:r>
      <w:proofErr w:type="spellEnd"/>
      <w:r w:rsidRPr="002E1F01">
        <w:rPr>
          <w:rFonts w:ascii="Times New Roman" w:hAnsi="Times New Roman" w:cs="Times New Roman"/>
          <w:sz w:val="24"/>
          <w:szCs w:val="24"/>
        </w:rPr>
        <w:t>, C.</w:t>
      </w:r>
      <w:r>
        <w:rPr>
          <w:rFonts w:ascii="Times New Roman" w:hAnsi="Times New Roman" w:cs="Times New Roman"/>
          <w:sz w:val="24"/>
          <w:szCs w:val="24"/>
        </w:rPr>
        <w:t>,</w:t>
      </w:r>
      <w:r w:rsidRPr="002E1F01">
        <w:rPr>
          <w:rFonts w:ascii="Times New Roman" w:hAnsi="Times New Roman" w:cs="Times New Roman"/>
          <w:sz w:val="24"/>
          <w:szCs w:val="24"/>
        </w:rPr>
        <w:t xml:space="preserve"> and </w:t>
      </w:r>
      <w:r>
        <w:rPr>
          <w:rFonts w:ascii="Times New Roman" w:hAnsi="Times New Roman" w:cs="Times New Roman"/>
          <w:sz w:val="24"/>
          <w:szCs w:val="24"/>
        </w:rPr>
        <w:t xml:space="preserve">R. </w:t>
      </w:r>
      <w:proofErr w:type="spellStart"/>
      <w:r w:rsidRPr="002E1F01">
        <w:rPr>
          <w:rFonts w:ascii="Times New Roman" w:hAnsi="Times New Roman" w:cs="Times New Roman"/>
          <w:sz w:val="24"/>
          <w:szCs w:val="24"/>
        </w:rPr>
        <w:t>Verecchia</w:t>
      </w:r>
      <w:proofErr w:type="spellEnd"/>
      <w:r w:rsidRPr="002E1F01">
        <w:rPr>
          <w:rFonts w:ascii="Times New Roman" w:hAnsi="Times New Roman" w:cs="Times New Roman"/>
          <w:sz w:val="24"/>
          <w:szCs w:val="24"/>
        </w:rPr>
        <w:t>, 2000</w:t>
      </w:r>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economic consequences of increased disclosure, </w:t>
      </w:r>
      <w:r w:rsidRPr="0062765A">
        <w:rPr>
          <w:rFonts w:ascii="Times New Roman" w:hAnsi="Times New Roman" w:cs="Times New Roman"/>
          <w:i/>
          <w:sz w:val="24"/>
          <w:szCs w:val="24"/>
        </w:rPr>
        <w:t>Journal of Accounting Research</w:t>
      </w:r>
      <w:r>
        <w:rPr>
          <w:rFonts w:ascii="Times New Roman" w:hAnsi="Times New Roman" w:cs="Times New Roman"/>
          <w:sz w:val="24"/>
          <w:szCs w:val="24"/>
        </w:rPr>
        <w:t xml:space="preserve"> 38, 91-124.</w:t>
      </w:r>
    </w:p>
    <w:p w:rsidR="00C445B0" w:rsidRDefault="00C445B0" w:rsidP="00C445B0">
      <w:pPr>
        <w:rPr>
          <w:rFonts w:ascii="Times New Roman" w:hAnsi="Times New Roman" w:cs="Times New Roman"/>
          <w:sz w:val="24"/>
          <w:szCs w:val="24"/>
          <w:lang w:val="en-NZ" w:bidi="ar-SA"/>
        </w:rPr>
      </w:pPr>
      <w:proofErr w:type="spellStart"/>
      <w:r w:rsidRPr="00EF4348">
        <w:rPr>
          <w:rFonts w:ascii="Times New Roman" w:hAnsi="Times New Roman" w:cs="Times New Roman"/>
          <w:sz w:val="24"/>
          <w:szCs w:val="24"/>
          <w:lang w:val="en-NZ" w:bidi="ar-SA"/>
        </w:rPr>
        <w:t>Litjens</w:t>
      </w:r>
      <w:proofErr w:type="spellEnd"/>
      <w:r w:rsidRPr="00EF4348">
        <w:rPr>
          <w:rFonts w:ascii="Times New Roman" w:hAnsi="Times New Roman" w:cs="Times New Roman"/>
          <w:sz w:val="24"/>
          <w:szCs w:val="24"/>
          <w:lang w:val="en-NZ" w:bidi="ar-SA"/>
        </w:rPr>
        <w:t xml:space="preserve">, R., </w:t>
      </w:r>
      <w:r>
        <w:rPr>
          <w:rFonts w:ascii="Times New Roman" w:hAnsi="Times New Roman" w:cs="Times New Roman"/>
          <w:sz w:val="24"/>
          <w:szCs w:val="24"/>
          <w:lang w:val="en-NZ" w:bidi="ar-SA"/>
        </w:rPr>
        <w:t xml:space="preserve">S. </w:t>
      </w:r>
      <w:proofErr w:type="spellStart"/>
      <w:r w:rsidRPr="00EF4348">
        <w:rPr>
          <w:rFonts w:ascii="Times New Roman" w:hAnsi="Times New Roman" w:cs="Times New Roman"/>
          <w:sz w:val="24"/>
          <w:szCs w:val="24"/>
          <w:lang w:val="en-NZ" w:bidi="ar-SA"/>
        </w:rPr>
        <w:t>Bissessur</w:t>
      </w:r>
      <w:proofErr w:type="spellEnd"/>
      <w:r w:rsidRPr="00EF4348">
        <w:rPr>
          <w:rFonts w:ascii="Times New Roman" w:hAnsi="Times New Roman" w:cs="Times New Roman"/>
          <w:sz w:val="24"/>
          <w:szCs w:val="24"/>
          <w:lang w:val="en-NZ" w:bidi="ar-SA"/>
        </w:rPr>
        <w:t xml:space="preserve">, </w:t>
      </w:r>
      <w:r>
        <w:rPr>
          <w:rFonts w:ascii="Times New Roman" w:hAnsi="Times New Roman" w:cs="Times New Roman"/>
          <w:sz w:val="24"/>
          <w:szCs w:val="24"/>
          <w:lang w:val="en-NZ" w:bidi="ar-SA"/>
        </w:rPr>
        <w:t xml:space="preserve">H. </w:t>
      </w:r>
      <w:proofErr w:type="spellStart"/>
      <w:r w:rsidRPr="00EF4348">
        <w:rPr>
          <w:rFonts w:ascii="Times New Roman" w:hAnsi="Times New Roman" w:cs="Times New Roman"/>
          <w:sz w:val="24"/>
          <w:szCs w:val="24"/>
          <w:lang w:val="en-NZ" w:bidi="ar-SA"/>
        </w:rPr>
        <w:t>Langendijk</w:t>
      </w:r>
      <w:proofErr w:type="spellEnd"/>
      <w:r w:rsidRPr="00EF4348">
        <w:rPr>
          <w:rFonts w:ascii="Times New Roman" w:hAnsi="Times New Roman" w:cs="Times New Roman"/>
          <w:sz w:val="24"/>
          <w:szCs w:val="24"/>
          <w:lang w:val="en-NZ" w:bidi="ar-SA"/>
        </w:rPr>
        <w:t xml:space="preserve">, and </w:t>
      </w:r>
      <w:r>
        <w:rPr>
          <w:rFonts w:ascii="Times New Roman" w:hAnsi="Times New Roman" w:cs="Times New Roman"/>
          <w:sz w:val="24"/>
          <w:szCs w:val="24"/>
          <w:lang w:val="en-NZ" w:bidi="ar-SA"/>
        </w:rPr>
        <w:t xml:space="preserve">R. </w:t>
      </w:r>
      <w:proofErr w:type="spellStart"/>
      <w:r w:rsidRPr="00EF4348">
        <w:rPr>
          <w:rFonts w:ascii="Times New Roman" w:hAnsi="Times New Roman" w:cs="Times New Roman"/>
          <w:sz w:val="24"/>
          <w:szCs w:val="24"/>
          <w:lang w:val="en-NZ" w:bidi="ar-SA"/>
        </w:rPr>
        <w:t>Vergoossen</w:t>
      </w:r>
      <w:proofErr w:type="spellEnd"/>
      <w:r w:rsidRPr="00EF4348">
        <w:rPr>
          <w:rFonts w:ascii="Times New Roman" w:hAnsi="Times New Roman" w:cs="Times New Roman"/>
          <w:sz w:val="24"/>
          <w:szCs w:val="24"/>
          <w:lang w:val="en-NZ" w:bidi="ar-SA"/>
        </w:rPr>
        <w:t>, 2012</w:t>
      </w:r>
      <w:r>
        <w:rPr>
          <w:rFonts w:ascii="Times New Roman" w:hAnsi="Times New Roman" w:cs="Times New Roman"/>
          <w:sz w:val="24"/>
          <w:szCs w:val="24"/>
          <w:lang w:val="en-NZ" w:bidi="ar-SA"/>
        </w:rPr>
        <w:t xml:space="preserve">, </w:t>
      </w:r>
      <w:proofErr w:type="gramStart"/>
      <w:r>
        <w:rPr>
          <w:rFonts w:ascii="Times New Roman" w:hAnsi="Times New Roman" w:cs="Times New Roman"/>
          <w:sz w:val="24"/>
          <w:szCs w:val="24"/>
          <w:lang w:val="en-NZ" w:bidi="ar-SA"/>
        </w:rPr>
        <w:t>How</w:t>
      </w:r>
      <w:proofErr w:type="gramEnd"/>
      <w:r>
        <w:rPr>
          <w:rFonts w:ascii="Times New Roman" w:hAnsi="Times New Roman" w:cs="Times New Roman"/>
          <w:sz w:val="24"/>
          <w:szCs w:val="24"/>
          <w:lang w:val="en-NZ" w:bidi="ar-SA"/>
        </w:rPr>
        <w:t xml:space="preserve"> do preparers perceive costs and b</w:t>
      </w:r>
      <w:r w:rsidRPr="00EF4348">
        <w:rPr>
          <w:rFonts w:ascii="Times New Roman" w:hAnsi="Times New Roman" w:cs="Times New Roman"/>
          <w:sz w:val="24"/>
          <w:szCs w:val="24"/>
          <w:lang w:val="en-NZ" w:bidi="ar-SA"/>
        </w:rPr>
        <w:t xml:space="preserve">enefits of IFRS for SMEs? </w:t>
      </w:r>
      <w:proofErr w:type="gramStart"/>
      <w:r w:rsidRPr="00EF4348">
        <w:rPr>
          <w:rFonts w:ascii="Times New Roman" w:hAnsi="Times New Roman" w:cs="Times New Roman"/>
          <w:sz w:val="24"/>
          <w:szCs w:val="24"/>
          <w:lang w:val="en-NZ" w:bidi="ar-SA"/>
        </w:rPr>
        <w:t>Empir</w:t>
      </w:r>
      <w:r>
        <w:rPr>
          <w:rFonts w:ascii="Times New Roman" w:hAnsi="Times New Roman" w:cs="Times New Roman"/>
          <w:sz w:val="24"/>
          <w:szCs w:val="24"/>
          <w:lang w:val="en-NZ" w:bidi="ar-SA"/>
        </w:rPr>
        <w:t>ical evidence from the Netherlands,</w:t>
      </w:r>
      <w:r w:rsidRPr="00EF4348">
        <w:rPr>
          <w:rFonts w:ascii="Times New Roman" w:hAnsi="Times New Roman" w:cs="Times New Roman"/>
          <w:sz w:val="24"/>
          <w:szCs w:val="24"/>
          <w:lang w:val="en-NZ" w:bidi="ar-SA"/>
        </w:rPr>
        <w:t xml:space="preserve"> </w:t>
      </w:r>
      <w:r w:rsidRPr="00374FC5">
        <w:rPr>
          <w:rFonts w:ascii="Times New Roman" w:hAnsi="Times New Roman" w:cs="Times New Roman"/>
          <w:i/>
          <w:sz w:val="24"/>
          <w:szCs w:val="24"/>
          <w:lang w:val="en-NZ" w:bidi="ar-SA"/>
        </w:rPr>
        <w:t>Accounting in Europe</w:t>
      </w:r>
      <w:r w:rsidRPr="00EF4348">
        <w:rPr>
          <w:rFonts w:ascii="Times New Roman" w:hAnsi="Times New Roman" w:cs="Times New Roman"/>
          <w:sz w:val="24"/>
          <w:szCs w:val="24"/>
          <w:lang w:val="en-NZ" w:bidi="ar-SA"/>
        </w:rPr>
        <w:t xml:space="preserve"> </w:t>
      </w:r>
      <w:r w:rsidRPr="00EF4348">
        <w:rPr>
          <w:rFonts w:ascii="Times New Roman" w:hAnsi="Times New Roman" w:cs="Times New Roman"/>
          <w:bCs/>
          <w:sz w:val="24"/>
          <w:szCs w:val="24"/>
          <w:lang w:val="en-NZ" w:bidi="ar-SA"/>
        </w:rPr>
        <w:t>9</w:t>
      </w:r>
      <w:r w:rsidRPr="00EF4348">
        <w:rPr>
          <w:rFonts w:ascii="Times New Roman" w:hAnsi="Times New Roman" w:cs="Times New Roman"/>
          <w:sz w:val="24"/>
          <w:szCs w:val="24"/>
          <w:lang w:val="en-NZ" w:bidi="ar-SA"/>
        </w:rPr>
        <w:t>, 227-250</w:t>
      </w:r>
      <w:r>
        <w:rPr>
          <w:rFonts w:ascii="Times New Roman" w:hAnsi="Times New Roman" w:cs="Times New Roman"/>
          <w:sz w:val="24"/>
          <w:szCs w:val="24"/>
          <w:lang w:val="en-NZ" w:bidi="ar-SA"/>
        </w:rPr>
        <w:t>.</w:t>
      </w:r>
      <w:proofErr w:type="gramEnd"/>
    </w:p>
    <w:p w:rsidR="009B7897" w:rsidRDefault="009B7897" w:rsidP="009B7897">
      <w:pPr>
        <w:rPr>
          <w:rFonts w:ascii="Times New Roman" w:hAnsi="Times New Roman"/>
          <w:sz w:val="24"/>
        </w:rPr>
      </w:pPr>
      <w:r w:rsidRPr="0046011D">
        <w:rPr>
          <w:rFonts w:ascii="Times New Roman" w:hAnsi="Times New Roman"/>
          <w:sz w:val="24"/>
        </w:rPr>
        <w:t>Lyle, N.</w:t>
      </w:r>
      <w:r>
        <w:rPr>
          <w:rFonts w:ascii="Times New Roman" w:hAnsi="Times New Roman"/>
          <w:sz w:val="24"/>
        </w:rPr>
        <w:t>,</w:t>
      </w:r>
      <w:r w:rsidRPr="0046011D">
        <w:rPr>
          <w:rFonts w:ascii="Times New Roman" w:hAnsi="Times New Roman"/>
          <w:sz w:val="24"/>
        </w:rPr>
        <w:t xml:space="preserve"> 2008</w:t>
      </w:r>
      <w:r>
        <w:rPr>
          <w:rFonts w:ascii="Times New Roman" w:hAnsi="Times New Roman"/>
          <w:sz w:val="24"/>
        </w:rPr>
        <w:t>,</w:t>
      </w:r>
      <w:r w:rsidRPr="0046011D">
        <w:rPr>
          <w:rFonts w:ascii="Times New Roman" w:hAnsi="Times New Roman"/>
          <w:sz w:val="24"/>
        </w:rPr>
        <w:t xml:space="preserve"> </w:t>
      </w:r>
      <w:r w:rsidRPr="007271B1">
        <w:rPr>
          <w:rFonts w:ascii="Times New Roman" w:hAnsi="Times New Roman"/>
          <w:i/>
          <w:sz w:val="24"/>
        </w:rPr>
        <w:t>Financial Reporting Supply Chain: Current Perspectives and Directions</w:t>
      </w:r>
      <w:r>
        <w:rPr>
          <w:rFonts w:ascii="Times New Roman" w:hAnsi="Times New Roman"/>
          <w:sz w:val="24"/>
        </w:rPr>
        <w:t>,</w:t>
      </w:r>
      <w:r w:rsidRPr="0046011D">
        <w:rPr>
          <w:rFonts w:ascii="Times New Roman" w:hAnsi="Times New Roman"/>
          <w:sz w:val="24"/>
        </w:rPr>
        <w:t xml:space="preserve"> New York: IFAC.</w:t>
      </w:r>
    </w:p>
    <w:p w:rsidR="00C445B0" w:rsidRPr="0046011D" w:rsidRDefault="00C445B0" w:rsidP="00C445B0">
      <w:pPr>
        <w:rPr>
          <w:rFonts w:ascii="Times New Roman" w:hAnsi="Times New Roman"/>
          <w:sz w:val="24"/>
        </w:rPr>
      </w:pPr>
      <w:proofErr w:type="spellStart"/>
      <w:r w:rsidRPr="0046011D">
        <w:rPr>
          <w:rFonts w:ascii="Times New Roman" w:hAnsi="Times New Roman"/>
          <w:sz w:val="24"/>
        </w:rPr>
        <w:lastRenderedPageBreak/>
        <w:t>Morunga</w:t>
      </w:r>
      <w:proofErr w:type="spellEnd"/>
      <w:r w:rsidRPr="0046011D">
        <w:rPr>
          <w:rFonts w:ascii="Times New Roman" w:hAnsi="Times New Roman"/>
          <w:sz w:val="24"/>
        </w:rPr>
        <w:t xml:space="preserve"> M., and </w:t>
      </w:r>
      <w:r>
        <w:rPr>
          <w:rFonts w:ascii="Times New Roman" w:hAnsi="Times New Roman"/>
          <w:sz w:val="24"/>
        </w:rPr>
        <w:t xml:space="preserve">M. E. </w:t>
      </w:r>
      <w:r w:rsidRPr="0046011D">
        <w:rPr>
          <w:rFonts w:ascii="Times New Roman" w:hAnsi="Times New Roman"/>
          <w:sz w:val="24"/>
        </w:rPr>
        <w:t>Bradbury, 2012</w:t>
      </w:r>
      <w:r>
        <w:rPr>
          <w:rFonts w:ascii="Times New Roman" w:hAnsi="Times New Roman"/>
          <w:sz w:val="24"/>
        </w:rPr>
        <w:t>,</w:t>
      </w:r>
      <w:r w:rsidRPr="0046011D">
        <w:rPr>
          <w:rFonts w:ascii="Times New Roman" w:hAnsi="Times New Roman"/>
          <w:sz w:val="24"/>
        </w:rPr>
        <w:t xml:space="preserve"> </w:t>
      </w:r>
      <w:proofErr w:type="gramStart"/>
      <w:r w:rsidRPr="0046011D">
        <w:rPr>
          <w:rFonts w:ascii="Times New Roman" w:hAnsi="Times New Roman"/>
          <w:sz w:val="24"/>
        </w:rPr>
        <w:t>The</w:t>
      </w:r>
      <w:proofErr w:type="gramEnd"/>
      <w:r w:rsidRPr="0046011D">
        <w:rPr>
          <w:rFonts w:ascii="Times New Roman" w:hAnsi="Times New Roman"/>
          <w:sz w:val="24"/>
        </w:rPr>
        <w:t xml:space="preserve"> impact of IFRS on annual report length</w:t>
      </w:r>
      <w:r>
        <w:rPr>
          <w:rFonts w:ascii="Times New Roman" w:hAnsi="Times New Roman"/>
          <w:sz w:val="24"/>
        </w:rPr>
        <w:t>,</w:t>
      </w:r>
      <w:r w:rsidRPr="0046011D">
        <w:rPr>
          <w:rFonts w:ascii="Times New Roman" w:hAnsi="Times New Roman"/>
          <w:sz w:val="24"/>
        </w:rPr>
        <w:t xml:space="preserve"> </w:t>
      </w:r>
      <w:r w:rsidRPr="006A3655">
        <w:rPr>
          <w:rFonts w:ascii="Times New Roman" w:hAnsi="Times New Roman"/>
          <w:i/>
          <w:sz w:val="24"/>
        </w:rPr>
        <w:t>Australasian Accounting Business and Finance Journal</w:t>
      </w:r>
      <w:r>
        <w:rPr>
          <w:rFonts w:ascii="Times New Roman" w:hAnsi="Times New Roman"/>
          <w:sz w:val="24"/>
        </w:rPr>
        <w:t xml:space="preserve"> 6, 47-62</w:t>
      </w:r>
      <w:r w:rsidRPr="0046011D">
        <w:rPr>
          <w:rFonts w:ascii="Times New Roman" w:hAnsi="Times New Roman"/>
          <w:sz w:val="24"/>
        </w:rPr>
        <w:t>.</w:t>
      </w:r>
    </w:p>
    <w:p w:rsidR="00C445B0" w:rsidRDefault="00C445B0" w:rsidP="00C445B0">
      <w:pPr>
        <w:rPr>
          <w:rFonts w:ascii="Times New Roman" w:hAnsi="Times New Roman"/>
          <w:sz w:val="24"/>
        </w:rPr>
      </w:pPr>
      <w:r w:rsidRPr="0046011D">
        <w:rPr>
          <w:rFonts w:ascii="Times New Roman" w:hAnsi="Times New Roman"/>
          <w:sz w:val="24"/>
        </w:rPr>
        <w:t xml:space="preserve">Osgood, L.E., </w:t>
      </w:r>
      <w:r>
        <w:rPr>
          <w:rFonts w:ascii="Times New Roman" w:hAnsi="Times New Roman"/>
          <w:sz w:val="24"/>
        </w:rPr>
        <w:t xml:space="preserve">G.J. </w:t>
      </w:r>
      <w:proofErr w:type="spellStart"/>
      <w:r w:rsidRPr="0046011D">
        <w:rPr>
          <w:rFonts w:ascii="Times New Roman" w:hAnsi="Times New Roman"/>
          <w:sz w:val="24"/>
        </w:rPr>
        <w:t>Suci</w:t>
      </w:r>
      <w:proofErr w:type="spellEnd"/>
      <w:r w:rsidRPr="0046011D">
        <w:rPr>
          <w:rFonts w:ascii="Times New Roman" w:hAnsi="Times New Roman"/>
          <w:sz w:val="24"/>
        </w:rPr>
        <w:t xml:space="preserve">, and </w:t>
      </w:r>
      <w:r>
        <w:rPr>
          <w:rFonts w:ascii="Times New Roman" w:hAnsi="Times New Roman"/>
          <w:sz w:val="24"/>
        </w:rPr>
        <w:t xml:space="preserve">P.H. </w:t>
      </w:r>
      <w:proofErr w:type="spellStart"/>
      <w:r w:rsidRPr="0046011D">
        <w:rPr>
          <w:rFonts w:ascii="Times New Roman" w:hAnsi="Times New Roman"/>
          <w:sz w:val="24"/>
        </w:rPr>
        <w:t>Tannenbaum</w:t>
      </w:r>
      <w:proofErr w:type="spellEnd"/>
      <w:r w:rsidRPr="0046011D">
        <w:rPr>
          <w:rFonts w:ascii="Times New Roman" w:hAnsi="Times New Roman"/>
          <w:sz w:val="24"/>
        </w:rPr>
        <w:t>, 1957</w:t>
      </w:r>
      <w:r>
        <w:rPr>
          <w:rFonts w:ascii="Times New Roman" w:hAnsi="Times New Roman"/>
          <w:sz w:val="24"/>
        </w:rPr>
        <w:t>,</w:t>
      </w:r>
      <w:r w:rsidRPr="0046011D">
        <w:rPr>
          <w:rFonts w:ascii="Times New Roman" w:hAnsi="Times New Roman"/>
          <w:sz w:val="24"/>
        </w:rPr>
        <w:t xml:space="preserve"> </w:t>
      </w:r>
      <w:proofErr w:type="gramStart"/>
      <w:r w:rsidRPr="007271B1">
        <w:rPr>
          <w:rFonts w:ascii="Times New Roman" w:hAnsi="Times New Roman"/>
          <w:i/>
          <w:sz w:val="24"/>
        </w:rPr>
        <w:t>The</w:t>
      </w:r>
      <w:proofErr w:type="gramEnd"/>
      <w:r w:rsidRPr="007271B1">
        <w:rPr>
          <w:rFonts w:ascii="Times New Roman" w:hAnsi="Times New Roman"/>
          <w:i/>
          <w:sz w:val="24"/>
        </w:rPr>
        <w:t xml:space="preserve"> Measurement of Meaning</w:t>
      </w:r>
      <w:r w:rsidRPr="0046011D">
        <w:rPr>
          <w:rFonts w:ascii="Times New Roman" w:hAnsi="Times New Roman"/>
          <w:sz w:val="24"/>
        </w:rPr>
        <w:t>, University of Illinois Press, Urbana, IL.</w:t>
      </w:r>
    </w:p>
    <w:p w:rsidR="00A05E58" w:rsidRPr="0027444C" w:rsidRDefault="00A05E58" w:rsidP="00C445B0">
      <w:pPr>
        <w:rPr>
          <w:rFonts w:ascii="Times New Roman" w:hAnsi="Times New Roman" w:cs="Times New Roman"/>
          <w:sz w:val="24"/>
        </w:rPr>
      </w:pPr>
      <w:proofErr w:type="spellStart"/>
      <w:r>
        <w:rPr>
          <w:rFonts w:ascii="Times New Roman" w:hAnsi="Times New Roman"/>
          <w:sz w:val="24"/>
        </w:rPr>
        <w:t>Pawsey</w:t>
      </w:r>
      <w:proofErr w:type="spellEnd"/>
      <w:r>
        <w:rPr>
          <w:rFonts w:ascii="Times New Roman" w:hAnsi="Times New Roman"/>
          <w:sz w:val="24"/>
        </w:rPr>
        <w:t xml:space="preserve">, N.L., 2010, Australian preparer perceptions towards the quality and complexity of IFRS, </w:t>
      </w:r>
      <w:r w:rsidR="00B97F1B" w:rsidRPr="005853FA">
        <w:rPr>
          <w:rFonts w:ascii="Times New Roman" w:hAnsi="Times New Roman"/>
          <w:i/>
          <w:sz w:val="24"/>
        </w:rPr>
        <w:t xml:space="preserve">APIRA 2010 Conference, Sydney, http://apira2010.econ.usyd.edu.au/conference_proceedings/ </w:t>
      </w:r>
    </w:p>
    <w:p w:rsidR="00C445B0" w:rsidRDefault="00C445B0" w:rsidP="00C445B0">
      <w:pPr>
        <w:rPr>
          <w:rFonts w:ascii="Times New Roman" w:hAnsi="Times New Roman"/>
          <w:sz w:val="24"/>
        </w:rPr>
      </w:pPr>
      <w:proofErr w:type="spellStart"/>
      <w:proofErr w:type="gramStart"/>
      <w:r>
        <w:rPr>
          <w:rFonts w:ascii="Times New Roman" w:hAnsi="Times New Roman"/>
          <w:sz w:val="24"/>
        </w:rPr>
        <w:t>PriceWaterhouseCoopers</w:t>
      </w:r>
      <w:proofErr w:type="spellEnd"/>
      <w:r>
        <w:rPr>
          <w:rFonts w:ascii="Times New Roman" w:hAnsi="Times New Roman"/>
          <w:sz w:val="24"/>
        </w:rPr>
        <w:t>,</w:t>
      </w:r>
      <w:r w:rsidRPr="0046011D">
        <w:rPr>
          <w:rFonts w:ascii="Times New Roman" w:hAnsi="Times New Roman"/>
          <w:sz w:val="24"/>
        </w:rPr>
        <w:t xml:space="preserve"> 2006</w:t>
      </w:r>
      <w:r>
        <w:rPr>
          <w:rFonts w:ascii="Times New Roman" w:hAnsi="Times New Roman"/>
          <w:sz w:val="24"/>
        </w:rPr>
        <w:t>,</w:t>
      </w:r>
      <w:r w:rsidRPr="0046011D">
        <w:rPr>
          <w:rFonts w:ascii="Times New Roman" w:hAnsi="Times New Roman"/>
          <w:sz w:val="24"/>
        </w:rPr>
        <w:t xml:space="preserve"> </w:t>
      </w:r>
      <w:r w:rsidRPr="007271B1">
        <w:rPr>
          <w:rFonts w:ascii="Times New Roman" w:hAnsi="Times New Roman"/>
          <w:i/>
          <w:sz w:val="24"/>
        </w:rPr>
        <w:t>New Zealand 2006 Corporate Issues Report</w:t>
      </w:r>
      <w:r w:rsidRPr="0046011D">
        <w:rPr>
          <w:rFonts w:ascii="Times New Roman" w:hAnsi="Times New Roman"/>
          <w:sz w:val="24"/>
        </w:rPr>
        <w:t>.</w:t>
      </w:r>
      <w:proofErr w:type="gramEnd"/>
    </w:p>
    <w:p w:rsidR="00C445B0" w:rsidRPr="0046011D" w:rsidRDefault="00C445B0" w:rsidP="00C445B0">
      <w:pPr>
        <w:rPr>
          <w:rFonts w:ascii="Times New Roman" w:hAnsi="Times New Roman"/>
          <w:sz w:val="24"/>
        </w:rPr>
      </w:pPr>
      <w:proofErr w:type="spellStart"/>
      <w:r w:rsidRPr="00EF4348">
        <w:rPr>
          <w:rFonts w:ascii="Times New Roman" w:hAnsi="Times New Roman" w:cs="Times New Roman"/>
          <w:sz w:val="24"/>
          <w:szCs w:val="24"/>
          <w:lang w:val="en-NZ" w:bidi="ar-SA"/>
        </w:rPr>
        <w:t>Schipper</w:t>
      </w:r>
      <w:proofErr w:type="spellEnd"/>
      <w:r w:rsidRPr="00EF4348">
        <w:rPr>
          <w:rFonts w:ascii="Times New Roman" w:hAnsi="Times New Roman" w:cs="Times New Roman"/>
          <w:sz w:val="24"/>
          <w:szCs w:val="24"/>
          <w:lang w:val="en-NZ" w:bidi="ar-SA"/>
        </w:rPr>
        <w:t>, K.</w:t>
      </w:r>
      <w:r>
        <w:rPr>
          <w:rFonts w:ascii="Times New Roman" w:hAnsi="Times New Roman" w:cs="Times New Roman"/>
          <w:sz w:val="24"/>
          <w:szCs w:val="24"/>
          <w:lang w:val="en-NZ" w:bidi="ar-SA"/>
        </w:rPr>
        <w:t>,</w:t>
      </w:r>
      <w:r w:rsidRPr="00EF4348">
        <w:rPr>
          <w:rFonts w:ascii="Times New Roman" w:hAnsi="Times New Roman" w:cs="Times New Roman"/>
          <w:sz w:val="24"/>
          <w:szCs w:val="24"/>
          <w:lang w:val="en-NZ" w:bidi="ar-SA"/>
        </w:rPr>
        <w:t xml:space="preserve"> 2010</w:t>
      </w:r>
      <w:r>
        <w:rPr>
          <w:rFonts w:ascii="Times New Roman" w:hAnsi="Times New Roman" w:cs="Times New Roman"/>
          <w:sz w:val="24"/>
          <w:szCs w:val="24"/>
          <w:lang w:val="en-NZ" w:bidi="ar-SA"/>
        </w:rPr>
        <w:t>,</w:t>
      </w:r>
      <w:r w:rsidRPr="00EF4348">
        <w:rPr>
          <w:rFonts w:ascii="Times New Roman" w:hAnsi="Times New Roman" w:cs="Times New Roman"/>
          <w:sz w:val="24"/>
          <w:szCs w:val="24"/>
          <w:lang w:val="en-NZ" w:bidi="ar-SA"/>
        </w:rPr>
        <w:t xml:space="preserve"> How can we measure the costs and benefits of changes in financial reporting standards</w:t>
      </w:r>
      <w:proofErr w:type="gramStart"/>
      <w:r w:rsidRPr="00EF4348">
        <w:rPr>
          <w:rFonts w:ascii="Times New Roman" w:hAnsi="Times New Roman" w:cs="Times New Roman"/>
          <w:sz w:val="24"/>
          <w:szCs w:val="24"/>
          <w:lang w:val="en-NZ" w:bidi="ar-SA"/>
        </w:rPr>
        <w:t>?</w:t>
      </w:r>
      <w:r>
        <w:rPr>
          <w:rFonts w:ascii="Times New Roman" w:hAnsi="Times New Roman" w:cs="Times New Roman"/>
          <w:sz w:val="24"/>
          <w:szCs w:val="24"/>
          <w:lang w:val="en-NZ" w:bidi="ar-SA"/>
        </w:rPr>
        <w:t>,</w:t>
      </w:r>
      <w:proofErr w:type="gramEnd"/>
      <w:r w:rsidRPr="00EF4348">
        <w:rPr>
          <w:rFonts w:ascii="Times New Roman" w:hAnsi="Times New Roman" w:cs="Times New Roman"/>
          <w:sz w:val="24"/>
          <w:szCs w:val="24"/>
          <w:lang w:val="en-NZ" w:bidi="ar-SA"/>
        </w:rPr>
        <w:t xml:space="preserve"> </w:t>
      </w:r>
      <w:r w:rsidRPr="00B53B2B">
        <w:rPr>
          <w:rFonts w:ascii="Times New Roman" w:hAnsi="Times New Roman" w:cs="Times New Roman"/>
          <w:i/>
          <w:sz w:val="24"/>
          <w:szCs w:val="24"/>
          <w:lang w:val="en-NZ" w:bidi="ar-SA"/>
        </w:rPr>
        <w:t>Accounting and Business Research</w:t>
      </w:r>
      <w:r w:rsidRPr="00EF4348">
        <w:rPr>
          <w:rFonts w:ascii="Times New Roman" w:hAnsi="Times New Roman" w:cs="Times New Roman"/>
          <w:sz w:val="24"/>
          <w:szCs w:val="24"/>
          <w:lang w:val="en-NZ" w:bidi="ar-SA"/>
        </w:rPr>
        <w:t xml:space="preserve"> </w:t>
      </w:r>
      <w:r w:rsidRPr="00EF4348">
        <w:rPr>
          <w:rFonts w:ascii="Times New Roman" w:hAnsi="Times New Roman" w:cs="Times New Roman"/>
          <w:bCs/>
          <w:sz w:val="24"/>
          <w:szCs w:val="24"/>
          <w:lang w:val="en-NZ" w:bidi="ar-SA"/>
        </w:rPr>
        <w:t>40</w:t>
      </w:r>
      <w:r w:rsidRPr="00EF4348">
        <w:rPr>
          <w:rFonts w:ascii="Times New Roman" w:hAnsi="Times New Roman" w:cs="Times New Roman"/>
          <w:sz w:val="24"/>
          <w:szCs w:val="24"/>
          <w:lang w:val="en-NZ" w:bidi="ar-SA"/>
        </w:rPr>
        <w:t>, 309-327.</w:t>
      </w:r>
    </w:p>
    <w:p w:rsidR="00C445B0" w:rsidRDefault="00C445B0" w:rsidP="00C445B0">
      <w:pPr>
        <w:rPr>
          <w:rFonts w:ascii="Times New Roman" w:hAnsi="Times New Roman" w:cs="Times New Roman"/>
          <w:sz w:val="24"/>
          <w:szCs w:val="24"/>
          <w:lang w:val="en-NZ" w:bidi="ar-SA"/>
        </w:rPr>
      </w:pPr>
      <w:r w:rsidRPr="0046011D">
        <w:rPr>
          <w:rFonts w:ascii="Times New Roman" w:hAnsi="Times New Roman"/>
          <w:sz w:val="24"/>
        </w:rPr>
        <w:t xml:space="preserve">Smith, M., and </w:t>
      </w:r>
      <w:r>
        <w:rPr>
          <w:rFonts w:ascii="Times New Roman" w:hAnsi="Times New Roman"/>
          <w:sz w:val="24"/>
        </w:rPr>
        <w:t xml:space="preserve">R. </w:t>
      </w:r>
      <w:proofErr w:type="spellStart"/>
      <w:r w:rsidRPr="0046011D">
        <w:rPr>
          <w:rFonts w:ascii="Times New Roman" w:hAnsi="Times New Roman"/>
          <w:sz w:val="24"/>
        </w:rPr>
        <w:t>Taffler</w:t>
      </w:r>
      <w:proofErr w:type="spellEnd"/>
      <w:r w:rsidRPr="0046011D">
        <w:rPr>
          <w:rFonts w:ascii="Times New Roman" w:hAnsi="Times New Roman"/>
          <w:sz w:val="24"/>
        </w:rPr>
        <w:t>, 2000</w:t>
      </w:r>
      <w:r>
        <w:rPr>
          <w:rFonts w:ascii="Times New Roman" w:hAnsi="Times New Roman"/>
          <w:sz w:val="24"/>
        </w:rPr>
        <w:t>,</w:t>
      </w:r>
      <w:r w:rsidRPr="0046011D">
        <w:rPr>
          <w:rFonts w:ascii="Times New Roman" w:hAnsi="Times New Roman"/>
          <w:sz w:val="24"/>
        </w:rPr>
        <w:t xml:space="preserve"> </w:t>
      </w:r>
      <w:proofErr w:type="gramStart"/>
      <w:r w:rsidRPr="0046011D">
        <w:rPr>
          <w:rFonts w:ascii="Times New Roman" w:hAnsi="Times New Roman"/>
          <w:sz w:val="24"/>
        </w:rPr>
        <w:t>The</w:t>
      </w:r>
      <w:proofErr w:type="gramEnd"/>
      <w:r w:rsidRPr="0046011D">
        <w:rPr>
          <w:rFonts w:ascii="Times New Roman" w:hAnsi="Times New Roman"/>
          <w:sz w:val="24"/>
        </w:rPr>
        <w:t xml:space="preserve"> chairman's statement - A content analysis of disc</w:t>
      </w:r>
      <w:r>
        <w:rPr>
          <w:rFonts w:ascii="Times New Roman" w:hAnsi="Times New Roman"/>
          <w:sz w:val="24"/>
        </w:rPr>
        <w:t>retionary narrative disclosures,</w:t>
      </w:r>
      <w:r w:rsidRPr="0046011D">
        <w:rPr>
          <w:rFonts w:ascii="Times New Roman" w:hAnsi="Times New Roman"/>
          <w:sz w:val="24"/>
        </w:rPr>
        <w:t xml:space="preserve"> </w:t>
      </w:r>
      <w:r w:rsidRPr="007271B1">
        <w:rPr>
          <w:rFonts w:ascii="Times New Roman" w:hAnsi="Times New Roman"/>
          <w:i/>
          <w:sz w:val="24"/>
        </w:rPr>
        <w:t>Accounting, Auditing and Accountability Journal</w:t>
      </w:r>
      <w:r>
        <w:rPr>
          <w:rFonts w:ascii="Times New Roman" w:hAnsi="Times New Roman"/>
          <w:sz w:val="24"/>
        </w:rPr>
        <w:t xml:space="preserve"> </w:t>
      </w:r>
      <w:r w:rsidRPr="0046011D">
        <w:rPr>
          <w:rFonts w:ascii="Times New Roman" w:hAnsi="Times New Roman"/>
          <w:sz w:val="24"/>
        </w:rPr>
        <w:t>13, 624-647.</w:t>
      </w:r>
      <w:r w:rsidRPr="002D0F7A">
        <w:rPr>
          <w:rFonts w:ascii="Times New Roman" w:hAnsi="Times New Roman" w:cs="Times New Roman"/>
          <w:sz w:val="24"/>
          <w:szCs w:val="24"/>
          <w:lang w:val="en-NZ" w:bidi="ar-SA"/>
        </w:rPr>
        <w:t xml:space="preserve"> </w:t>
      </w:r>
    </w:p>
    <w:p w:rsidR="00C445B0" w:rsidRPr="0046011D" w:rsidRDefault="00C445B0" w:rsidP="00C445B0">
      <w:pPr>
        <w:rPr>
          <w:rFonts w:ascii="Times New Roman" w:hAnsi="Times New Roman"/>
          <w:sz w:val="24"/>
        </w:rPr>
      </w:pPr>
      <w:r>
        <w:rPr>
          <w:rFonts w:ascii="Times New Roman" w:hAnsi="Times New Roman"/>
          <w:sz w:val="24"/>
        </w:rPr>
        <w:t>S</w:t>
      </w:r>
      <w:r w:rsidRPr="0046011D">
        <w:rPr>
          <w:rFonts w:ascii="Times New Roman" w:hAnsi="Times New Roman"/>
          <w:sz w:val="24"/>
        </w:rPr>
        <w:t xml:space="preserve">tent, W. J., </w:t>
      </w:r>
      <w:r>
        <w:rPr>
          <w:rFonts w:ascii="Times New Roman" w:hAnsi="Times New Roman"/>
          <w:sz w:val="24"/>
        </w:rPr>
        <w:t xml:space="preserve">M. </w:t>
      </w:r>
      <w:r w:rsidRPr="0046011D">
        <w:rPr>
          <w:rFonts w:ascii="Times New Roman" w:hAnsi="Times New Roman"/>
          <w:sz w:val="24"/>
        </w:rPr>
        <w:t xml:space="preserve">Bradbury, and </w:t>
      </w:r>
      <w:r>
        <w:rPr>
          <w:rFonts w:ascii="Times New Roman" w:hAnsi="Times New Roman"/>
          <w:sz w:val="24"/>
        </w:rPr>
        <w:t xml:space="preserve">J. </w:t>
      </w:r>
      <w:r w:rsidRPr="0046011D">
        <w:rPr>
          <w:rFonts w:ascii="Times New Roman" w:hAnsi="Times New Roman"/>
          <w:sz w:val="24"/>
        </w:rPr>
        <w:t>Hooks, 2010</w:t>
      </w:r>
      <w:r>
        <w:rPr>
          <w:rFonts w:ascii="Times New Roman" w:hAnsi="Times New Roman"/>
          <w:sz w:val="24"/>
        </w:rPr>
        <w:t>,</w:t>
      </w:r>
      <w:r w:rsidRPr="0046011D">
        <w:rPr>
          <w:rFonts w:ascii="Times New Roman" w:hAnsi="Times New Roman"/>
          <w:sz w:val="24"/>
        </w:rPr>
        <w:t xml:space="preserve"> I</w:t>
      </w:r>
      <w:r>
        <w:rPr>
          <w:rFonts w:ascii="Times New Roman" w:hAnsi="Times New Roman"/>
          <w:sz w:val="24"/>
        </w:rPr>
        <w:t>FRS in New Zealand: Effects on financial statements and ratios,</w:t>
      </w:r>
      <w:r w:rsidRPr="0046011D">
        <w:rPr>
          <w:rFonts w:ascii="Times New Roman" w:hAnsi="Times New Roman"/>
          <w:sz w:val="24"/>
        </w:rPr>
        <w:t xml:space="preserve"> </w:t>
      </w:r>
      <w:r w:rsidRPr="00DA5F00">
        <w:rPr>
          <w:rFonts w:ascii="Times New Roman" w:hAnsi="Times New Roman"/>
          <w:i/>
          <w:sz w:val="24"/>
        </w:rPr>
        <w:t>Pacific Accounting Review</w:t>
      </w:r>
      <w:r w:rsidRPr="0046011D">
        <w:rPr>
          <w:rFonts w:ascii="Times New Roman" w:hAnsi="Times New Roman"/>
          <w:sz w:val="24"/>
        </w:rPr>
        <w:t xml:space="preserve"> 22, 92-107.</w:t>
      </w:r>
    </w:p>
    <w:p w:rsidR="00C445B0" w:rsidRDefault="00551A4C" w:rsidP="00C445B0">
      <w:pPr>
        <w:rPr>
          <w:rFonts w:ascii="Times New Roman" w:hAnsi="Times New Roman" w:cs="Times New Roman"/>
          <w:sz w:val="24"/>
          <w:szCs w:val="24"/>
          <w:lang w:val="en-NZ" w:bidi="ar-SA"/>
        </w:rPr>
      </w:pPr>
      <w:proofErr w:type="spellStart"/>
      <w:r>
        <w:rPr>
          <w:rFonts w:ascii="Times New Roman" w:hAnsi="Times New Roman"/>
          <w:sz w:val="24"/>
        </w:rPr>
        <w:t>Teixeira</w:t>
      </w:r>
      <w:proofErr w:type="spellEnd"/>
      <w:r w:rsidR="00C445B0" w:rsidRPr="0046011D">
        <w:rPr>
          <w:rFonts w:ascii="Times New Roman" w:hAnsi="Times New Roman"/>
          <w:sz w:val="24"/>
        </w:rPr>
        <w:t xml:space="preserve">, A., </w:t>
      </w:r>
      <w:r w:rsidR="00C445B0">
        <w:rPr>
          <w:rFonts w:ascii="Times New Roman" w:hAnsi="Times New Roman"/>
          <w:sz w:val="24"/>
        </w:rPr>
        <w:t xml:space="preserve">D. </w:t>
      </w:r>
      <w:r w:rsidR="00C445B0" w:rsidRPr="0046011D">
        <w:rPr>
          <w:rFonts w:ascii="Times New Roman" w:hAnsi="Times New Roman"/>
          <w:sz w:val="24"/>
        </w:rPr>
        <w:t xml:space="preserve">and Pickens, </w:t>
      </w:r>
      <w:r w:rsidR="00C445B0">
        <w:rPr>
          <w:rFonts w:ascii="Times New Roman" w:hAnsi="Times New Roman"/>
          <w:sz w:val="24"/>
        </w:rPr>
        <w:t>2</w:t>
      </w:r>
      <w:r w:rsidR="00C445B0" w:rsidRPr="0046011D">
        <w:rPr>
          <w:rFonts w:ascii="Times New Roman" w:hAnsi="Times New Roman"/>
          <w:sz w:val="24"/>
        </w:rPr>
        <w:t>004</w:t>
      </w:r>
      <w:r w:rsidR="00C445B0">
        <w:rPr>
          <w:rFonts w:ascii="Times New Roman" w:hAnsi="Times New Roman"/>
          <w:sz w:val="24"/>
        </w:rPr>
        <w:t>, Global FRS: Risks and strategies,</w:t>
      </w:r>
      <w:r w:rsidR="00C445B0" w:rsidRPr="0046011D">
        <w:rPr>
          <w:rFonts w:ascii="Times New Roman" w:hAnsi="Times New Roman"/>
          <w:sz w:val="24"/>
        </w:rPr>
        <w:t xml:space="preserve"> </w:t>
      </w:r>
      <w:r w:rsidR="00C445B0" w:rsidRPr="00DA5F00">
        <w:rPr>
          <w:rFonts w:ascii="Times New Roman" w:hAnsi="Times New Roman"/>
          <w:i/>
          <w:sz w:val="24"/>
        </w:rPr>
        <w:t>Chartered Accountants Journal of New Zealand</w:t>
      </w:r>
      <w:r w:rsidR="00C445B0" w:rsidRPr="0046011D">
        <w:rPr>
          <w:rFonts w:ascii="Times New Roman" w:hAnsi="Times New Roman"/>
          <w:sz w:val="24"/>
        </w:rPr>
        <w:t xml:space="preserve"> 83, 18-19.</w:t>
      </w:r>
      <w:r w:rsidR="00C445B0" w:rsidRPr="006045C1">
        <w:rPr>
          <w:rFonts w:ascii="Times New Roman" w:hAnsi="Times New Roman" w:cs="Times New Roman"/>
          <w:sz w:val="24"/>
          <w:szCs w:val="24"/>
          <w:lang w:val="en-NZ" w:bidi="ar-SA"/>
        </w:rPr>
        <w:t xml:space="preserve"> </w:t>
      </w:r>
    </w:p>
    <w:p w:rsidR="00C445B0" w:rsidRPr="00964534" w:rsidRDefault="00C445B0" w:rsidP="00C445B0">
      <w:pPr>
        <w:rPr>
          <w:rFonts w:ascii="Times New Roman" w:hAnsi="Times New Roman" w:cs="Times New Roman"/>
          <w:sz w:val="24"/>
        </w:rPr>
      </w:pPr>
      <w:proofErr w:type="spellStart"/>
      <w:r w:rsidRPr="00EF4348">
        <w:rPr>
          <w:rFonts w:ascii="Times New Roman" w:hAnsi="Times New Roman" w:cs="Times New Roman"/>
          <w:sz w:val="24"/>
          <w:szCs w:val="24"/>
          <w:lang w:val="en-NZ" w:bidi="ar-SA"/>
        </w:rPr>
        <w:t>Tsalavoutas</w:t>
      </w:r>
      <w:proofErr w:type="spellEnd"/>
      <w:r w:rsidRPr="00EF4348">
        <w:rPr>
          <w:rFonts w:ascii="Times New Roman" w:hAnsi="Times New Roman" w:cs="Times New Roman"/>
          <w:sz w:val="24"/>
          <w:szCs w:val="24"/>
          <w:lang w:val="en-NZ" w:bidi="ar-SA"/>
        </w:rPr>
        <w:t xml:space="preserve">, I., </w:t>
      </w:r>
      <w:r>
        <w:rPr>
          <w:rFonts w:ascii="Times New Roman" w:hAnsi="Times New Roman" w:cs="Times New Roman"/>
          <w:sz w:val="24"/>
          <w:szCs w:val="24"/>
          <w:lang w:val="en-NZ" w:bidi="ar-SA"/>
        </w:rPr>
        <w:t xml:space="preserve">P. </w:t>
      </w:r>
      <w:r w:rsidRPr="00EF4348">
        <w:rPr>
          <w:rFonts w:ascii="Times New Roman" w:hAnsi="Times New Roman" w:cs="Times New Roman"/>
          <w:sz w:val="24"/>
          <w:szCs w:val="24"/>
          <w:lang w:val="en-NZ" w:bidi="ar-SA"/>
        </w:rPr>
        <w:t>André</w:t>
      </w:r>
      <w:r>
        <w:rPr>
          <w:rFonts w:ascii="Times New Roman" w:hAnsi="Times New Roman" w:cs="Times New Roman"/>
          <w:sz w:val="24"/>
          <w:szCs w:val="24"/>
          <w:lang w:val="en-NZ" w:bidi="ar-SA"/>
        </w:rPr>
        <w:t xml:space="preserve">, </w:t>
      </w:r>
      <w:r w:rsidRPr="00EF4348">
        <w:rPr>
          <w:rFonts w:ascii="Times New Roman" w:hAnsi="Times New Roman" w:cs="Times New Roman"/>
          <w:sz w:val="24"/>
          <w:szCs w:val="24"/>
          <w:lang w:val="en-NZ" w:bidi="ar-SA"/>
        </w:rPr>
        <w:t xml:space="preserve">and </w:t>
      </w:r>
      <w:r>
        <w:rPr>
          <w:rFonts w:ascii="Times New Roman" w:hAnsi="Times New Roman" w:cs="Times New Roman"/>
          <w:sz w:val="24"/>
          <w:szCs w:val="24"/>
          <w:lang w:val="en-NZ" w:bidi="ar-SA"/>
        </w:rPr>
        <w:t xml:space="preserve">L. </w:t>
      </w:r>
      <w:r w:rsidRPr="00EF4348">
        <w:rPr>
          <w:rFonts w:ascii="Times New Roman" w:hAnsi="Times New Roman" w:cs="Times New Roman"/>
          <w:sz w:val="24"/>
          <w:szCs w:val="24"/>
          <w:lang w:val="en-NZ" w:bidi="ar-SA"/>
        </w:rPr>
        <w:t>Evans, 2012</w:t>
      </w:r>
      <w:r>
        <w:rPr>
          <w:rFonts w:ascii="Times New Roman" w:hAnsi="Times New Roman" w:cs="Times New Roman"/>
          <w:sz w:val="24"/>
          <w:szCs w:val="24"/>
          <w:lang w:val="en-NZ" w:bidi="ar-SA"/>
        </w:rPr>
        <w:t>,</w:t>
      </w:r>
      <w:r w:rsidRPr="00EF4348">
        <w:rPr>
          <w:rFonts w:ascii="Times New Roman" w:hAnsi="Times New Roman" w:cs="Times New Roman"/>
          <w:sz w:val="24"/>
          <w:szCs w:val="24"/>
          <w:lang w:val="en-NZ" w:bidi="ar-SA"/>
        </w:rPr>
        <w:t xml:space="preserve"> </w:t>
      </w:r>
      <w:proofErr w:type="gramStart"/>
      <w:r w:rsidRPr="00EF4348">
        <w:rPr>
          <w:rFonts w:ascii="Times New Roman" w:hAnsi="Times New Roman" w:cs="Times New Roman"/>
          <w:sz w:val="24"/>
          <w:szCs w:val="24"/>
          <w:lang w:val="en-NZ" w:bidi="ar-SA"/>
        </w:rPr>
        <w:t>The</w:t>
      </w:r>
      <w:proofErr w:type="gramEnd"/>
      <w:r w:rsidRPr="00EF4348">
        <w:rPr>
          <w:rFonts w:ascii="Times New Roman" w:hAnsi="Times New Roman" w:cs="Times New Roman"/>
          <w:sz w:val="24"/>
          <w:szCs w:val="24"/>
          <w:lang w:val="en-NZ" w:bidi="ar-SA"/>
        </w:rPr>
        <w:t xml:space="preserve"> transition to IFRS and the value relev</w:t>
      </w:r>
      <w:r>
        <w:rPr>
          <w:rFonts w:ascii="Times New Roman" w:hAnsi="Times New Roman" w:cs="Times New Roman"/>
          <w:sz w:val="24"/>
          <w:szCs w:val="24"/>
          <w:lang w:val="en-NZ" w:bidi="ar-SA"/>
        </w:rPr>
        <w:t>ance of financial statements in Greece,</w:t>
      </w:r>
      <w:r w:rsidRPr="00EF4348">
        <w:rPr>
          <w:rFonts w:ascii="Times New Roman" w:hAnsi="Times New Roman" w:cs="Times New Roman"/>
          <w:sz w:val="24"/>
          <w:szCs w:val="24"/>
          <w:lang w:val="en-NZ" w:bidi="ar-SA"/>
        </w:rPr>
        <w:t xml:space="preserve"> </w:t>
      </w:r>
      <w:r w:rsidRPr="00B53B2B">
        <w:rPr>
          <w:rFonts w:ascii="Times New Roman" w:hAnsi="Times New Roman" w:cs="Times New Roman"/>
          <w:i/>
          <w:sz w:val="24"/>
          <w:szCs w:val="24"/>
          <w:lang w:val="en-NZ" w:bidi="ar-SA"/>
        </w:rPr>
        <w:t>The British Accounting Review</w:t>
      </w:r>
      <w:r w:rsidRPr="00EF4348">
        <w:rPr>
          <w:rFonts w:ascii="Times New Roman" w:hAnsi="Times New Roman" w:cs="Times New Roman"/>
          <w:sz w:val="24"/>
          <w:szCs w:val="24"/>
          <w:lang w:val="en-NZ" w:bidi="ar-SA"/>
        </w:rPr>
        <w:t xml:space="preserve"> </w:t>
      </w:r>
      <w:r w:rsidRPr="00EF4348">
        <w:rPr>
          <w:rFonts w:ascii="Times New Roman" w:hAnsi="Times New Roman" w:cs="Times New Roman"/>
          <w:bCs/>
          <w:sz w:val="24"/>
          <w:szCs w:val="24"/>
          <w:lang w:val="en-NZ" w:bidi="ar-SA"/>
        </w:rPr>
        <w:t>44</w:t>
      </w:r>
      <w:r>
        <w:rPr>
          <w:rFonts w:ascii="Times New Roman" w:hAnsi="Times New Roman" w:cs="Times New Roman"/>
          <w:sz w:val="24"/>
          <w:szCs w:val="24"/>
          <w:lang w:val="en-NZ" w:bidi="ar-SA"/>
        </w:rPr>
        <w:t>,</w:t>
      </w:r>
      <w:r w:rsidRPr="00EF4348">
        <w:rPr>
          <w:rFonts w:ascii="Times New Roman" w:hAnsi="Times New Roman" w:cs="Times New Roman"/>
          <w:sz w:val="24"/>
          <w:szCs w:val="24"/>
          <w:lang w:val="en-NZ" w:bidi="ar-SA"/>
        </w:rPr>
        <w:t xml:space="preserve"> 262-277.</w:t>
      </w:r>
    </w:p>
    <w:p w:rsidR="00C445B0" w:rsidRDefault="00C445B0" w:rsidP="00C445B0">
      <w:pPr>
        <w:rPr>
          <w:rFonts w:ascii="Times New Roman" w:hAnsi="Times New Roman"/>
          <w:sz w:val="24"/>
        </w:rPr>
      </w:pPr>
      <w:proofErr w:type="gramStart"/>
      <w:r w:rsidRPr="0046011D">
        <w:rPr>
          <w:rFonts w:ascii="Times New Roman" w:hAnsi="Times New Roman"/>
          <w:sz w:val="24"/>
        </w:rPr>
        <w:t>van</w:t>
      </w:r>
      <w:proofErr w:type="gramEnd"/>
      <w:r w:rsidRPr="0046011D">
        <w:rPr>
          <w:rFonts w:ascii="Times New Roman" w:hAnsi="Times New Roman"/>
          <w:sz w:val="24"/>
        </w:rPr>
        <w:t xml:space="preserve"> </w:t>
      </w:r>
      <w:proofErr w:type="spellStart"/>
      <w:r w:rsidRPr="0046011D">
        <w:rPr>
          <w:rFonts w:ascii="Times New Roman" w:hAnsi="Times New Roman"/>
          <w:sz w:val="24"/>
        </w:rPr>
        <w:t>Zijl</w:t>
      </w:r>
      <w:proofErr w:type="spellEnd"/>
      <w:r>
        <w:rPr>
          <w:rFonts w:ascii="Times New Roman" w:hAnsi="Times New Roman"/>
          <w:sz w:val="24"/>
        </w:rPr>
        <w:t>,</w:t>
      </w:r>
      <w:r w:rsidRPr="0046011D">
        <w:rPr>
          <w:rFonts w:ascii="Times New Roman" w:hAnsi="Times New Roman"/>
          <w:sz w:val="24"/>
        </w:rPr>
        <w:t xml:space="preserve"> T.</w:t>
      </w:r>
      <w:r>
        <w:rPr>
          <w:rFonts w:ascii="Times New Roman" w:hAnsi="Times New Roman"/>
          <w:sz w:val="24"/>
        </w:rPr>
        <w:t>,</w:t>
      </w:r>
      <w:r w:rsidRPr="0046011D">
        <w:rPr>
          <w:rFonts w:ascii="Times New Roman" w:hAnsi="Times New Roman"/>
          <w:sz w:val="24"/>
        </w:rPr>
        <w:t xml:space="preserve"> and </w:t>
      </w:r>
      <w:r>
        <w:rPr>
          <w:rFonts w:ascii="Times New Roman" w:hAnsi="Times New Roman"/>
          <w:sz w:val="24"/>
        </w:rPr>
        <w:t xml:space="preserve">S. </w:t>
      </w:r>
      <w:r w:rsidRPr="0046011D">
        <w:rPr>
          <w:rFonts w:ascii="Times New Roman" w:hAnsi="Times New Roman"/>
          <w:sz w:val="24"/>
        </w:rPr>
        <w:t>Walker, 2001</w:t>
      </w:r>
      <w:r>
        <w:rPr>
          <w:rFonts w:ascii="Times New Roman" w:hAnsi="Times New Roman"/>
          <w:sz w:val="24"/>
        </w:rPr>
        <w:t>,</w:t>
      </w:r>
      <w:r w:rsidRPr="0046011D">
        <w:rPr>
          <w:rFonts w:ascii="Times New Roman" w:hAnsi="Times New Roman"/>
          <w:sz w:val="24"/>
        </w:rPr>
        <w:t xml:space="preserve"> </w:t>
      </w:r>
      <w:r w:rsidRPr="00DA5F00">
        <w:rPr>
          <w:rFonts w:ascii="Times New Roman" w:hAnsi="Times New Roman"/>
          <w:i/>
          <w:sz w:val="24"/>
        </w:rPr>
        <w:t>The New Zealand Convergence Handbook</w:t>
      </w:r>
      <w:r>
        <w:rPr>
          <w:rFonts w:ascii="Times New Roman" w:hAnsi="Times New Roman"/>
          <w:sz w:val="24"/>
        </w:rPr>
        <w:t xml:space="preserve">, </w:t>
      </w:r>
      <w:r w:rsidRPr="0046011D">
        <w:rPr>
          <w:rFonts w:ascii="Times New Roman" w:hAnsi="Times New Roman"/>
          <w:sz w:val="24"/>
        </w:rPr>
        <w:t xml:space="preserve">Institute of Chartered Accountants of New Zealand. </w:t>
      </w:r>
    </w:p>
    <w:p w:rsidR="00C445B0" w:rsidRPr="0046011D" w:rsidRDefault="00C445B0" w:rsidP="00C445B0">
      <w:pPr>
        <w:rPr>
          <w:rFonts w:ascii="Times New Roman" w:hAnsi="Times New Roman"/>
          <w:sz w:val="24"/>
        </w:rPr>
      </w:pPr>
      <w:proofErr w:type="gramStart"/>
      <w:r w:rsidRPr="0046011D">
        <w:rPr>
          <w:rFonts w:ascii="Times New Roman" w:hAnsi="Times New Roman"/>
          <w:sz w:val="24"/>
        </w:rPr>
        <w:lastRenderedPageBreak/>
        <w:t>Watts, R.L.</w:t>
      </w:r>
      <w:r>
        <w:rPr>
          <w:rFonts w:ascii="Times New Roman" w:hAnsi="Times New Roman"/>
          <w:sz w:val="24"/>
        </w:rPr>
        <w:t>,</w:t>
      </w:r>
      <w:r w:rsidRPr="0046011D">
        <w:rPr>
          <w:rFonts w:ascii="Times New Roman" w:hAnsi="Times New Roman"/>
          <w:sz w:val="24"/>
        </w:rPr>
        <w:t xml:space="preserve"> 1992</w:t>
      </w:r>
      <w:r>
        <w:rPr>
          <w:rFonts w:ascii="Times New Roman" w:hAnsi="Times New Roman"/>
          <w:sz w:val="24"/>
        </w:rPr>
        <w:t>,</w:t>
      </w:r>
      <w:r w:rsidRPr="0046011D">
        <w:rPr>
          <w:rFonts w:ascii="Times New Roman" w:hAnsi="Times New Roman"/>
          <w:sz w:val="24"/>
        </w:rPr>
        <w:t xml:space="preserve"> Accounting choice theory and mark</w:t>
      </w:r>
      <w:r>
        <w:rPr>
          <w:rFonts w:ascii="Times New Roman" w:hAnsi="Times New Roman"/>
          <w:sz w:val="24"/>
        </w:rPr>
        <w:t>et-bases research in accounting,</w:t>
      </w:r>
      <w:r w:rsidRPr="0046011D">
        <w:rPr>
          <w:rFonts w:ascii="Times New Roman" w:hAnsi="Times New Roman"/>
          <w:sz w:val="24"/>
        </w:rPr>
        <w:t xml:space="preserve"> </w:t>
      </w:r>
      <w:r w:rsidRPr="00DA5F00">
        <w:rPr>
          <w:rFonts w:ascii="Times New Roman" w:hAnsi="Times New Roman"/>
          <w:i/>
          <w:sz w:val="24"/>
        </w:rPr>
        <w:t>The British Accounting Review</w:t>
      </w:r>
      <w:r w:rsidRPr="0046011D">
        <w:rPr>
          <w:rFonts w:ascii="Times New Roman" w:hAnsi="Times New Roman"/>
          <w:sz w:val="24"/>
        </w:rPr>
        <w:t xml:space="preserve"> 24, 235-267.</w:t>
      </w:r>
      <w:proofErr w:type="gramEnd"/>
    </w:p>
    <w:p w:rsidR="0046011D" w:rsidRPr="0046011D" w:rsidRDefault="00C445B0" w:rsidP="0046011D">
      <w:pPr>
        <w:rPr>
          <w:rFonts w:ascii="Times New Roman" w:hAnsi="Times New Roman"/>
          <w:sz w:val="24"/>
        </w:rPr>
      </w:pPr>
      <w:proofErr w:type="spellStart"/>
      <w:r w:rsidRPr="0046011D">
        <w:rPr>
          <w:rFonts w:ascii="Times New Roman" w:hAnsi="Times New Roman"/>
          <w:sz w:val="24"/>
        </w:rPr>
        <w:t>Zeff</w:t>
      </w:r>
      <w:proofErr w:type="spellEnd"/>
      <w:r w:rsidRPr="0046011D">
        <w:rPr>
          <w:rFonts w:ascii="Times New Roman" w:hAnsi="Times New Roman"/>
          <w:sz w:val="24"/>
        </w:rPr>
        <w:t>, S.</w:t>
      </w:r>
      <w:r>
        <w:rPr>
          <w:rFonts w:ascii="Times New Roman" w:hAnsi="Times New Roman"/>
          <w:sz w:val="24"/>
        </w:rPr>
        <w:t xml:space="preserve"> </w:t>
      </w:r>
      <w:r w:rsidRPr="0046011D">
        <w:rPr>
          <w:rFonts w:ascii="Times New Roman" w:hAnsi="Times New Roman"/>
          <w:sz w:val="24"/>
        </w:rPr>
        <w:t xml:space="preserve">A., </w:t>
      </w:r>
      <w:r>
        <w:rPr>
          <w:rFonts w:ascii="Times New Roman" w:hAnsi="Times New Roman"/>
          <w:sz w:val="24"/>
        </w:rPr>
        <w:t xml:space="preserve">and C. W. </w:t>
      </w:r>
      <w:proofErr w:type="spellStart"/>
      <w:r>
        <w:rPr>
          <w:rFonts w:ascii="Times New Roman" w:hAnsi="Times New Roman"/>
          <w:sz w:val="24"/>
        </w:rPr>
        <w:t>Nobes</w:t>
      </w:r>
      <w:proofErr w:type="spellEnd"/>
      <w:r>
        <w:rPr>
          <w:rFonts w:ascii="Times New Roman" w:hAnsi="Times New Roman"/>
          <w:sz w:val="24"/>
        </w:rPr>
        <w:t>,</w:t>
      </w:r>
      <w:r w:rsidRPr="0046011D">
        <w:rPr>
          <w:rFonts w:ascii="Times New Roman" w:hAnsi="Times New Roman"/>
          <w:sz w:val="24"/>
        </w:rPr>
        <w:t xml:space="preserve"> 2010</w:t>
      </w:r>
      <w:r>
        <w:rPr>
          <w:rFonts w:ascii="Times New Roman" w:hAnsi="Times New Roman"/>
          <w:sz w:val="24"/>
        </w:rPr>
        <w:t>,</w:t>
      </w:r>
      <w:r w:rsidRPr="0046011D">
        <w:rPr>
          <w:rFonts w:ascii="Times New Roman" w:hAnsi="Times New Roman"/>
          <w:sz w:val="24"/>
        </w:rPr>
        <w:t xml:space="preserve"> Commentary: Has Australia </w:t>
      </w:r>
      <w:r>
        <w:rPr>
          <w:rFonts w:ascii="Times New Roman" w:hAnsi="Times New Roman"/>
          <w:sz w:val="24"/>
        </w:rPr>
        <w:t>or any other jurisdiction</w:t>
      </w:r>
      <w:r w:rsidRPr="0046011D">
        <w:rPr>
          <w:rFonts w:ascii="Times New Roman" w:hAnsi="Times New Roman"/>
          <w:sz w:val="24"/>
        </w:rPr>
        <w:t xml:space="preserve"> ‘adopted’ IFRS</w:t>
      </w:r>
      <w:proofErr w:type="gramStart"/>
      <w:r w:rsidRPr="0046011D">
        <w:rPr>
          <w:rFonts w:ascii="Times New Roman" w:hAnsi="Times New Roman"/>
          <w:sz w:val="24"/>
        </w:rPr>
        <w:t>?</w:t>
      </w:r>
      <w:r>
        <w:rPr>
          <w:rFonts w:ascii="Times New Roman" w:hAnsi="Times New Roman"/>
          <w:sz w:val="24"/>
        </w:rPr>
        <w:t>,</w:t>
      </w:r>
      <w:proofErr w:type="gramEnd"/>
      <w:r w:rsidRPr="0046011D">
        <w:rPr>
          <w:rFonts w:ascii="Times New Roman" w:hAnsi="Times New Roman"/>
          <w:sz w:val="24"/>
        </w:rPr>
        <w:t xml:space="preserve"> </w:t>
      </w:r>
      <w:r w:rsidRPr="007873C3">
        <w:rPr>
          <w:rFonts w:ascii="Times New Roman" w:hAnsi="Times New Roman"/>
          <w:i/>
          <w:sz w:val="24"/>
        </w:rPr>
        <w:t>Australian Accounting Review</w:t>
      </w:r>
      <w:r w:rsidRPr="0046011D">
        <w:rPr>
          <w:rFonts w:ascii="Times New Roman" w:hAnsi="Times New Roman"/>
          <w:sz w:val="24"/>
        </w:rPr>
        <w:t xml:space="preserve"> 20, 178-184</w:t>
      </w:r>
      <w:r w:rsidR="0046011D" w:rsidRPr="0046011D">
        <w:rPr>
          <w:rFonts w:ascii="Times New Roman" w:hAnsi="Times New Roman"/>
          <w:sz w:val="24"/>
        </w:rPr>
        <w:t>.</w:t>
      </w:r>
    </w:p>
    <w:p w:rsidR="00536E87" w:rsidRPr="00160EDA" w:rsidRDefault="00536E87" w:rsidP="008149D4">
      <w:pPr>
        <w:pStyle w:val="manuscript"/>
        <w:sectPr w:rsidR="00536E87" w:rsidRPr="00160EDA">
          <w:footerReference w:type="default" r:id="rId12"/>
          <w:endnotePr>
            <w:numFmt w:val="decimal"/>
          </w:endnotePr>
          <w:pgSz w:w="11906" w:h="16838" w:code="9"/>
          <w:pgMar w:top="1440" w:right="1077" w:bottom="1440" w:left="1077" w:header="709" w:footer="709" w:gutter="0"/>
          <w:pgNumType w:start="1"/>
          <w:cols w:space="708"/>
          <w:docGrid w:linePitch="360"/>
        </w:sectPr>
      </w:pPr>
    </w:p>
    <w:p w:rsidR="00536E87" w:rsidRPr="00160EDA" w:rsidRDefault="00536E87" w:rsidP="00BD6C8F">
      <w:pPr>
        <w:pStyle w:val="manuscript"/>
        <w:spacing w:line="240" w:lineRule="auto"/>
      </w:pPr>
    </w:p>
    <w:p w:rsidR="00536E87" w:rsidRPr="00160EDA" w:rsidRDefault="00536E87" w:rsidP="00BD6C8F">
      <w:pPr>
        <w:pStyle w:val="NoSpacing"/>
      </w:pPr>
    </w:p>
    <w:tbl>
      <w:tblPr>
        <w:tblW w:w="7437" w:type="dxa"/>
        <w:tblInd w:w="468" w:type="dxa"/>
        <w:tblLook w:val="04A0" w:firstRow="1" w:lastRow="0" w:firstColumn="1" w:lastColumn="0" w:noHBand="0" w:noVBand="1"/>
      </w:tblPr>
      <w:tblGrid>
        <w:gridCol w:w="2475"/>
        <w:gridCol w:w="2469"/>
        <w:gridCol w:w="2493"/>
      </w:tblGrid>
      <w:tr w:rsidR="00536E87" w:rsidRPr="00C27137">
        <w:trPr>
          <w:trHeight w:val="315"/>
        </w:trPr>
        <w:tc>
          <w:tcPr>
            <w:tcW w:w="7437" w:type="dxa"/>
            <w:gridSpan w:val="3"/>
            <w:tcBorders>
              <w:top w:val="nil"/>
              <w:left w:val="nil"/>
              <w:bottom w:val="single" w:sz="4" w:space="0" w:color="auto"/>
              <w:right w:val="nil"/>
            </w:tcBorders>
            <w:shd w:val="clear" w:color="auto" w:fill="auto"/>
            <w:noWrap/>
          </w:tcPr>
          <w:p w:rsidR="00536E87" w:rsidRPr="00D032E6" w:rsidRDefault="00536E87" w:rsidP="00BD6C8F">
            <w:pPr>
              <w:pStyle w:val="NoSpacing"/>
              <w:rPr>
                <w:rFonts w:ascii="Times New Roman" w:hAnsi="Times New Roman" w:cs="Times New Roman"/>
              </w:rPr>
            </w:pPr>
            <w:r w:rsidRPr="00D032E6">
              <w:rPr>
                <w:rFonts w:ascii="Times New Roman" w:hAnsi="Times New Roman" w:cs="Times New Roman"/>
              </w:rPr>
              <w:t>Table 1</w:t>
            </w:r>
          </w:p>
          <w:p w:rsidR="00536E87" w:rsidRPr="00C27137" w:rsidRDefault="00A07350" w:rsidP="009B7A4A">
            <w:pPr>
              <w:pStyle w:val="NoSpacing"/>
              <w:rPr>
                <w:rFonts w:ascii="Times New Roman" w:hAnsi="Times New Roman" w:cs="Times New Roman"/>
              </w:rPr>
            </w:pPr>
            <w:r w:rsidRPr="00D032E6">
              <w:rPr>
                <w:rFonts w:ascii="Times New Roman" w:hAnsi="Times New Roman" w:cs="Times New Roman"/>
              </w:rPr>
              <w:t>Framework</w:t>
            </w:r>
            <w:r w:rsidR="00D032E6">
              <w:rPr>
                <w:rFonts w:ascii="Times New Roman" w:hAnsi="Times New Roman" w:cs="Times New Roman"/>
              </w:rPr>
              <w:t xml:space="preserve"> for t</w:t>
            </w:r>
            <w:r w:rsidR="009B7A4A" w:rsidRPr="00D032E6">
              <w:rPr>
                <w:rFonts w:ascii="Times New Roman" w:hAnsi="Times New Roman" w:cs="Times New Roman"/>
              </w:rPr>
              <w:t>he</w:t>
            </w:r>
            <w:r w:rsidR="00D032E6" w:rsidRPr="00D032E6">
              <w:rPr>
                <w:rFonts w:ascii="Times New Roman" w:hAnsi="Times New Roman" w:cs="Times New Roman"/>
              </w:rPr>
              <w:t xml:space="preserve">me categories relating to adoption </w:t>
            </w:r>
            <w:r w:rsidR="009B7A4A" w:rsidRPr="00D032E6">
              <w:rPr>
                <w:rFonts w:ascii="Times New Roman" w:hAnsi="Times New Roman" w:cs="Times New Roman"/>
              </w:rPr>
              <w:t>of IFRS</w:t>
            </w:r>
          </w:p>
        </w:tc>
      </w:tr>
      <w:tr w:rsidR="00536E87" w:rsidRPr="00C27137">
        <w:trPr>
          <w:trHeight w:val="315"/>
        </w:trPr>
        <w:tc>
          <w:tcPr>
            <w:tcW w:w="7437" w:type="dxa"/>
            <w:gridSpan w:val="3"/>
            <w:tcBorders>
              <w:top w:val="single" w:sz="4" w:space="0" w:color="auto"/>
              <w:left w:val="nil"/>
              <w:right w:val="nil"/>
            </w:tcBorders>
            <w:shd w:val="clear" w:color="auto" w:fill="auto"/>
            <w:noWrap/>
          </w:tcPr>
          <w:p w:rsidR="00536E87" w:rsidRPr="00C27137" w:rsidRDefault="00536E87" w:rsidP="009B7A4A">
            <w:pPr>
              <w:pStyle w:val="NoSpacing"/>
              <w:rPr>
                <w:rFonts w:ascii="Times New Roman" w:hAnsi="Times New Roman" w:cs="Times New Roman"/>
              </w:rPr>
            </w:pPr>
          </w:p>
        </w:tc>
      </w:tr>
      <w:tr w:rsidR="00536E87" w:rsidRPr="00C27137">
        <w:trPr>
          <w:trHeight w:val="255"/>
        </w:trPr>
        <w:tc>
          <w:tcPr>
            <w:tcW w:w="2475" w:type="dxa"/>
            <w:tcBorders>
              <w:left w:val="nil"/>
              <w:bottom w:val="single" w:sz="4" w:space="0" w:color="auto"/>
              <w:right w:val="nil"/>
            </w:tcBorders>
            <w:shd w:val="clear" w:color="auto" w:fill="auto"/>
            <w:noWrap/>
          </w:tcPr>
          <w:p w:rsidR="00536E87" w:rsidRPr="009352D5" w:rsidRDefault="00A07350" w:rsidP="00BD6C8F">
            <w:pPr>
              <w:pStyle w:val="NoSpacing"/>
              <w:rPr>
                <w:rFonts w:ascii="Times New Roman" w:hAnsi="Times New Roman" w:cs="Times New Roman"/>
                <w:vertAlign w:val="superscript"/>
              </w:rPr>
            </w:pPr>
            <w:proofErr w:type="spellStart"/>
            <w:r w:rsidRPr="00C27137">
              <w:rPr>
                <w:rFonts w:ascii="Times New Roman" w:hAnsi="Times New Roman" w:cs="Times New Roman"/>
              </w:rPr>
              <w:t>Theme</w:t>
            </w:r>
            <w:r w:rsidR="009352D5">
              <w:rPr>
                <w:rFonts w:ascii="Times New Roman" w:hAnsi="Times New Roman" w:cs="Times New Roman"/>
                <w:vertAlign w:val="superscript"/>
              </w:rPr>
              <w:t>a</w:t>
            </w:r>
            <w:proofErr w:type="spellEnd"/>
          </w:p>
        </w:tc>
        <w:tc>
          <w:tcPr>
            <w:tcW w:w="4962" w:type="dxa"/>
            <w:gridSpan w:val="2"/>
            <w:tcBorders>
              <w:left w:val="nil"/>
              <w:bottom w:val="single" w:sz="4" w:space="0" w:color="auto"/>
              <w:right w:val="nil"/>
            </w:tcBorders>
            <w:shd w:val="clear" w:color="auto" w:fill="auto"/>
            <w:noWrap/>
          </w:tcPr>
          <w:p w:rsidR="00536E87" w:rsidRPr="00C27137" w:rsidRDefault="00536E87" w:rsidP="009B7A4A">
            <w:pPr>
              <w:pStyle w:val="NoSpacing"/>
              <w:jc w:val="center"/>
              <w:rPr>
                <w:rFonts w:ascii="Times New Roman" w:hAnsi="Times New Roman" w:cs="Times New Roman"/>
              </w:rPr>
            </w:pPr>
            <w:r w:rsidRPr="00C27137">
              <w:rPr>
                <w:rFonts w:ascii="Times New Roman" w:hAnsi="Times New Roman" w:cs="Times New Roman"/>
              </w:rPr>
              <w:t>Classification</w:t>
            </w:r>
          </w:p>
        </w:tc>
      </w:tr>
      <w:tr w:rsidR="00536E87" w:rsidRPr="00C27137">
        <w:trPr>
          <w:trHeight w:val="255"/>
        </w:trPr>
        <w:tc>
          <w:tcPr>
            <w:tcW w:w="2475" w:type="dxa"/>
            <w:tcBorders>
              <w:top w:val="single" w:sz="4" w:space="0" w:color="auto"/>
              <w:left w:val="nil"/>
              <w:right w:val="nil"/>
            </w:tcBorders>
            <w:shd w:val="clear" w:color="auto" w:fill="E6E6E6"/>
            <w:noWrap/>
          </w:tcPr>
          <w:p w:rsidR="00536E87" w:rsidRPr="00C27137" w:rsidRDefault="00536E87" w:rsidP="00BD6C8F">
            <w:pPr>
              <w:pStyle w:val="NoSpacing"/>
              <w:rPr>
                <w:rFonts w:ascii="Times New Roman" w:hAnsi="Times New Roman" w:cs="Times New Roman"/>
              </w:rPr>
            </w:pPr>
            <w:r w:rsidRPr="00C27137">
              <w:rPr>
                <w:rFonts w:ascii="Times New Roman" w:hAnsi="Times New Roman" w:cs="Times New Roman"/>
              </w:rPr>
              <w:t>Importance</w:t>
            </w:r>
          </w:p>
        </w:tc>
        <w:tc>
          <w:tcPr>
            <w:tcW w:w="2469" w:type="dxa"/>
            <w:tcBorders>
              <w:top w:val="single" w:sz="4" w:space="0" w:color="auto"/>
              <w:left w:val="nil"/>
              <w:right w:val="nil"/>
            </w:tcBorders>
            <w:shd w:val="clear" w:color="auto" w:fill="E6E6E6"/>
            <w:noWrap/>
          </w:tcPr>
          <w:p w:rsidR="00BD6C8F" w:rsidRPr="00C27137" w:rsidRDefault="00536E87" w:rsidP="00BD6C8F">
            <w:pPr>
              <w:pStyle w:val="NoSpacing"/>
              <w:jc w:val="right"/>
              <w:rPr>
                <w:rFonts w:ascii="Times New Roman" w:hAnsi="Times New Roman" w:cs="Times New Roman"/>
              </w:rPr>
            </w:pPr>
            <w:r w:rsidRPr="00C27137">
              <w:rPr>
                <w:rFonts w:ascii="Times New Roman" w:hAnsi="Times New Roman" w:cs="Times New Roman"/>
              </w:rPr>
              <w:t>High</w:t>
            </w:r>
          </w:p>
          <w:p w:rsidR="00536E87" w:rsidRPr="00C27137" w:rsidRDefault="009B7A4A" w:rsidP="00BD6C8F">
            <w:pPr>
              <w:pStyle w:val="NoSpacing"/>
              <w:jc w:val="right"/>
              <w:rPr>
                <w:rFonts w:ascii="Times New Roman" w:hAnsi="Times New Roman" w:cs="Times New Roman"/>
              </w:rPr>
            </w:pPr>
            <w:r w:rsidRPr="00C27137">
              <w:rPr>
                <w:rFonts w:ascii="Times New Roman" w:hAnsi="Times New Roman" w:cs="Times New Roman"/>
              </w:rPr>
              <w:t xml:space="preserve"> (prominence/high-emphasis</w:t>
            </w:r>
            <w:r w:rsidR="00536E87" w:rsidRPr="00C27137">
              <w:rPr>
                <w:rFonts w:ascii="Times New Roman" w:hAnsi="Times New Roman" w:cs="Times New Roman"/>
              </w:rPr>
              <w:t>)</w:t>
            </w:r>
          </w:p>
          <w:p w:rsidR="00BD6C8F" w:rsidRPr="00C27137" w:rsidRDefault="00BD6C8F" w:rsidP="00BD6C8F">
            <w:pPr>
              <w:pStyle w:val="NoSpacing"/>
              <w:jc w:val="right"/>
              <w:rPr>
                <w:rFonts w:ascii="Times New Roman" w:hAnsi="Times New Roman" w:cs="Times New Roman"/>
              </w:rPr>
            </w:pPr>
          </w:p>
        </w:tc>
        <w:tc>
          <w:tcPr>
            <w:tcW w:w="2493" w:type="dxa"/>
            <w:tcBorders>
              <w:top w:val="single" w:sz="4" w:space="0" w:color="auto"/>
              <w:left w:val="nil"/>
              <w:right w:val="nil"/>
            </w:tcBorders>
            <w:shd w:val="clear" w:color="auto" w:fill="E6E6E6"/>
            <w:noWrap/>
          </w:tcPr>
          <w:p w:rsidR="00BD6C8F" w:rsidRPr="00C27137" w:rsidRDefault="00536E87" w:rsidP="00BD6C8F">
            <w:pPr>
              <w:pStyle w:val="NoSpacing"/>
              <w:jc w:val="right"/>
              <w:rPr>
                <w:rFonts w:ascii="Times New Roman" w:hAnsi="Times New Roman" w:cs="Times New Roman"/>
              </w:rPr>
            </w:pPr>
            <w:r w:rsidRPr="00C27137">
              <w:rPr>
                <w:rFonts w:ascii="Times New Roman" w:hAnsi="Times New Roman" w:cs="Times New Roman"/>
              </w:rPr>
              <w:t xml:space="preserve">Low </w:t>
            </w:r>
          </w:p>
          <w:p w:rsidR="00536E87" w:rsidRPr="00C27137" w:rsidRDefault="00536E87" w:rsidP="00BD6C8F">
            <w:pPr>
              <w:pStyle w:val="NoSpacing"/>
              <w:jc w:val="right"/>
              <w:rPr>
                <w:rFonts w:ascii="Times New Roman" w:hAnsi="Times New Roman" w:cs="Times New Roman"/>
              </w:rPr>
            </w:pPr>
            <w:r w:rsidRPr="00C27137">
              <w:rPr>
                <w:rFonts w:ascii="Times New Roman" w:hAnsi="Times New Roman" w:cs="Times New Roman"/>
              </w:rPr>
              <w:t>(contextual/low emphasis)</w:t>
            </w:r>
          </w:p>
          <w:p w:rsidR="00AC2A8C" w:rsidRPr="00C27137" w:rsidRDefault="00AC2A8C" w:rsidP="00BD6C8F">
            <w:pPr>
              <w:pStyle w:val="NoSpacing"/>
              <w:jc w:val="right"/>
              <w:rPr>
                <w:rFonts w:ascii="Times New Roman" w:hAnsi="Times New Roman" w:cs="Times New Roman"/>
              </w:rPr>
            </w:pPr>
          </w:p>
        </w:tc>
      </w:tr>
      <w:tr w:rsidR="000470E9" w:rsidRPr="00C27137">
        <w:trPr>
          <w:trHeight w:val="255"/>
        </w:trPr>
        <w:tc>
          <w:tcPr>
            <w:tcW w:w="2475" w:type="dxa"/>
            <w:tcBorders>
              <w:left w:val="nil"/>
              <w:right w:val="nil"/>
            </w:tcBorders>
            <w:shd w:val="clear" w:color="auto" w:fill="auto"/>
            <w:noWrap/>
          </w:tcPr>
          <w:p w:rsidR="009352D5" w:rsidRDefault="009352D5" w:rsidP="00BD6C8F">
            <w:pPr>
              <w:pStyle w:val="NoSpacing"/>
              <w:rPr>
                <w:rFonts w:ascii="Times New Roman" w:hAnsi="Times New Roman" w:cs="Times New Roman"/>
              </w:rPr>
            </w:pPr>
            <w:r>
              <w:rPr>
                <w:rFonts w:ascii="Times New Roman" w:hAnsi="Times New Roman" w:cs="Times New Roman"/>
              </w:rPr>
              <w:t xml:space="preserve">Significance </w:t>
            </w:r>
          </w:p>
          <w:p w:rsidR="000470E9" w:rsidRPr="00C27137" w:rsidRDefault="009352D5" w:rsidP="00BD6C8F">
            <w:pPr>
              <w:pStyle w:val="NoSpacing"/>
              <w:rPr>
                <w:rFonts w:ascii="Times New Roman" w:hAnsi="Times New Roman" w:cs="Times New Roman"/>
              </w:rPr>
            </w:pPr>
            <w:r>
              <w:rPr>
                <w:rFonts w:ascii="Times New Roman" w:hAnsi="Times New Roman" w:cs="Times New Roman"/>
              </w:rPr>
              <w:t>(</w:t>
            </w:r>
            <w:r w:rsidR="000470E9" w:rsidRPr="00C27137">
              <w:rPr>
                <w:rFonts w:ascii="Times New Roman" w:hAnsi="Times New Roman" w:cs="Times New Roman"/>
              </w:rPr>
              <w:t>Potency</w:t>
            </w:r>
            <w:r>
              <w:rPr>
                <w:rFonts w:ascii="Times New Roman" w:hAnsi="Times New Roman" w:cs="Times New Roman"/>
              </w:rPr>
              <w:t>)</w:t>
            </w:r>
          </w:p>
        </w:tc>
        <w:tc>
          <w:tcPr>
            <w:tcW w:w="2469" w:type="dxa"/>
            <w:tcBorders>
              <w:left w:val="nil"/>
              <w:right w:val="nil"/>
            </w:tcBorders>
            <w:shd w:val="clear" w:color="auto" w:fill="auto"/>
            <w:noWrap/>
          </w:tcPr>
          <w:p w:rsidR="000470E9" w:rsidRPr="00C27137" w:rsidRDefault="000470E9" w:rsidP="00FA200C">
            <w:pPr>
              <w:pStyle w:val="NoSpacing"/>
              <w:jc w:val="right"/>
              <w:rPr>
                <w:rFonts w:ascii="Times New Roman" w:hAnsi="Times New Roman" w:cs="Times New Roman"/>
              </w:rPr>
            </w:pPr>
            <w:r w:rsidRPr="00C27137">
              <w:rPr>
                <w:rFonts w:ascii="Times New Roman" w:hAnsi="Times New Roman" w:cs="Times New Roman"/>
              </w:rPr>
              <w:t xml:space="preserve">High </w:t>
            </w:r>
          </w:p>
          <w:p w:rsidR="000470E9" w:rsidRPr="00C27137" w:rsidRDefault="000470E9" w:rsidP="00BD6C8F">
            <w:pPr>
              <w:pStyle w:val="NoSpacing"/>
              <w:jc w:val="right"/>
              <w:rPr>
                <w:rFonts w:ascii="Times New Roman" w:hAnsi="Times New Roman" w:cs="Times New Roman"/>
              </w:rPr>
            </w:pPr>
            <w:r w:rsidRPr="00C27137">
              <w:rPr>
                <w:rFonts w:ascii="Times New Roman" w:hAnsi="Times New Roman" w:cs="Times New Roman"/>
              </w:rPr>
              <w:t>(specific or significant impact)</w:t>
            </w:r>
          </w:p>
        </w:tc>
        <w:tc>
          <w:tcPr>
            <w:tcW w:w="2493" w:type="dxa"/>
            <w:tcBorders>
              <w:left w:val="nil"/>
              <w:right w:val="nil"/>
            </w:tcBorders>
            <w:shd w:val="clear" w:color="auto" w:fill="auto"/>
            <w:noWrap/>
          </w:tcPr>
          <w:p w:rsidR="000470E9" w:rsidRPr="00C27137" w:rsidRDefault="000470E9" w:rsidP="00FA200C">
            <w:pPr>
              <w:pStyle w:val="NoSpacing"/>
              <w:jc w:val="right"/>
              <w:rPr>
                <w:rFonts w:ascii="Times New Roman" w:hAnsi="Times New Roman" w:cs="Times New Roman"/>
              </w:rPr>
            </w:pPr>
            <w:r w:rsidRPr="00C27137">
              <w:rPr>
                <w:rFonts w:ascii="Times New Roman" w:hAnsi="Times New Roman" w:cs="Times New Roman"/>
              </w:rPr>
              <w:t xml:space="preserve">Low </w:t>
            </w:r>
          </w:p>
          <w:p w:rsidR="000470E9" w:rsidRPr="00C27137" w:rsidRDefault="000470E9" w:rsidP="00FA200C">
            <w:pPr>
              <w:pStyle w:val="NoSpacing"/>
              <w:jc w:val="right"/>
              <w:rPr>
                <w:rFonts w:ascii="Times New Roman" w:hAnsi="Times New Roman" w:cs="Times New Roman"/>
              </w:rPr>
            </w:pPr>
            <w:r w:rsidRPr="00C27137">
              <w:rPr>
                <w:rFonts w:ascii="Times New Roman" w:hAnsi="Times New Roman" w:cs="Times New Roman"/>
              </w:rPr>
              <w:t>(vague or minimal impact)</w:t>
            </w:r>
          </w:p>
          <w:p w:rsidR="000470E9" w:rsidRPr="00C27137" w:rsidRDefault="000470E9" w:rsidP="00BD6C8F">
            <w:pPr>
              <w:pStyle w:val="NoSpacing"/>
              <w:jc w:val="right"/>
              <w:rPr>
                <w:rFonts w:ascii="Times New Roman" w:hAnsi="Times New Roman" w:cs="Times New Roman"/>
              </w:rPr>
            </w:pPr>
          </w:p>
        </w:tc>
      </w:tr>
      <w:tr w:rsidR="000470E9" w:rsidRPr="00C27137">
        <w:trPr>
          <w:trHeight w:val="255"/>
        </w:trPr>
        <w:tc>
          <w:tcPr>
            <w:tcW w:w="2475" w:type="dxa"/>
            <w:tcBorders>
              <w:top w:val="nil"/>
              <w:left w:val="nil"/>
              <w:bottom w:val="nil"/>
              <w:right w:val="nil"/>
            </w:tcBorders>
            <w:shd w:val="clear" w:color="auto" w:fill="E6E6E6"/>
            <w:noWrap/>
          </w:tcPr>
          <w:p w:rsidR="000470E9" w:rsidRPr="00C27137" w:rsidRDefault="002F04DE" w:rsidP="003C4347">
            <w:pPr>
              <w:pStyle w:val="NoSpacing"/>
              <w:rPr>
                <w:rFonts w:ascii="Times New Roman" w:hAnsi="Times New Roman" w:cs="Times New Roman"/>
              </w:rPr>
            </w:pPr>
            <w:r>
              <w:rPr>
                <w:rFonts w:ascii="Times New Roman" w:hAnsi="Times New Roman" w:cs="Times New Roman"/>
              </w:rPr>
              <w:t>Consequences</w:t>
            </w:r>
            <w:r w:rsidR="009352D5">
              <w:rPr>
                <w:rFonts w:ascii="Times New Roman" w:hAnsi="Times New Roman" w:cs="Times New Roman"/>
              </w:rPr>
              <w:t xml:space="preserve"> (Evaluative)</w:t>
            </w:r>
          </w:p>
        </w:tc>
        <w:tc>
          <w:tcPr>
            <w:tcW w:w="2469" w:type="dxa"/>
            <w:tcBorders>
              <w:top w:val="nil"/>
              <w:left w:val="nil"/>
              <w:bottom w:val="nil"/>
              <w:right w:val="nil"/>
            </w:tcBorders>
            <w:shd w:val="clear" w:color="auto" w:fill="E6E6E6"/>
            <w:noWrap/>
          </w:tcPr>
          <w:p w:rsidR="000470E9" w:rsidRPr="00C27137" w:rsidRDefault="000470E9" w:rsidP="003C4347">
            <w:pPr>
              <w:pStyle w:val="NoSpacing"/>
              <w:jc w:val="right"/>
              <w:rPr>
                <w:rFonts w:ascii="Times New Roman" w:hAnsi="Times New Roman" w:cs="Times New Roman"/>
              </w:rPr>
            </w:pPr>
            <w:r w:rsidRPr="00C27137">
              <w:rPr>
                <w:rFonts w:ascii="Times New Roman" w:hAnsi="Times New Roman" w:cs="Times New Roman"/>
              </w:rPr>
              <w:t xml:space="preserve">Beneficial </w:t>
            </w:r>
          </w:p>
          <w:p w:rsidR="000470E9" w:rsidRPr="00C27137" w:rsidRDefault="000470E9" w:rsidP="003C4347">
            <w:pPr>
              <w:pStyle w:val="NoSpacing"/>
              <w:jc w:val="right"/>
              <w:rPr>
                <w:rFonts w:ascii="Times New Roman" w:hAnsi="Times New Roman" w:cs="Times New Roman"/>
              </w:rPr>
            </w:pPr>
            <w:r w:rsidRPr="00C27137">
              <w:rPr>
                <w:rFonts w:ascii="Times New Roman" w:hAnsi="Times New Roman" w:cs="Times New Roman"/>
              </w:rPr>
              <w:t>(positive consequences)</w:t>
            </w:r>
          </w:p>
          <w:p w:rsidR="000470E9" w:rsidRPr="00C27137" w:rsidRDefault="000470E9" w:rsidP="003C4347">
            <w:pPr>
              <w:pStyle w:val="NoSpacing"/>
              <w:jc w:val="right"/>
              <w:rPr>
                <w:rFonts w:ascii="Times New Roman" w:hAnsi="Times New Roman" w:cs="Times New Roman"/>
              </w:rPr>
            </w:pPr>
          </w:p>
        </w:tc>
        <w:tc>
          <w:tcPr>
            <w:tcW w:w="2493" w:type="dxa"/>
            <w:tcBorders>
              <w:top w:val="nil"/>
              <w:left w:val="nil"/>
              <w:bottom w:val="nil"/>
              <w:right w:val="nil"/>
            </w:tcBorders>
            <w:shd w:val="clear" w:color="auto" w:fill="E6E6E6"/>
            <w:noWrap/>
          </w:tcPr>
          <w:p w:rsidR="000470E9" w:rsidRPr="00C27137" w:rsidRDefault="000470E9" w:rsidP="003C4347">
            <w:pPr>
              <w:pStyle w:val="NoSpacing"/>
              <w:jc w:val="right"/>
              <w:rPr>
                <w:rFonts w:ascii="Times New Roman" w:hAnsi="Times New Roman" w:cs="Times New Roman"/>
              </w:rPr>
            </w:pPr>
            <w:r w:rsidRPr="00C27137">
              <w:rPr>
                <w:rFonts w:ascii="Times New Roman" w:hAnsi="Times New Roman" w:cs="Times New Roman"/>
              </w:rPr>
              <w:t xml:space="preserve">Adverse </w:t>
            </w:r>
          </w:p>
          <w:p w:rsidR="000470E9" w:rsidRPr="00C27137" w:rsidRDefault="000470E9" w:rsidP="003C4347">
            <w:pPr>
              <w:pStyle w:val="NoSpacing"/>
              <w:jc w:val="right"/>
              <w:rPr>
                <w:rFonts w:ascii="Times New Roman" w:hAnsi="Times New Roman" w:cs="Times New Roman"/>
              </w:rPr>
            </w:pPr>
            <w:r w:rsidRPr="00C27137">
              <w:rPr>
                <w:rFonts w:ascii="Times New Roman" w:hAnsi="Times New Roman" w:cs="Times New Roman"/>
              </w:rPr>
              <w:t>(negative consequences)</w:t>
            </w:r>
          </w:p>
        </w:tc>
      </w:tr>
      <w:tr w:rsidR="000470E9" w:rsidRPr="00C27137">
        <w:trPr>
          <w:trHeight w:val="255"/>
        </w:trPr>
        <w:tc>
          <w:tcPr>
            <w:tcW w:w="2475" w:type="dxa"/>
            <w:tcBorders>
              <w:top w:val="nil"/>
              <w:left w:val="nil"/>
              <w:right w:val="nil"/>
            </w:tcBorders>
            <w:shd w:val="clear" w:color="auto" w:fill="auto"/>
            <w:noWrap/>
          </w:tcPr>
          <w:p w:rsidR="000470E9" w:rsidRDefault="00F559F7" w:rsidP="009B7A4A">
            <w:pPr>
              <w:pStyle w:val="NoSpacing"/>
              <w:rPr>
                <w:rFonts w:ascii="Times New Roman" w:hAnsi="Times New Roman" w:cs="Times New Roman"/>
              </w:rPr>
            </w:pPr>
            <w:r>
              <w:rPr>
                <w:rFonts w:ascii="Times New Roman" w:hAnsi="Times New Roman" w:cs="Times New Roman"/>
              </w:rPr>
              <w:t>Uncertainty</w:t>
            </w:r>
          </w:p>
          <w:p w:rsidR="009352D5" w:rsidRPr="00C27137" w:rsidRDefault="009352D5" w:rsidP="009B7A4A">
            <w:pPr>
              <w:pStyle w:val="NoSpacing"/>
              <w:rPr>
                <w:rFonts w:ascii="Times New Roman" w:hAnsi="Times New Roman" w:cs="Times New Roman"/>
              </w:rPr>
            </w:pPr>
            <w:r>
              <w:rPr>
                <w:rFonts w:ascii="Times New Roman" w:hAnsi="Times New Roman" w:cs="Times New Roman"/>
              </w:rPr>
              <w:t>(Manageability)</w:t>
            </w:r>
          </w:p>
          <w:p w:rsidR="000470E9" w:rsidRPr="00C27137" w:rsidRDefault="000470E9" w:rsidP="009B7A4A">
            <w:pPr>
              <w:pStyle w:val="NoSpacing"/>
              <w:rPr>
                <w:rFonts w:ascii="Times New Roman" w:hAnsi="Times New Roman" w:cs="Times New Roman"/>
              </w:rPr>
            </w:pPr>
            <w:r w:rsidRPr="00C27137">
              <w:rPr>
                <w:rFonts w:ascii="Times New Roman" w:hAnsi="Times New Roman" w:cs="Times New Roman"/>
              </w:rPr>
              <w:t xml:space="preserve"> </w:t>
            </w:r>
          </w:p>
        </w:tc>
        <w:tc>
          <w:tcPr>
            <w:tcW w:w="2469" w:type="dxa"/>
            <w:tcBorders>
              <w:top w:val="nil"/>
              <w:left w:val="nil"/>
              <w:right w:val="nil"/>
            </w:tcBorders>
            <w:shd w:val="clear" w:color="auto" w:fill="auto"/>
            <w:noWrap/>
          </w:tcPr>
          <w:p w:rsidR="000470E9" w:rsidRPr="00C27137" w:rsidRDefault="000470E9" w:rsidP="00500F66">
            <w:pPr>
              <w:pStyle w:val="NoSpacing"/>
              <w:jc w:val="right"/>
              <w:rPr>
                <w:rFonts w:ascii="Times New Roman" w:hAnsi="Times New Roman" w:cs="Times New Roman"/>
              </w:rPr>
            </w:pPr>
            <w:r w:rsidRPr="00C27137">
              <w:rPr>
                <w:rFonts w:ascii="Times New Roman" w:hAnsi="Times New Roman" w:cs="Times New Roman"/>
              </w:rPr>
              <w:t>Expected</w:t>
            </w:r>
          </w:p>
          <w:p w:rsidR="000470E9" w:rsidRPr="00C27137" w:rsidRDefault="000470E9" w:rsidP="00500F66">
            <w:pPr>
              <w:pStyle w:val="NoSpacing"/>
              <w:jc w:val="right"/>
              <w:rPr>
                <w:rFonts w:ascii="Times New Roman" w:hAnsi="Times New Roman" w:cs="Times New Roman"/>
              </w:rPr>
            </w:pPr>
            <w:r w:rsidRPr="00C27137">
              <w:rPr>
                <w:rFonts w:ascii="Times New Roman" w:hAnsi="Times New Roman" w:cs="Times New Roman"/>
              </w:rPr>
              <w:t>(expected or known factors)</w:t>
            </w:r>
          </w:p>
          <w:p w:rsidR="000470E9" w:rsidRPr="00C27137" w:rsidRDefault="000470E9" w:rsidP="00500F66">
            <w:pPr>
              <w:pStyle w:val="NoSpacing"/>
              <w:jc w:val="right"/>
              <w:rPr>
                <w:rFonts w:ascii="Times New Roman" w:hAnsi="Times New Roman" w:cs="Times New Roman"/>
              </w:rPr>
            </w:pPr>
          </w:p>
        </w:tc>
        <w:tc>
          <w:tcPr>
            <w:tcW w:w="2493" w:type="dxa"/>
            <w:tcBorders>
              <w:top w:val="nil"/>
              <w:left w:val="nil"/>
              <w:right w:val="nil"/>
            </w:tcBorders>
            <w:shd w:val="clear" w:color="auto" w:fill="auto"/>
            <w:noWrap/>
          </w:tcPr>
          <w:p w:rsidR="000470E9" w:rsidRPr="00C27137" w:rsidRDefault="000470E9" w:rsidP="00500F66">
            <w:pPr>
              <w:pStyle w:val="NoSpacing"/>
              <w:jc w:val="right"/>
              <w:rPr>
                <w:rFonts w:ascii="Times New Roman" w:hAnsi="Times New Roman" w:cs="Times New Roman"/>
              </w:rPr>
            </w:pPr>
            <w:r w:rsidRPr="00C27137">
              <w:rPr>
                <w:rFonts w:ascii="Times New Roman" w:hAnsi="Times New Roman" w:cs="Times New Roman"/>
              </w:rPr>
              <w:t>Unexpected</w:t>
            </w:r>
          </w:p>
          <w:p w:rsidR="000470E9" w:rsidRPr="00C27137" w:rsidRDefault="000470E9" w:rsidP="003657DC">
            <w:pPr>
              <w:pStyle w:val="NoSpacing"/>
              <w:jc w:val="right"/>
              <w:rPr>
                <w:rFonts w:ascii="Times New Roman" w:hAnsi="Times New Roman" w:cs="Times New Roman"/>
              </w:rPr>
            </w:pPr>
            <w:r w:rsidRPr="00C27137">
              <w:rPr>
                <w:rFonts w:ascii="Times New Roman" w:hAnsi="Times New Roman" w:cs="Times New Roman"/>
              </w:rPr>
              <w:t>(unexpected or unknown factors)</w:t>
            </w:r>
          </w:p>
        </w:tc>
      </w:tr>
      <w:tr w:rsidR="000470E9" w:rsidRPr="00C27137">
        <w:trPr>
          <w:trHeight w:val="255"/>
        </w:trPr>
        <w:tc>
          <w:tcPr>
            <w:tcW w:w="2475" w:type="dxa"/>
            <w:tcBorders>
              <w:top w:val="nil"/>
              <w:left w:val="nil"/>
              <w:right w:val="nil"/>
            </w:tcBorders>
            <w:shd w:val="clear" w:color="auto" w:fill="E6E6E6"/>
            <w:noWrap/>
          </w:tcPr>
          <w:p w:rsidR="000470E9" w:rsidRDefault="00252B5C" w:rsidP="00500F66">
            <w:pPr>
              <w:pStyle w:val="NoSpacing"/>
              <w:rPr>
                <w:rFonts w:ascii="Times New Roman" w:hAnsi="Times New Roman" w:cs="Times New Roman"/>
              </w:rPr>
            </w:pPr>
            <w:r>
              <w:rPr>
                <w:rFonts w:ascii="Times New Roman" w:hAnsi="Times New Roman" w:cs="Times New Roman"/>
              </w:rPr>
              <w:t>Responsiveness</w:t>
            </w:r>
          </w:p>
          <w:p w:rsidR="009352D5" w:rsidRPr="00C27137" w:rsidRDefault="009352D5" w:rsidP="00500F66">
            <w:pPr>
              <w:pStyle w:val="NoSpacing"/>
              <w:rPr>
                <w:rFonts w:ascii="Times New Roman" w:hAnsi="Times New Roman" w:cs="Times New Roman"/>
              </w:rPr>
            </w:pPr>
            <w:r>
              <w:rPr>
                <w:rFonts w:ascii="Times New Roman" w:hAnsi="Times New Roman" w:cs="Times New Roman"/>
              </w:rPr>
              <w:t>(Activity)</w:t>
            </w:r>
          </w:p>
        </w:tc>
        <w:tc>
          <w:tcPr>
            <w:tcW w:w="2469" w:type="dxa"/>
            <w:tcBorders>
              <w:top w:val="nil"/>
              <w:left w:val="nil"/>
              <w:right w:val="nil"/>
            </w:tcBorders>
            <w:shd w:val="clear" w:color="auto" w:fill="E6E6E6"/>
            <w:noWrap/>
          </w:tcPr>
          <w:p w:rsidR="000470E9" w:rsidRPr="00C27137" w:rsidRDefault="000470E9" w:rsidP="00500F66">
            <w:pPr>
              <w:pStyle w:val="NoSpacing"/>
              <w:jc w:val="right"/>
              <w:rPr>
                <w:rFonts w:ascii="Times New Roman" w:hAnsi="Times New Roman" w:cs="Times New Roman"/>
              </w:rPr>
            </w:pPr>
            <w:r w:rsidRPr="00C27137">
              <w:rPr>
                <w:rFonts w:ascii="Times New Roman" w:hAnsi="Times New Roman" w:cs="Times New Roman"/>
              </w:rPr>
              <w:t xml:space="preserve">Dynamic </w:t>
            </w:r>
          </w:p>
          <w:p w:rsidR="000470E9" w:rsidRPr="00C27137" w:rsidRDefault="000470E9" w:rsidP="00500F66">
            <w:pPr>
              <w:pStyle w:val="NoSpacing"/>
              <w:jc w:val="right"/>
              <w:rPr>
                <w:rFonts w:ascii="Times New Roman" w:hAnsi="Times New Roman" w:cs="Times New Roman"/>
              </w:rPr>
            </w:pPr>
            <w:r w:rsidRPr="00C27137">
              <w:rPr>
                <w:rFonts w:ascii="Times New Roman" w:hAnsi="Times New Roman" w:cs="Times New Roman"/>
              </w:rPr>
              <w:t>(deliberate choice)</w:t>
            </w:r>
          </w:p>
          <w:p w:rsidR="000470E9" w:rsidRPr="00C27137" w:rsidRDefault="000470E9" w:rsidP="00500F66">
            <w:pPr>
              <w:pStyle w:val="NoSpacing"/>
              <w:jc w:val="right"/>
              <w:rPr>
                <w:rFonts w:ascii="Times New Roman" w:hAnsi="Times New Roman" w:cs="Times New Roman"/>
              </w:rPr>
            </w:pPr>
          </w:p>
        </w:tc>
        <w:tc>
          <w:tcPr>
            <w:tcW w:w="2493" w:type="dxa"/>
            <w:tcBorders>
              <w:top w:val="nil"/>
              <w:left w:val="nil"/>
              <w:right w:val="nil"/>
            </w:tcBorders>
            <w:shd w:val="clear" w:color="auto" w:fill="E6E6E6"/>
            <w:noWrap/>
          </w:tcPr>
          <w:p w:rsidR="000470E9" w:rsidRPr="00C27137" w:rsidRDefault="000470E9" w:rsidP="00500F66">
            <w:pPr>
              <w:pStyle w:val="NoSpacing"/>
              <w:jc w:val="right"/>
              <w:rPr>
                <w:rFonts w:ascii="Times New Roman" w:hAnsi="Times New Roman" w:cs="Times New Roman"/>
              </w:rPr>
            </w:pPr>
            <w:r w:rsidRPr="00C27137">
              <w:rPr>
                <w:rFonts w:ascii="Times New Roman" w:hAnsi="Times New Roman" w:cs="Times New Roman"/>
              </w:rPr>
              <w:t xml:space="preserve">Static </w:t>
            </w:r>
          </w:p>
          <w:p w:rsidR="000470E9" w:rsidRPr="00C27137" w:rsidRDefault="000470E9" w:rsidP="00500F66">
            <w:pPr>
              <w:pStyle w:val="NoSpacing"/>
              <w:jc w:val="right"/>
              <w:rPr>
                <w:rFonts w:ascii="Times New Roman" w:hAnsi="Times New Roman" w:cs="Times New Roman"/>
              </w:rPr>
            </w:pPr>
            <w:r w:rsidRPr="00C27137">
              <w:rPr>
                <w:rFonts w:ascii="Times New Roman" w:hAnsi="Times New Roman" w:cs="Times New Roman"/>
              </w:rPr>
              <w:t>(passive acceptance)</w:t>
            </w:r>
          </w:p>
        </w:tc>
      </w:tr>
      <w:tr w:rsidR="000470E9" w:rsidRPr="00C27137">
        <w:trPr>
          <w:trHeight w:val="255"/>
        </w:trPr>
        <w:tc>
          <w:tcPr>
            <w:tcW w:w="2475" w:type="dxa"/>
            <w:tcBorders>
              <w:top w:val="nil"/>
              <w:left w:val="nil"/>
              <w:bottom w:val="single" w:sz="4" w:space="0" w:color="auto"/>
              <w:right w:val="nil"/>
            </w:tcBorders>
            <w:shd w:val="clear" w:color="auto" w:fill="auto"/>
            <w:noWrap/>
          </w:tcPr>
          <w:p w:rsidR="000470E9" w:rsidRPr="00C27137" w:rsidRDefault="000470E9" w:rsidP="00C27137">
            <w:pPr>
              <w:pStyle w:val="NoSpacing"/>
              <w:rPr>
                <w:rFonts w:ascii="Times New Roman" w:hAnsi="Times New Roman" w:cs="Times New Roman"/>
              </w:rPr>
            </w:pPr>
            <w:r w:rsidRPr="00C27137">
              <w:rPr>
                <w:rFonts w:ascii="Times New Roman" w:hAnsi="Times New Roman" w:cs="Times New Roman"/>
              </w:rPr>
              <w:t>Financial</w:t>
            </w:r>
            <w:r w:rsidR="00C27137">
              <w:rPr>
                <w:rFonts w:ascii="Times New Roman" w:hAnsi="Times New Roman" w:cs="Times New Roman"/>
              </w:rPr>
              <w:t xml:space="preserve"> </w:t>
            </w:r>
            <w:r w:rsidRPr="00C27137">
              <w:rPr>
                <w:rFonts w:ascii="Times New Roman" w:hAnsi="Times New Roman" w:cs="Times New Roman"/>
              </w:rPr>
              <w:t>statement impact</w:t>
            </w:r>
          </w:p>
        </w:tc>
        <w:tc>
          <w:tcPr>
            <w:tcW w:w="2469" w:type="dxa"/>
            <w:tcBorders>
              <w:top w:val="nil"/>
              <w:left w:val="nil"/>
              <w:bottom w:val="single" w:sz="4" w:space="0" w:color="auto"/>
              <w:right w:val="nil"/>
            </w:tcBorders>
            <w:shd w:val="clear" w:color="auto" w:fill="auto"/>
            <w:noWrap/>
          </w:tcPr>
          <w:p w:rsidR="000470E9" w:rsidRPr="00C27137" w:rsidRDefault="000470E9" w:rsidP="00BD6C8F">
            <w:pPr>
              <w:pStyle w:val="NoSpacing"/>
              <w:jc w:val="right"/>
              <w:rPr>
                <w:rFonts w:ascii="Times New Roman" w:hAnsi="Times New Roman" w:cs="Times New Roman"/>
              </w:rPr>
            </w:pPr>
            <w:r w:rsidRPr="00C27137">
              <w:rPr>
                <w:rFonts w:ascii="Times New Roman" w:hAnsi="Times New Roman" w:cs="Times New Roman"/>
              </w:rPr>
              <w:t>Yes</w:t>
            </w:r>
          </w:p>
          <w:p w:rsidR="000470E9" w:rsidRPr="00C27137" w:rsidRDefault="000470E9" w:rsidP="009E6166">
            <w:pPr>
              <w:pStyle w:val="NoSpacing"/>
              <w:jc w:val="right"/>
              <w:rPr>
                <w:rFonts w:ascii="Times New Roman" w:hAnsi="Times New Roman" w:cs="Times New Roman"/>
              </w:rPr>
            </w:pPr>
            <w:r w:rsidRPr="00C27137">
              <w:rPr>
                <w:rFonts w:ascii="Times New Roman" w:hAnsi="Times New Roman" w:cs="Times New Roman"/>
              </w:rPr>
              <w:t>(Adoption due to financial statement impacts)</w:t>
            </w:r>
          </w:p>
        </w:tc>
        <w:tc>
          <w:tcPr>
            <w:tcW w:w="2493" w:type="dxa"/>
            <w:tcBorders>
              <w:top w:val="nil"/>
              <w:left w:val="nil"/>
              <w:bottom w:val="single" w:sz="4" w:space="0" w:color="auto"/>
              <w:right w:val="nil"/>
            </w:tcBorders>
            <w:shd w:val="clear" w:color="auto" w:fill="auto"/>
            <w:noWrap/>
          </w:tcPr>
          <w:p w:rsidR="000470E9" w:rsidRPr="00C27137" w:rsidRDefault="000470E9" w:rsidP="00BD6C8F">
            <w:pPr>
              <w:pStyle w:val="NoSpacing"/>
              <w:jc w:val="right"/>
              <w:rPr>
                <w:rFonts w:ascii="Times New Roman" w:hAnsi="Times New Roman" w:cs="Times New Roman"/>
              </w:rPr>
            </w:pPr>
            <w:r w:rsidRPr="00C27137">
              <w:rPr>
                <w:rFonts w:ascii="Times New Roman" w:hAnsi="Times New Roman" w:cs="Times New Roman"/>
              </w:rPr>
              <w:t>No</w:t>
            </w:r>
          </w:p>
          <w:p w:rsidR="000470E9" w:rsidRPr="00C27137" w:rsidRDefault="000470E9" w:rsidP="003657DC">
            <w:pPr>
              <w:pStyle w:val="NoSpacing"/>
              <w:jc w:val="right"/>
              <w:rPr>
                <w:rFonts w:ascii="Times New Roman" w:hAnsi="Times New Roman" w:cs="Times New Roman"/>
              </w:rPr>
            </w:pPr>
            <w:r w:rsidRPr="00C27137">
              <w:rPr>
                <w:rFonts w:ascii="Times New Roman" w:hAnsi="Times New Roman" w:cs="Times New Roman"/>
              </w:rPr>
              <w:t>(Adoption not due to financial statement impacts)</w:t>
            </w:r>
          </w:p>
        </w:tc>
      </w:tr>
    </w:tbl>
    <w:p w:rsidR="00536E87" w:rsidRPr="009352D5" w:rsidRDefault="009352D5" w:rsidP="00BD6C8F">
      <w:pPr>
        <w:pStyle w:val="manuscript"/>
        <w:spacing w:line="240" w:lineRule="auto"/>
        <w:rPr>
          <w:rFonts w:cs="Times New Roman"/>
        </w:rPr>
      </w:pPr>
      <w:proofErr w:type="spellStart"/>
      <w:proofErr w:type="gramStart"/>
      <w:r>
        <w:rPr>
          <w:rFonts w:cs="Times New Roman"/>
          <w:vertAlign w:val="superscript"/>
        </w:rPr>
        <w:t>a</w:t>
      </w:r>
      <w:proofErr w:type="spellEnd"/>
      <w:proofErr w:type="gramEnd"/>
      <w:r>
        <w:rPr>
          <w:rFonts w:cs="Times New Roman"/>
        </w:rPr>
        <w:t xml:space="preserve"> The labels in parentheses are the corresponding themes in Smith and </w:t>
      </w:r>
      <w:proofErr w:type="spellStart"/>
      <w:r>
        <w:rPr>
          <w:rFonts w:cs="Times New Roman"/>
        </w:rPr>
        <w:t>Taffler</w:t>
      </w:r>
      <w:proofErr w:type="spellEnd"/>
      <w:r>
        <w:rPr>
          <w:rFonts w:cs="Times New Roman"/>
        </w:rPr>
        <w:t xml:space="preserve"> (2000).</w:t>
      </w:r>
    </w:p>
    <w:p w:rsidR="009B7A4A" w:rsidRDefault="009B7A4A" w:rsidP="00BD6C8F">
      <w:pPr>
        <w:pStyle w:val="manuscript"/>
        <w:spacing w:line="240" w:lineRule="auto"/>
      </w:pPr>
    </w:p>
    <w:p w:rsidR="009B7A4A" w:rsidRPr="00160EDA" w:rsidRDefault="009B7A4A" w:rsidP="00BD6C8F">
      <w:pPr>
        <w:pStyle w:val="manuscript"/>
        <w:spacing w:line="240" w:lineRule="auto"/>
        <w:sectPr w:rsidR="009B7A4A" w:rsidRPr="00160EDA">
          <w:endnotePr>
            <w:numFmt w:val="decimal"/>
          </w:endnotePr>
          <w:pgSz w:w="11906" w:h="16838"/>
          <w:pgMar w:top="1440" w:right="1080" w:bottom="1440" w:left="1080" w:header="708" w:footer="708" w:gutter="0"/>
          <w:cols w:space="708"/>
          <w:docGrid w:linePitch="360"/>
        </w:sectPr>
      </w:pPr>
    </w:p>
    <w:p w:rsidR="006111B6" w:rsidRPr="00160EDA" w:rsidRDefault="006111B6" w:rsidP="006111B6">
      <w:pPr>
        <w:pStyle w:val="NoSpacing"/>
      </w:pPr>
    </w:p>
    <w:tbl>
      <w:tblPr>
        <w:tblW w:w="10031" w:type="dxa"/>
        <w:tblLayout w:type="fixed"/>
        <w:tblLook w:val="04A0" w:firstRow="1" w:lastRow="0" w:firstColumn="1" w:lastColumn="0" w:noHBand="0" w:noVBand="1"/>
      </w:tblPr>
      <w:tblGrid>
        <w:gridCol w:w="2802"/>
        <w:gridCol w:w="1204"/>
        <w:gridCol w:w="1205"/>
        <w:gridCol w:w="1205"/>
        <w:gridCol w:w="1205"/>
        <w:gridCol w:w="1205"/>
        <w:gridCol w:w="1205"/>
      </w:tblGrid>
      <w:tr w:rsidR="001B5C59" w:rsidRPr="00D53E18" w:rsidTr="00E048E1">
        <w:trPr>
          <w:trHeight w:val="300"/>
        </w:trPr>
        <w:tc>
          <w:tcPr>
            <w:tcW w:w="10031" w:type="dxa"/>
            <w:gridSpan w:val="7"/>
            <w:tcBorders>
              <w:top w:val="nil"/>
              <w:left w:val="nil"/>
              <w:bottom w:val="nil"/>
              <w:right w:val="nil"/>
            </w:tcBorders>
            <w:shd w:val="clear" w:color="auto" w:fill="auto"/>
            <w:noWrap/>
            <w:vAlign w:val="bottom"/>
          </w:tcPr>
          <w:p w:rsidR="001B5C59" w:rsidRPr="00D53E18" w:rsidRDefault="001B5C59" w:rsidP="002B6AD1">
            <w:pPr>
              <w:pStyle w:val="NoSpacing"/>
              <w:rPr>
                <w:rFonts w:ascii="Times New Roman" w:hAnsi="Times New Roman" w:cs="Times New Roman"/>
              </w:rPr>
            </w:pPr>
            <w:r w:rsidRPr="00D032E6">
              <w:rPr>
                <w:rFonts w:ascii="Times New Roman" w:hAnsi="Times New Roman" w:cs="Times New Roman"/>
              </w:rPr>
              <w:t>Table 2</w:t>
            </w:r>
          </w:p>
        </w:tc>
      </w:tr>
      <w:tr w:rsidR="006111B6" w:rsidRPr="00D53E18" w:rsidTr="001B5C59">
        <w:trPr>
          <w:trHeight w:val="300"/>
        </w:trPr>
        <w:tc>
          <w:tcPr>
            <w:tcW w:w="10031" w:type="dxa"/>
            <w:gridSpan w:val="7"/>
            <w:tcBorders>
              <w:top w:val="nil"/>
              <w:left w:val="nil"/>
              <w:bottom w:val="nil"/>
              <w:right w:val="nil"/>
            </w:tcBorders>
            <w:shd w:val="clear" w:color="000000" w:fill="FFFFFF"/>
            <w:vAlign w:val="bottom"/>
          </w:tcPr>
          <w:p w:rsidR="006111B6" w:rsidRPr="00D032E6" w:rsidRDefault="006111B6" w:rsidP="001B5C59">
            <w:pPr>
              <w:pStyle w:val="NoSpacing"/>
              <w:rPr>
                <w:rFonts w:ascii="Times New Roman" w:hAnsi="Times New Roman" w:cs="Times New Roman"/>
              </w:rPr>
            </w:pPr>
            <w:r w:rsidRPr="00D032E6">
              <w:rPr>
                <w:rFonts w:ascii="Times New Roman" w:hAnsi="Times New Roman" w:cs="Times New Roman"/>
              </w:rPr>
              <w:t>Means and modes of opinions on the benefits of IFRS implementation (measured using a 5 point Likert scale)</w:t>
            </w:r>
            <w:r w:rsidR="001B5C59" w:rsidRPr="001B5C59">
              <w:rPr>
                <w:rFonts w:ascii="Times New Roman" w:hAnsi="Times New Roman" w:cs="Times New Roman"/>
                <w:vertAlign w:val="superscript"/>
              </w:rPr>
              <w:t>a</w:t>
            </w:r>
          </w:p>
        </w:tc>
      </w:tr>
      <w:tr w:rsidR="006111B6" w:rsidRPr="00D53E18" w:rsidTr="001B5C59">
        <w:trPr>
          <w:trHeight w:val="615"/>
        </w:trPr>
        <w:tc>
          <w:tcPr>
            <w:tcW w:w="2802" w:type="dxa"/>
            <w:tcBorders>
              <w:top w:val="single" w:sz="4" w:space="0" w:color="auto"/>
              <w:left w:val="nil"/>
              <w:bottom w:val="nil"/>
            </w:tcBorders>
            <w:shd w:val="clear" w:color="auto" w:fill="auto"/>
            <w:noWrap/>
          </w:tcPr>
          <w:p w:rsidR="006111B6" w:rsidRPr="00D53E18" w:rsidRDefault="006111B6" w:rsidP="002B6AD1">
            <w:pPr>
              <w:pStyle w:val="NoSpacing"/>
              <w:rPr>
                <w:rFonts w:ascii="Times New Roman" w:hAnsi="Times New Roman" w:cs="Times New Roman"/>
              </w:rPr>
            </w:pPr>
          </w:p>
        </w:tc>
        <w:tc>
          <w:tcPr>
            <w:tcW w:w="2409" w:type="dxa"/>
            <w:gridSpan w:val="2"/>
            <w:tcBorders>
              <w:top w:val="single" w:sz="4" w:space="0" w:color="auto"/>
              <w:bottom w:val="nil"/>
            </w:tcBorders>
            <w:shd w:val="clear" w:color="auto" w:fill="auto"/>
          </w:tcPr>
          <w:p w:rsidR="006111B6" w:rsidRPr="00D032E6" w:rsidRDefault="002E55B8" w:rsidP="002B6AD1">
            <w:pPr>
              <w:pStyle w:val="NoSpacing"/>
              <w:jc w:val="center"/>
              <w:rPr>
                <w:rFonts w:ascii="Times New Roman" w:hAnsi="Times New Roman" w:cs="Times New Roman"/>
                <w:u w:val="single"/>
              </w:rPr>
            </w:pPr>
            <w:r w:rsidRPr="00D032E6">
              <w:rPr>
                <w:rFonts w:ascii="Times New Roman" w:hAnsi="Times New Roman" w:cs="Times New Roman"/>
                <w:u w:val="single"/>
              </w:rPr>
              <w:t>Early</w:t>
            </w:r>
            <w:r w:rsidR="006111B6" w:rsidRPr="00D032E6">
              <w:rPr>
                <w:rFonts w:ascii="Times New Roman" w:hAnsi="Times New Roman" w:cs="Times New Roman"/>
                <w:u w:val="single"/>
              </w:rPr>
              <w:t xml:space="preserve"> Adopters</w:t>
            </w:r>
          </w:p>
        </w:tc>
        <w:tc>
          <w:tcPr>
            <w:tcW w:w="2410" w:type="dxa"/>
            <w:gridSpan w:val="2"/>
            <w:tcBorders>
              <w:top w:val="single" w:sz="4" w:space="0" w:color="auto"/>
              <w:bottom w:val="nil"/>
            </w:tcBorders>
            <w:shd w:val="clear" w:color="auto" w:fill="auto"/>
          </w:tcPr>
          <w:p w:rsidR="006111B6" w:rsidRPr="00D032E6" w:rsidRDefault="00595A7C" w:rsidP="002B6AD1">
            <w:pPr>
              <w:pStyle w:val="NoSpacing"/>
              <w:jc w:val="center"/>
              <w:rPr>
                <w:rFonts w:ascii="Times New Roman" w:hAnsi="Times New Roman" w:cs="Times New Roman"/>
                <w:u w:val="single"/>
              </w:rPr>
            </w:pPr>
            <w:r w:rsidRPr="00D032E6">
              <w:rPr>
                <w:rFonts w:ascii="Times New Roman" w:hAnsi="Times New Roman" w:cs="Times New Roman"/>
                <w:u w:val="single"/>
              </w:rPr>
              <w:t>Late</w:t>
            </w:r>
            <w:r w:rsidR="006111B6" w:rsidRPr="00D032E6">
              <w:rPr>
                <w:rFonts w:ascii="Times New Roman" w:hAnsi="Times New Roman" w:cs="Times New Roman"/>
                <w:u w:val="single"/>
              </w:rPr>
              <w:t xml:space="preserve"> Adopters</w:t>
            </w:r>
          </w:p>
        </w:tc>
        <w:tc>
          <w:tcPr>
            <w:tcW w:w="2410" w:type="dxa"/>
            <w:gridSpan w:val="2"/>
            <w:tcBorders>
              <w:top w:val="single" w:sz="4" w:space="0" w:color="auto"/>
              <w:left w:val="nil"/>
              <w:bottom w:val="nil"/>
              <w:right w:val="nil"/>
            </w:tcBorders>
            <w:shd w:val="clear" w:color="auto" w:fill="auto"/>
          </w:tcPr>
          <w:p w:rsidR="006111B6" w:rsidRPr="00D032E6" w:rsidRDefault="006111B6" w:rsidP="002B6AD1">
            <w:pPr>
              <w:pStyle w:val="NoSpacing"/>
              <w:jc w:val="center"/>
              <w:rPr>
                <w:rFonts w:ascii="Times New Roman" w:hAnsi="Times New Roman" w:cs="Times New Roman"/>
                <w:u w:val="single"/>
              </w:rPr>
            </w:pPr>
            <w:r w:rsidRPr="00D032E6">
              <w:rPr>
                <w:rFonts w:ascii="Times New Roman" w:hAnsi="Times New Roman" w:cs="Times New Roman"/>
              </w:rPr>
              <w:t xml:space="preserve">Significance of </w:t>
            </w:r>
            <w:r w:rsidRPr="00D032E6">
              <w:rPr>
                <w:rFonts w:ascii="Times New Roman" w:hAnsi="Times New Roman" w:cs="Times New Roman"/>
                <w:u w:val="single"/>
              </w:rPr>
              <w:t xml:space="preserve">Differences </w:t>
            </w:r>
          </w:p>
        </w:tc>
      </w:tr>
      <w:tr w:rsidR="006111B6" w:rsidRPr="00D53E18" w:rsidTr="001B5C59">
        <w:trPr>
          <w:trHeight w:val="510"/>
        </w:trPr>
        <w:tc>
          <w:tcPr>
            <w:tcW w:w="2802" w:type="dxa"/>
            <w:tcBorders>
              <w:top w:val="nil"/>
              <w:left w:val="nil"/>
              <w:bottom w:val="single" w:sz="4" w:space="0" w:color="auto"/>
            </w:tcBorders>
            <w:shd w:val="clear" w:color="auto" w:fill="auto"/>
            <w:noWrap/>
            <w:vAlign w:val="bottom"/>
          </w:tcPr>
          <w:p w:rsidR="006111B6" w:rsidRPr="00D53E18" w:rsidRDefault="006111B6" w:rsidP="002B6AD1">
            <w:pPr>
              <w:pStyle w:val="NoSpacing"/>
              <w:rPr>
                <w:rFonts w:ascii="Times New Roman" w:hAnsi="Times New Roman" w:cs="Times New Roman"/>
              </w:rPr>
            </w:pPr>
            <w:r w:rsidRPr="00D53E18">
              <w:rPr>
                <w:rFonts w:ascii="Times New Roman" w:hAnsi="Times New Roman" w:cs="Times New Roman"/>
              </w:rPr>
              <w:br w:type="page"/>
            </w:r>
            <w:proofErr w:type="spellStart"/>
            <w:r w:rsidRPr="00D53E18">
              <w:rPr>
                <w:rFonts w:ascii="Times New Roman" w:hAnsi="Times New Roman" w:cs="Times New Roman"/>
              </w:rPr>
              <w:t>Benefit</w:t>
            </w:r>
            <w:r w:rsidR="002B7F8E" w:rsidRPr="002B7F8E">
              <w:rPr>
                <w:rFonts w:ascii="Times New Roman" w:hAnsi="Times New Roman" w:cs="Times New Roman"/>
                <w:vertAlign w:val="superscript"/>
              </w:rPr>
              <w:t>b</w:t>
            </w:r>
            <w:proofErr w:type="spellEnd"/>
          </w:p>
        </w:tc>
        <w:tc>
          <w:tcPr>
            <w:tcW w:w="1204" w:type="dxa"/>
            <w:tcBorders>
              <w:top w:val="nil"/>
              <w:bottom w:val="single" w:sz="4" w:space="0" w:color="auto"/>
              <w:right w:val="nil"/>
            </w:tcBorders>
            <w:shd w:val="clear" w:color="auto" w:fill="auto"/>
            <w:noWrap/>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Mean</w:t>
            </w:r>
          </w:p>
        </w:tc>
        <w:tc>
          <w:tcPr>
            <w:tcW w:w="1205" w:type="dxa"/>
            <w:tcBorders>
              <w:top w:val="nil"/>
              <w:left w:val="nil"/>
              <w:bottom w:val="single" w:sz="4" w:space="0" w:color="auto"/>
            </w:tcBorders>
            <w:shd w:val="clear" w:color="auto" w:fill="auto"/>
            <w:noWrap/>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Mode</w:t>
            </w:r>
          </w:p>
        </w:tc>
        <w:tc>
          <w:tcPr>
            <w:tcW w:w="1205" w:type="dxa"/>
            <w:tcBorders>
              <w:top w:val="nil"/>
              <w:bottom w:val="single" w:sz="4" w:space="0" w:color="auto"/>
              <w:right w:val="nil"/>
            </w:tcBorders>
            <w:shd w:val="clear" w:color="auto" w:fill="auto"/>
            <w:noWrap/>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Mean</w:t>
            </w:r>
          </w:p>
        </w:tc>
        <w:tc>
          <w:tcPr>
            <w:tcW w:w="1205" w:type="dxa"/>
            <w:tcBorders>
              <w:top w:val="nil"/>
              <w:left w:val="nil"/>
              <w:bottom w:val="single" w:sz="4" w:space="0" w:color="auto"/>
            </w:tcBorders>
            <w:shd w:val="clear" w:color="auto" w:fill="auto"/>
            <w:noWrap/>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Mode</w:t>
            </w:r>
          </w:p>
        </w:tc>
        <w:tc>
          <w:tcPr>
            <w:tcW w:w="1205" w:type="dxa"/>
            <w:tcBorders>
              <w:top w:val="nil"/>
              <w:left w:val="nil"/>
              <w:bottom w:val="single" w:sz="4" w:space="0" w:color="auto"/>
              <w:right w:val="nil"/>
            </w:tcBorders>
            <w:shd w:val="clear" w:color="auto" w:fill="auto"/>
            <w:noWrap/>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Z-score</w:t>
            </w:r>
          </w:p>
        </w:tc>
        <w:tc>
          <w:tcPr>
            <w:tcW w:w="1205" w:type="dxa"/>
            <w:tcBorders>
              <w:top w:val="nil"/>
              <w:left w:val="nil"/>
              <w:bottom w:val="single" w:sz="4" w:space="0" w:color="auto"/>
              <w:right w:val="nil"/>
            </w:tcBorders>
            <w:shd w:val="clear" w:color="auto" w:fill="auto"/>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p-value (two tailed)</w:t>
            </w:r>
          </w:p>
        </w:tc>
      </w:tr>
      <w:tr w:rsidR="006111B6" w:rsidRPr="00D53E18" w:rsidTr="001B5C59">
        <w:trPr>
          <w:trHeight w:val="525"/>
        </w:trPr>
        <w:tc>
          <w:tcPr>
            <w:tcW w:w="2802" w:type="dxa"/>
            <w:tcBorders>
              <w:top w:val="single" w:sz="4" w:space="0" w:color="auto"/>
              <w:left w:val="nil"/>
              <w:bottom w:val="nil"/>
            </w:tcBorders>
            <w:shd w:val="clear" w:color="auto" w:fill="E6E6E6"/>
            <w:noWrap/>
            <w:vAlign w:val="bottom"/>
          </w:tcPr>
          <w:p w:rsidR="006111B6" w:rsidRPr="00D53E18" w:rsidRDefault="0056191D" w:rsidP="002B6AD1">
            <w:pPr>
              <w:pStyle w:val="NoSpacing"/>
              <w:rPr>
                <w:rFonts w:ascii="Times New Roman" w:hAnsi="Times New Roman" w:cs="Times New Roman"/>
              </w:rPr>
            </w:pPr>
            <w:r>
              <w:rPr>
                <w:rFonts w:ascii="Times New Roman" w:hAnsi="Times New Roman" w:cs="Times New Roman"/>
              </w:rPr>
              <w:t>Improves a</w:t>
            </w:r>
            <w:r w:rsidR="006111B6" w:rsidRPr="00D53E18">
              <w:rPr>
                <w:rFonts w:ascii="Times New Roman" w:hAnsi="Times New Roman" w:cs="Times New Roman"/>
              </w:rPr>
              <w:t>ccounting quality</w:t>
            </w:r>
          </w:p>
        </w:tc>
        <w:tc>
          <w:tcPr>
            <w:tcW w:w="1204" w:type="dxa"/>
            <w:tcBorders>
              <w:top w:val="single" w:sz="4" w:space="0" w:color="auto"/>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3.35</w:t>
            </w:r>
          </w:p>
        </w:tc>
        <w:tc>
          <w:tcPr>
            <w:tcW w:w="1205" w:type="dxa"/>
            <w:tcBorders>
              <w:top w:val="single" w:sz="4" w:space="0" w:color="auto"/>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single" w:sz="4" w:space="0" w:color="auto"/>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3.88</w:t>
            </w:r>
          </w:p>
        </w:tc>
        <w:tc>
          <w:tcPr>
            <w:tcW w:w="1205" w:type="dxa"/>
            <w:tcBorders>
              <w:top w:val="single" w:sz="4" w:space="0" w:color="auto"/>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single" w:sz="4" w:space="0" w:color="auto"/>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1.52</w:t>
            </w:r>
          </w:p>
        </w:tc>
        <w:tc>
          <w:tcPr>
            <w:tcW w:w="1205" w:type="dxa"/>
            <w:tcBorders>
              <w:top w:val="single" w:sz="4" w:space="0" w:color="auto"/>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0.13</w:t>
            </w:r>
          </w:p>
        </w:tc>
      </w:tr>
      <w:tr w:rsidR="006111B6" w:rsidRPr="00D53E18" w:rsidTr="001B5C59">
        <w:trPr>
          <w:trHeight w:val="525"/>
        </w:trPr>
        <w:tc>
          <w:tcPr>
            <w:tcW w:w="2802" w:type="dxa"/>
            <w:tcBorders>
              <w:top w:val="nil"/>
              <w:left w:val="nil"/>
            </w:tcBorders>
            <w:shd w:val="clear" w:color="auto" w:fill="auto"/>
            <w:noWrap/>
            <w:vAlign w:val="bottom"/>
          </w:tcPr>
          <w:p w:rsidR="006111B6" w:rsidRPr="00CA18E9" w:rsidRDefault="0056191D" w:rsidP="002B6AD1">
            <w:pPr>
              <w:pStyle w:val="NoSpacing"/>
              <w:rPr>
                <w:rFonts w:ascii="Times New Roman" w:hAnsi="Times New Roman" w:cs="Times New Roman"/>
                <w:b/>
              </w:rPr>
            </w:pPr>
            <w:r>
              <w:rPr>
                <w:rFonts w:ascii="Times New Roman" w:hAnsi="Times New Roman" w:cs="Times New Roman"/>
                <w:b/>
              </w:rPr>
              <w:t>Improves c</w:t>
            </w:r>
            <w:r w:rsidR="006111B6" w:rsidRPr="00CA18E9">
              <w:rPr>
                <w:rFonts w:ascii="Times New Roman" w:hAnsi="Times New Roman" w:cs="Times New Roman"/>
                <w:b/>
              </w:rPr>
              <w:t>omparability</w:t>
            </w:r>
          </w:p>
        </w:tc>
        <w:tc>
          <w:tcPr>
            <w:tcW w:w="1204" w:type="dxa"/>
            <w:tcBorders>
              <w:top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2.29</w:t>
            </w:r>
          </w:p>
        </w:tc>
        <w:tc>
          <w:tcPr>
            <w:tcW w:w="1205" w:type="dxa"/>
            <w:tcBorders>
              <w:top w:val="nil"/>
              <w:lef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w:t>
            </w:r>
          </w:p>
        </w:tc>
        <w:tc>
          <w:tcPr>
            <w:tcW w:w="1205" w:type="dxa"/>
            <w:tcBorders>
              <w:top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2.88</w:t>
            </w:r>
          </w:p>
        </w:tc>
        <w:tc>
          <w:tcPr>
            <w:tcW w:w="1205" w:type="dxa"/>
            <w:tcBorders>
              <w:top w:val="nil"/>
              <w:lef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w:t>
            </w:r>
          </w:p>
        </w:tc>
        <w:tc>
          <w:tcPr>
            <w:tcW w:w="1205" w:type="dxa"/>
            <w:tcBorders>
              <w:top w:val="nil"/>
              <w:left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1.91</w:t>
            </w:r>
          </w:p>
        </w:tc>
        <w:tc>
          <w:tcPr>
            <w:tcW w:w="1205" w:type="dxa"/>
            <w:tcBorders>
              <w:top w:val="nil"/>
              <w:left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0.06</w:t>
            </w:r>
          </w:p>
        </w:tc>
      </w:tr>
      <w:tr w:rsidR="006111B6" w:rsidRPr="00D53E18" w:rsidTr="001B5C59">
        <w:trPr>
          <w:trHeight w:val="525"/>
        </w:trPr>
        <w:tc>
          <w:tcPr>
            <w:tcW w:w="2802" w:type="dxa"/>
            <w:tcBorders>
              <w:top w:val="nil"/>
              <w:left w:val="nil"/>
              <w:bottom w:val="nil"/>
            </w:tcBorders>
            <w:shd w:val="clear" w:color="auto" w:fill="E6E6E6"/>
            <w:noWrap/>
            <w:vAlign w:val="bottom"/>
          </w:tcPr>
          <w:p w:rsidR="006111B6" w:rsidRPr="00D53E18" w:rsidRDefault="0056191D" w:rsidP="002B6AD1">
            <w:pPr>
              <w:pStyle w:val="NoSpacing"/>
              <w:rPr>
                <w:rFonts w:ascii="Times New Roman" w:hAnsi="Times New Roman" w:cs="Times New Roman"/>
              </w:rPr>
            </w:pPr>
            <w:r>
              <w:rPr>
                <w:rFonts w:ascii="Times New Roman" w:hAnsi="Times New Roman" w:cs="Times New Roman"/>
              </w:rPr>
              <w:t>Reduces a</w:t>
            </w:r>
            <w:r w:rsidR="006111B6" w:rsidRPr="00D53E18">
              <w:rPr>
                <w:rFonts w:ascii="Times New Roman" w:hAnsi="Times New Roman" w:cs="Times New Roman"/>
              </w:rPr>
              <w:t>nalysis costs</w:t>
            </w:r>
          </w:p>
        </w:tc>
        <w:tc>
          <w:tcPr>
            <w:tcW w:w="1204" w:type="dxa"/>
            <w:tcBorders>
              <w:top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4.12</w:t>
            </w:r>
          </w:p>
        </w:tc>
        <w:tc>
          <w:tcPr>
            <w:tcW w:w="1205" w:type="dxa"/>
            <w:tcBorders>
              <w:top w:val="nil"/>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3.88</w:t>
            </w:r>
          </w:p>
        </w:tc>
        <w:tc>
          <w:tcPr>
            <w:tcW w:w="1205" w:type="dxa"/>
            <w:tcBorders>
              <w:top w:val="nil"/>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nil"/>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1.06</w:t>
            </w:r>
          </w:p>
        </w:tc>
        <w:tc>
          <w:tcPr>
            <w:tcW w:w="1205" w:type="dxa"/>
            <w:tcBorders>
              <w:top w:val="nil"/>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0.29</w:t>
            </w:r>
          </w:p>
        </w:tc>
      </w:tr>
      <w:tr w:rsidR="006111B6" w:rsidRPr="00D53E18" w:rsidTr="001B5C59">
        <w:trPr>
          <w:trHeight w:val="525"/>
        </w:trPr>
        <w:tc>
          <w:tcPr>
            <w:tcW w:w="2802" w:type="dxa"/>
            <w:tcBorders>
              <w:top w:val="nil"/>
              <w:left w:val="nil"/>
            </w:tcBorders>
            <w:shd w:val="clear" w:color="auto" w:fill="auto"/>
            <w:noWrap/>
            <w:vAlign w:val="bottom"/>
          </w:tcPr>
          <w:p w:rsidR="006111B6" w:rsidRPr="00D53E18" w:rsidRDefault="0056191D" w:rsidP="002B6AD1">
            <w:pPr>
              <w:pStyle w:val="NoSpacing"/>
              <w:rPr>
                <w:rFonts w:ascii="Times New Roman" w:hAnsi="Times New Roman" w:cs="Times New Roman"/>
              </w:rPr>
            </w:pPr>
            <w:r>
              <w:rPr>
                <w:rFonts w:ascii="Times New Roman" w:hAnsi="Times New Roman" w:cs="Times New Roman"/>
              </w:rPr>
              <w:t>Reduces c</w:t>
            </w:r>
            <w:r w:rsidR="006111B6" w:rsidRPr="00D53E18">
              <w:rPr>
                <w:rFonts w:ascii="Times New Roman" w:hAnsi="Times New Roman" w:cs="Times New Roman"/>
              </w:rPr>
              <w:t>apital barriers</w:t>
            </w:r>
          </w:p>
        </w:tc>
        <w:tc>
          <w:tcPr>
            <w:tcW w:w="1204" w:type="dxa"/>
            <w:tcBorders>
              <w:top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3.65</w:t>
            </w:r>
          </w:p>
        </w:tc>
        <w:tc>
          <w:tcPr>
            <w:tcW w:w="1205" w:type="dxa"/>
            <w:tcBorders>
              <w:top w:val="nil"/>
              <w:lef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w:t>
            </w:r>
          </w:p>
        </w:tc>
        <w:tc>
          <w:tcPr>
            <w:tcW w:w="1205" w:type="dxa"/>
            <w:tcBorders>
              <w:top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4.07</w:t>
            </w:r>
          </w:p>
        </w:tc>
        <w:tc>
          <w:tcPr>
            <w:tcW w:w="1205" w:type="dxa"/>
            <w:tcBorders>
              <w:top w:val="nil"/>
              <w:lef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nil"/>
              <w:left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1.3</w:t>
            </w:r>
            <w:r>
              <w:rPr>
                <w:rFonts w:ascii="Times New Roman" w:hAnsi="Times New Roman" w:cs="Times New Roman"/>
              </w:rPr>
              <w:t>2</w:t>
            </w:r>
          </w:p>
        </w:tc>
        <w:tc>
          <w:tcPr>
            <w:tcW w:w="1205" w:type="dxa"/>
            <w:tcBorders>
              <w:top w:val="nil"/>
              <w:left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0.19</w:t>
            </w:r>
          </w:p>
        </w:tc>
      </w:tr>
      <w:tr w:rsidR="006111B6" w:rsidRPr="00D53E18" w:rsidTr="001B5C59">
        <w:trPr>
          <w:trHeight w:val="525"/>
        </w:trPr>
        <w:tc>
          <w:tcPr>
            <w:tcW w:w="2802" w:type="dxa"/>
            <w:tcBorders>
              <w:top w:val="nil"/>
              <w:left w:val="nil"/>
              <w:bottom w:val="nil"/>
            </w:tcBorders>
            <w:shd w:val="clear" w:color="auto" w:fill="E6E6E6"/>
            <w:noWrap/>
            <w:vAlign w:val="bottom"/>
          </w:tcPr>
          <w:p w:rsidR="006111B6" w:rsidRPr="00D53E18" w:rsidRDefault="006111B6" w:rsidP="002B6AD1">
            <w:pPr>
              <w:pStyle w:val="NoSpacing"/>
              <w:rPr>
                <w:rFonts w:ascii="Times New Roman" w:hAnsi="Times New Roman" w:cs="Times New Roman"/>
              </w:rPr>
            </w:pPr>
            <w:r w:rsidRPr="00D53E18">
              <w:rPr>
                <w:rFonts w:ascii="Times New Roman" w:hAnsi="Times New Roman" w:cs="Times New Roman"/>
              </w:rPr>
              <w:t>R</w:t>
            </w:r>
            <w:r w:rsidR="0056191D">
              <w:rPr>
                <w:rFonts w:ascii="Times New Roman" w:hAnsi="Times New Roman" w:cs="Times New Roman"/>
              </w:rPr>
              <w:t>educes r</w:t>
            </w:r>
            <w:r w:rsidRPr="00D53E18">
              <w:rPr>
                <w:rFonts w:ascii="Times New Roman" w:hAnsi="Times New Roman" w:cs="Times New Roman"/>
              </w:rPr>
              <w:t>eporting costs</w:t>
            </w:r>
          </w:p>
        </w:tc>
        <w:tc>
          <w:tcPr>
            <w:tcW w:w="1204" w:type="dxa"/>
            <w:tcBorders>
              <w:top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3.82</w:t>
            </w:r>
          </w:p>
        </w:tc>
        <w:tc>
          <w:tcPr>
            <w:tcW w:w="1205" w:type="dxa"/>
            <w:tcBorders>
              <w:top w:val="nil"/>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3.93</w:t>
            </w:r>
          </w:p>
        </w:tc>
        <w:tc>
          <w:tcPr>
            <w:tcW w:w="1205" w:type="dxa"/>
            <w:tcBorders>
              <w:top w:val="nil"/>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nil"/>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0.15</w:t>
            </w:r>
          </w:p>
        </w:tc>
        <w:tc>
          <w:tcPr>
            <w:tcW w:w="1205" w:type="dxa"/>
            <w:tcBorders>
              <w:top w:val="nil"/>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0.88</w:t>
            </w:r>
          </w:p>
        </w:tc>
      </w:tr>
      <w:tr w:rsidR="006111B6" w:rsidRPr="00D53E18" w:rsidTr="001B5C59">
        <w:trPr>
          <w:trHeight w:val="525"/>
        </w:trPr>
        <w:tc>
          <w:tcPr>
            <w:tcW w:w="2802" w:type="dxa"/>
            <w:tcBorders>
              <w:top w:val="nil"/>
              <w:left w:val="nil"/>
            </w:tcBorders>
            <w:shd w:val="clear" w:color="auto" w:fill="auto"/>
            <w:noWrap/>
            <w:vAlign w:val="bottom"/>
          </w:tcPr>
          <w:p w:rsidR="006111B6" w:rsidRPr="00D53E18" w:rsidRDefault="0056191D" w:rsidP="0056191D">
            <w:pPr>
              <w:pStyle w:val="NoSpacing"/>
              <w:rPr>
                <w:rFonts w:ascii="Times New Roman" w:hAnsi="Times New Roman" w:cs="Times New Roman"/>
              </w:rPr>
            </w:pPr>
            <w:r>
              <w:rPr>
                <w:rFonts w:ascii="Times New Roman" w:hAnsi="Times New Roman" w:cs="Times New Roman"/>
              </w:rPr>
              <w:t>Agrees with u</w:t>
            </w:r>
            <w:r w:rsidR="006111B6" w:rsidRPr="00D53E18">
              <w:rPr>
                <w:rFonts w:ascii="Times New Roman" w:hAnsi="Times New Roman" w:cs="Times New Roman"/>
              </w:rPr>
              <w:t>ser preferences</w:t>
            </w:r>
          </w:p>
        </w:tc>
        <w:tc>
          <w:tcPr>
            <w:tcW w:w="1204" w:type="dxa"/>
            <w:tcBorders>
              <w:top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3.24</w:t>
            </w:r>
          </w:p>
        </w:tc>
        <w:tc>
          <w:tcPr>
            <w:tcW w:w="1205" w:type="dxa"/>
            <w:tcBorders>
              <w:top w:val="nil"/>
              <w:lef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2</w:t>
            </w:r>
          </w:p>
        </w:tc>
        <w:tc>
          <w:tcPr>
            <w:tcW w:w="1205" w:type="dxa"/>
            <w:tcBorders>
              <w:top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3.20</w:t>
            </w:r>
          </w:p>
        </w:tc>
        <w:tc>
          <w:tcPr>
            <w:tcW w:w="1205" w:type="dxa"/>
            <w:tcBorders>
              <w:top w:val="nil"/>
              <w:lef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w:t>
            </w:r>
          </w:p>
        </w:tc>
        <w:tc>
          <w:tcPr>
            <w:tcW w:w="1205" w:type="dxa"/>
            <w:tcBorders>
              <w:top w:val="nil"/>
              <w:left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0.00</w:t>
            </w:r>
          </w:p>
        </w:tc>
        <w:tc>
          <w:tcPr>
            <w:tcW w:w="1205" w:type="dxa"/>
            <w:tcBorders>
              <w:top w:val="nil"/>
              <w:left w:val="nil"/>
              <w:right w:val="nil"/>
            </w:tcBorders>
            <w:shd w:val="clear" w:color="000000" w:fill="FFFFFF"/>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1.00</w:t>
            </w:r>
          </w:p>
        </w:tc>
      </w:tr>
      <w:tr w:rsidR="006111B6" w:rsidRPr="00D53E18" w:rsidTr="001B5C59">
        <w:trPr>
          <w:trHeight w:val="525"/>
        </w:trPr>
        <w:tc>
          <w:tcPr>
            <w:tcW w:w="2802" w:type="dxa"/>
            <w:tcBorders>
              <w:top w:val="nil"/>
              <w:left w:val="nil"/>
              <w:bottom w:val="nil"/>
            </w:tcBorders>
            <w:shd w:val="clear" w:color="auto" w:fill="E6E6E6"/>
            <w:noWrap/>
            <w:vAlign w:val="bottom"/>
          </w:tcPr>
          <w:p w:rsidR="006111B6" w:rsidRPr="00D53E18" w:rsidRDefault="0056191D" w:rsidP="002B6AD1">
            <w:pPr>
              <w:pStyle w:val="NoSpacing"/>
              <w:rPr>
                <w:rFonts w:ascii="Times New Roman" w:hAnsi="Times New Roman" w:cs="Times New Roman"/>
              </w:rPr>
            </w:pPr>
            <w:r>
              <w:rPr>
                <w:rFonts w:ascii="Times New Roman" w:hAnsi="Times New Roman" w:cs="Times New Roman"/>
              </w:rPr>
              <w:t>Increases u</w:t>
            </w:r>
            <w:r w:rsidR="006111B6" w:rsidRPr="00D53E18">
              <w:rPr>
                <w:rFonts w:ascii="Times New Roman" w:hAnsi="Times New Roman" w:cs="Times New Roman"/>
              </w:rPr>
              <w:t>ser confidence</w:t>
            </w:r>
          </w:p>
        </w:tc>
        <w:tc>
          <w:tcPr>
            <w:tcW w:w="1204" w:type="dxa"/>
            <w:tcBorders>
              <w:top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3.41</w:t>
            </w:r>
          </w:p>
        </w:tc>
        <w:tc>
          <w:tcPr>
            <w:tcW w:w="1205" w:type="dxa"/>
            <w:tcBorders>
              <w:top w:val="nil"/>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3.88</w:t>
            </w:r>
          </w:p>
        </w:tc>
        <w:tc>
          <w:tcPr>
            <w:tcW w:w="1205" w:type="dxa"/>
            <w:tcBorders>
              <w:top w:val="nil"/>
              <w:left w:val="nil"/>
              <w:bottom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sidRPr="00D53E18">
              <w:rPr>
                <w:rFonts w:ascii="Times New Roman" w:hAnsi="Times New Roman" w:cs="Times New Roman"/>
              </w:rPr>
              <w:t>4</w:t>
            </w:r>
          </w:p>
        </w:tc>
        <w:tc>
          <w:tcPr>
            <w:tcW w:w="1205" w:type="dxa"/>
            <w:tcBorders>
              <w:top w:val="nil"/>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1.42</w:t>
            </w:r>
          </w:p>
        </w:tc>
        <w:tc>
          <w:tcPr>
            <w:tcW w:w="1205" w:type="dxa"/>
            <w:tcBorders>
              <w:top w:val="nil"/>
              <w:left w:val="nil"/>
              <w:bottom w:val="nil"/>
              <w:right w:val="nil"/>
            </w:tcBorders>
            <w:shd w:val="clear" w:color="auto" w:fill="E6E6E6"/>
            <w:vAlign w:val="bottom"/>
          </w:tcPr>
          <w:p w:rsidR="006111B6" w:rsidRPr="00D53E18" w:rsidRDefault="006111B6" w:rsidP="002B6AD1">
            <w:pPr>
              <w:pStyle w:val="NoSpacing"/>
              <w:jc w:val="right"/>
              <w:rPr>
                <w:rFonts w:ascii="Times New Roman" w:hAnsi="Times New Roman" w:cs="Times New Roman"/>
              </w:rPr>
            </w:pPr>
            <w:r>
              <w:rPr>
                <w:rFonts w:ascii="Times New Roman" w:hAnsi="Times New Roman" w:cs="Times New Roman"/>
              </w:rPr>
              <w:t>0.16</w:t>
            </w:r>
          </w:p>
        </w:tc>
      </w:tr>
      <w:tr w:rsidR="006111B6" w:rsidRPr="00D53E18" w:rsidTr="001B5C59">
        <w:trPr>
          <w:trHeight w:val="525"/>
        </w:trPr>
        <w:tc>
          <w:tcPr>
            <w:tcW w:w="2802" w:type="dxa"/>
            <w:tcBorders>
              <w:top w:val="nil"/>
              <w:left w:val="nil"/>
            </w:tcBorders>
            <w:shd w:val="clear" w:color="auto" w:fill="auto"/>
            <w:noWrap/>
            <w:vAlign w:val="bottom"/>
          </w:tcPr>
          <w:p w:rsidR="006111B6" w:rsidRPr="00CA18E9" w:rsidRDefault="006111B6" w:rsidP="002B6AD1">
            <w:pPr>
              <w:pStyle w:val="NoSpacing"/>
              <w:rPr>
                <w:rFonts w:ascii="Times New Roman" w:hAnsi="Times New Roman" w:cs="Times New Roman"/>
                <w:b/>
              </w:rPr>
            </w:pPr>
            <w:r w:rsidRPr="00CA18E9">
              <w:rPr>
                <w:rFonts w:ascii="Times New Roman" w:hAnsi="Times New Roman" w:cs="Times New Roman"/>
                <w:b/>
              </w:rPr>
              <w:t>Long-term</w:t>
            </w:r>
            <w:r w:rsidR="0056191D">
              <w:rPr>
                <w:rFonts w:ascii="Times New Roman" w:hAnsi="Times New Roman" w:cs="Times New Roman"/>
                <w:b/>
              </w:rPr>
              <w:t xml:space="preserve"> benefits</w:t>
            </w:r>
            <w:r w:rsidRPr="00CA18E9">
              <w:rPr>
                <w:rFonts w:ascii="Times New Roman" w:hAnsi="Times New Roman" w:cs="Times New Roman"/>
                <w:b/>
              </w:rPr>
              <w:t>: firm</w:t>
            </w:r>
          </w:p>
        </w:tc>
        <w:tc>
          <w:tcPr>
            <w:tcW w:w="1204" w:type="dxa"/>
            <w:tcBorders>
              <w:top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3.41</w:t>
            </w:r>
          </w:p>
        </w:tc>
        <w:tc>
          <w:tcPr>
            <w:tcW w:w="1205" w:type="dxa"/>
            <w:tcBorders>
              <w:top w:val="nil"/>
              <w:lef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3</w:t>
            </w:r>
          </w:p>
        </w:tc>
        <w:tc>
          <w:tcPr>
            <w:tcW w:w="1205" w:type="dxa"/>
            <w:tcBorders>
              <w:top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4.00</w:t>
            </w:r>
          </w:p>
        </w:tc>
        <w:tc>
          <w:tcPr>
            <w:tcW w:w="1205" w:type="dxa"/>
            <w:tcBorders>
              <w:top w:val="nil"/>
              <w:lef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4</w:t>
            </w:r>
          </w:p>
        </w:tc>
        <w:tc>
          <w:tcPr>
            <w:tcW w:w="1205" w:type="dxa"/>
            <w:tcBorders>
              <w:top w:val="nil"/>
              <w:left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1.80</w:t>
            </w:r>
          </w:p>
        </w:tc>
        <w:tc>
          <w:tcPr>
            <w:tcW w:w="1205" w:type="dxa"/>
            <w:tcBorders>
              <w:top w:val="nil"/>
              <w:left w:val="nil"/>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0.07</w:t>
            </w:r>
          </w:p>
        </w:tc>
      </w:tr>
      <w:tr w:rsidR="006111B6" w:rsidRPr="00D53E18" w:rsidTr="001B5C59">
        <w:trPr>
          <w:trHeight w:val="525"/>
        </w:trPr>
        <w:tc>
          <w:tcPr>
            <w:tcW w:w="2802" w:type="dxa"/>
            <w:tcBorders>
              <w:top w:val="nil"/>
              <w:left w:val="nil"/>
              <w:bottom w:val="nil"/>
            </w:tcBorders>
            <w:shd w:val="clear" w:color="auto" w:fill="E6E6E6"/>
            <w:noWrap/>
            <w:vAlign w:val="bottom"/>
          </w:tcPr>
          <w:p w:rsidR="006111B6" w:rsidRPr="00CA18E9" w:rsidRDefault="006111B6" w:rsidP="002B6AD1">
            <w:pPr>
              <w:pStyle w:val="NoSpacing"/>
              <w:rPr>
                <w:rFonts w:ascii="Times New Roman" w:hAnsi="Times New Roman" w:cs="Times New Roman"/>
                <w:b/>
              </w:rPr>
            </w:pPr>
            <w:r w:rsidRPr="00CA18E9">
              <w:rPr>
                <w:rFonts w:ascii="Times New Roman" w:hAnsi="Times New Roman" w:cs="Times New Roman"/>
                <w:b/>
              </w:rPr>
              <w:t>Long-term</w:t>
            </w:r>
            <w:r w:rsidR="0056191D">
              <w:rPr>
                <w:rFonts w:ascii="Times New Roman" w:hAnsi="Times New Roman" w:cs="Times New Roman"/>
                <w:b/>
              </w:rPr>
              <w:t xml:space="preserve"> benefits</w:t>
            </w:r>
            <w:r w:rsidRPr="00CA18E9">
              <w:rPr>
                <w:rFonts w:ascii="Times New Roman" w:hAnsi="Times New Roman" w:cs="Times New Roman"/>
                <w:b/>
              </w:rPr>
              <w:t>: NZ</w:t>
            </w:r>
          </w:p>
        </w:tc>
        <w:tc>
          <w:tcPr>
            <w:tcW w:w="1204" w:type="dxa"/>
            <w:tcBorders>
              <w:top w:val="nil"/>
              <w:bottom w:val="nil"/>
              <w:right w:val="nil"/>
            </w:tcBorders>
            <w:shd w:val="clear" w:color="auto" w:fill="E6E6E6"/>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2.82</w:t>
            </w:r>
          </w:p>
        </w:tc>
        <w:tc>
          <w:tcPr>
            <w:tcW w:w="1205" w:type="dxa"/>
            <w:tcBorders>
              <w:top w:val="nil"/>
              <w:left w:val="nil"/>
              <w:bottom w:val="nil"/>
            </w:tcBorders>
            <w:shd w:val="clear" w:color="auto" w:fill="E6E6E6"/>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w:t>
            </w:r>
          </w:p>
        </w:tc>
        <w:tc>
          <w:tcPr>
            <w:tcW w:w="1205" w:type="dxa"/>
            <w:tcBorders>
              <w:top w:val="nil"/>
              <w:bottom w:val="nil"/>
              <w:right w:val="nil"/>
            </w:tcBorders>
            <w:shd w:val="clear" w:color="auto" w:fill="E6E6E6"/>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3.65</w:t>
            </w:r>
          </w:p>
        </w:tc>
        <w:tc>
          <w:tcPr>
            <w:tcW w:w="1205" w:type="dxa"/>
            <w:tcBorders>
              <w:top w:val="nil"/>
              <w:left w:val="nil"/>
              <w:bottom w:val="nil"/>
            </w:tcBorders>
            <w:shd w:val="clear" w:color="auto" w:fill="E6E6E6"/>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3</w:t>
            </w:r>
          </w:p>
        </w:tc>
        <w:tc>
          <w:tcPr>
            <w:tcW w:w="1205" w:type="dxa"/>
            <w:tcBorders>
              <w:top w:val="nil"/>
              <w:left w:val="nil"/>
              <w:bottom w:val="nil"/>
              <w:right w:val="nil"/>
            </w:tcBorders>
            <w:shd w:val="clear" w:color="auto" w:fill="E6E6E6"/>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2.13</w:t>
            </w:r>
          </w:p>
        </w:tc>
        <w:tc>
          <w:tcPr>
            <w:tcW w:w="1205" w:type="dxa"/>
            <w:tcBorders>
              <w:top w:val="nil"/>
              <w:left w:val="nil"/>
              <w:bottom w:val="nil"/>
              <w:right w:val="nil"/>
            </w:tcBorders>
            <w:shd w:val="clear" w:color="auto" w:fill="E6E6E6"/>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0.03</w:t>
            </w:r>
          </w:p>
        </w:tc>
      </w:tr>
      <w:tr w:rsidR="006111B6" w:rsidRPr="00CA18E9" w:rsidTr="001B5C59">
        <w:trPr>
          <w:trHeight w:val="525"/>
        </w:trPr>
        <w:tc>
          <w:tcPr>
            <w:tcW w:w="2802" w:type="dxa"/>
            <w:tcBorders>
              <w:top w:val="nil"/>
              <w:left w:val="nil"/>
              <w:bottom w:val="single" w:sz="4" w:space="0" w:color="auto"/>
            </w:tcBorders>
            <w:shd w:val="clear" w:color="auto" w:fill="auto"/>
            <w:noWrap/>
            <w:vAlign w:val="bottom"/>
          </w:tcPr>
          <w:p w:rsidR="006111B6" w:rsidRPr="00CA18E9" w:rsidRDefault="006111B6" w:rsidP="00B60015">
            <w:pPr>
              <w:pStyle w:val="NoSpacing"/>
              <w:rPr>
                <w:rFonts w:ascii="Times New Roman" w:hAnsi="Times New Roman" w:cs="Times New Roman"/>
                <w:b/>
              </w:rPr>
            </w:pPr>
            <w:r w:rsidRPr="00CA18E9">
              <w:rPr>
                <w:rFonts w:ascii="Times New Roman" w:hAnsi="Times New Roman" w:cs="Times New Roman"/>
                <w:b/>
              </w:rPr>
              <w:t xml:space="preserve">Overall benefits </w:t>
            </w:r>
          </w:p>
        </w:tc>
        <w:tc>
          <w:tcPr>
            <w:tcW w:w="1204" w:type="dxa"/>
            <w:tcBorders>
              <w:top w:val="nil"/>
              <w:bottom w:val="single" w:sz="4" w:space="0" w:color="auto"/>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3.35</w:t>
            </w:r>
          </w:p>
        </w:tc>
        <w:tc>
          <w:tcPr>
            <w:tcW w:w="1205" w:type="dxa"/>
            <w:tcBorders>
              <w:top w:val="nil"/>
              <w:left w:val="nil"/>
              <w:bottom w:val="single" w:sz="4" w:space="0" w:color="auto"/>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p>
        </w:tc>
        <w:tc>
          <w:tcPr>
            <w:tcW w:w="1205" w:type="dxa"/>
            <w:tcBorders>
              <w:top w:val="nil"/>
              <w:bottom w:val="single" w:sz="4" w:space="0" w:color="auto"/>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3.67</w:t>
            </w:r>
          </w:p>
        </w:tc>
        <w:tc>
          <w:tcPr>
            <w:tcW w:w="1205" w:type="dxa"/>
            <w:tcBorders>
              <w:top w:val="nil"/>
              <w:left w:val="nil"/>
              <w:bottom w:val="single" w:sz="4" w:space="0" w:color="auto"/>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p>
        </w:tc>
        <w:tc>
          <w:tcPr>
            <w:tcW w:w="1205" w:type="dxa"/>
            <w:tcBorders>
              <w:top w:val="nil"/>
              <w:left w:val="nil"/>
              <w:bottom w:val="single" w:sz="4" w:space="0" w:color="auto"/>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2.00</w:t>
            </w:r>
          </w:p>
        </w:tc>
        <w:tc>
          <w:tcPr>
            <w:tcW w:w="1205" w:type="dxa"/>
            <w:tcBorders>
              <w:top w:val="nil"/>
              <w:left w:val="nil"/>
              <w:bottom w:val="single" w:sz="4" w:space="0" w:color="auto"/>
              <w:right w:val="nil"/>
            </w:tcBorders>
            <w:shd w:val="clear" w:color="000000" w:fill="FFFFFF"/>
            <w:vAlign w:val="bottom"/>
          </w:tcPr>
          <w:p w:rsidR="006111B6" w:rsidRPr="00CA18E9" w:rsidRDefault="006111B6" w:rsidP="002B6AD1">
            <w:pPr>
              <w:pStyle w:val="NoSpacing"/>
              <w:jc w:val="right"/>
              <w:rPr>
                <w:rFonts w:ascii="Times New Roman" w:hAnsi="Times New Roman" w:cs="Times New Roman"/>
                <w:b/>
              </w:rPr>
            </w:pPr>
            <w:r w:rsidRPr="00CA18E9">
              <w:rPr>
                <w:rFonts w:ascii="Times New Roman" w:hAnsi="Times New Roman" w:cs="Times New Roman"/>
                <w:b/>
              </w:rPr>
              <w:t>0.05</w:t>
            </w:r>
          </w:p>
        </w:tc>
      </w:tr>
    </w:tbl>
    <w:p w:rsidR="006111B6" w:rsidRPr="0012038C" w:rsidRDefault="001B5C59" w:rsidP="006111B6">
      <w:pPr>
        <w:pStyle w:val="NoSpacing"/>
        <w:rPr>
          <w:rFonts w:ascii="Times New Roman" w:hAnsi="Times New Roman" w:cs="Times New Roman"/>
        </w:rPr>
      </w:pPr>
      <w:r w:rsidRPr="001B5C59">
        <w:rPr>
          <w:vertAlign w:val="superscript"/>
        </w:rPr>
        <w:t>a</w:t>
      </w:r>
      <w:r w:rsidR="006111B6">
        <w:t xml:space="preserve"> </w:t>
      </w:r>
      <w:r w:rsidR="006111B6" w:rsidRPr="0012038C">
        <w:rPr>
          <w:rFonts w:ascii="Times New Roman" w:hAnsi="Times New Roman" w:cs="Times New Roman"/>
        </w:rPr>
        <w:t>1 = ‘strongly agree’ through to 5 = ‘strongly disagree’; 3=’unsure’.</w:t>
      </w:r>
    </w:p>
    <w:p w:rsidR="006111B6" w:rsidRPr="0012038C" w:rsidRDefault="00B97F1B" w:rsidP="005853FA">
      <w:pPr>
        <w:pStyle w:val="NoSpacing"/>
        <w:rPr>
          <w:rFonts w:ascii="Times New Roman" w:hAnsi="Times New Roman" w:cs="Times New Roman"/>
        </w:rPr>
      </w:pPr>
      <w:proofErr w:type="gramStart"/>
      <w:r w:rsidRPr="0012038C">
        <w:rPr>
          <w:rFonts w:ascii="Times New Roman" w:hAnsi="Times New Roman" w:cs="Times New Roman"/>
          <w:vertAlign w:val="superscript"/>
        </w:rPr>
        <w:t>b</w:t>
      </w:r>
      <w:proofErr w:type="gramEnd"/>
      <w:r w:rsidR="002B7F8E" w:rsidRPr="0012038C">
        <w:rPr>
          <w:rFonts w:ascii="Times New Roman" w:hAnsi="Times New Roman" w:cs="Times New Roman"/>
        </w:rPr>
        <w:t xml:space="preserve"> the survey instrument contains fuller descriptions of the expected benefits that respondents were asked to consider and can be viewed at </w:t>
      </w:r>
      <w:hyperlink r:id="rId13" w:history="1">
        <w:r w:rsidR="00586982">
          <w:rPr>
            <w:rStyle w:val="Hyperlink"/>
            <w:rFonts w:ascii="Arial" w:hAnsi="Arial" w:cs="Arial"/>
            <w:sz w:val="18"/>
            <w:szCs w:val="18"/>
          </w:rPr>
          <w:t>http://ifrssurvey.massey.ac.nz</w:t>
        </w:r>
      </w:hyperlink>
      <w:r w:rsidR="00586982" w:rsidRPr="0012038C">
        <w:rPr>
          <w:rFonts w:ascii="Times New Roman" w:hAnsi="Times New Roman" w:cs="Times New Roman"/>
        </w:rPr>
        <w:t xml:space="preserve"> </w:t>
      </w:r>
    </w:p>
    <w:p w:rsidR="006111B6" w:rsidRDefault="006111B6" w:rsidP="00BD6C8F">
      <w:pPr>
        <w:pStyle w:val="manuscript"/>
        <w:spacing w:line="240" w:lineRule="auto"/>
        <w:sectPr w:rsidR="006111B6">
          <w:endnotePr>
            <w:numFmt w:val="decimal"/>
          </w:endnotePr>
          <w:pgSz w:w="11906" w:h="16838"/>
          <w:pgMar w:top="1080" w:right="1440" w:bottom="1080" w:left="1440" w:header="708" w:footer="708" w:gutter="0"/>
          <w:cols w:space="708"/>
          <w:docGrid w:linePitch="360"/>
        </w:sectPr>
      </w:pPr>
    </w:p>
    <w:p w:rsidR="00536E87" w:rsidRPr="00160EDA" w:rsidRDefault="00536E87" w:rsidP="00BD6C8F">
      <w:pPr>
        <w:pStyle w:val="manuscript"/>
        <w:spacing w:line="240" w:lineRule="auto"/>
      </w:pPr>
    </w:p>
    <w:p w:rsidR="00536E87" w:rsidRPr="00160EDA" w:rsidRDefault="00536E87" w:rsidP="00BD6C8F">
      <w:pPr>
        <w:pStyle w:val="NoSpacing"/>
      </w:pPr>
    </w:p>
    <w:tbl>
      <w:tblPr>
        <w:tblW w:w="10080" w:type="dxa"/>
        <w:tblInd w:w="93" w:type="dxa"/>
        <w:tblLayout w:type="fixed"/>
        <w:tblLook w:val="04A0" w:firstRow="1" w:lastRow="0" w:firstColumn="1" w:lastColumn="0" w:noHBand="0" w:noVBand="1"/>
      </w:tblPr>
      <w:tblGrid>
        <w:gridCol w:w="1999"/>
        <w:gridCol w:w="1417"/>
        <w:gridCol w:w="1276"/>
        <w:gridCol w:w="567"/>
        <w:gridCol w:w="1276"/>
        <w:gridCol w:w="1276"/>
        <w:gridCol w:w="425"/>
        <w:gridCol w:w="142"/>
        <w:gridCol w:w="1134"/>
        <w:gridCol w:w="568"/>
      </w:tblGrid>
      <w:tr w:rsidR="005D53A9" w:rsidRPr="00160EDA">
        <w:trPr>
          <w:trHeight w:val="360"/>
        </w:trPr>
        <w:tc>
          <w:tcPr>
            <w:tcW w:w="10080" w:type="dxa"/>
            <w:gridSpan w:val="10"/>
            <w:tcBorders>
              <w:top w:val="single" w:sz="4" w:space="0" w:color="auto"/>
              <w:left w:val="nil"/>
              <w:bottom w:val="nil"/>
              <w:right w:val="nil"/>
            </w:tcBorders>
            <w:shd w:val="clear" w:color="000000" w:fill="FFFFFF"/>
            <w:vAlign w:val="bottom"/>
          </w:tcPr>
          <w:p w:rsidR="005D53A9" w:rsidRPr="00D032E6" w:rsidRDefault="006111B6" w:rsidP="005D53A9">
            <w:pPr>
              <w:pStyle w:val="NoSpacing"/>
              <w:rPr>
                <w:rFonts w:ascii="Times New Roman" w:hAnsi="Times New Roman" w:cs="Times New Roman"/>
              </w:rPr>
            </w:pPr>
            <w:r w:rsidRPr="00D032E6">
              <w:rPr>
                <w:rFonts w:ascii="Times New Roman" w:hAnsi="Times New Roman" w:cs="Times New Roman"/>
              </w:rPr>
              <w:t>Table 3</w:t>
            </w:r>
          </w:p>
          <w:p w:rsidR="005D53A9" w:rsidRPr="00D53E18" w:rsidRDefault="005D53A9" w:rsidP="002B7F8E">
            <w:pPr>
              <w:pStyle w:val="NoSpacing"/>
              <w:rPr>
                <w:rFonts w:ascii="Times New Roman" w:hAnsi="Times New Roman" w:cs="Times New Roman"/>
                <w:lang w:eastAsia="en-NZ"/>
              </w:rPr>
            </w:pPr>
            <w:r w:rsidRPr="00D032E6">
              <w:rPr>
                <w:rFonts w:ascii="Times New Roman" w:hAnsi="Times New Roman" w:cs="Times New Roman"/>
              </w:rPr>
              <w:t xml:space="preserve">Descriptive statistics </w:t>
            </w:r>
            <w:r w:rsidR="004456A7" w:rsidRPr="00D032E6">
              <w:rPr>
                <w:rFonts w:ascii="Times New Roman" w:hAnsi="Times New Roman" w:cs="Times New Roman"/>
              </w:rPr>
              <w:t xml:space="preserve">relating to </w:t>
            </w:r>
            <w:r w:rsidR="009B03DF" w:rsidRPr="00D032E6">
              <w:rPr>
                <w:rFonts w:ascii="Times New Roman" w:hAnsi="Times New Roman" w:cs="Times New Roman"/>
              </w:rPr>
              <w:t xml:space="preserve">direct </w:t>
            </w:r>
            <w:r w:rsidR="002B7F8E">
              <w:rPr>
                <w:rFonts w:ascii="Times New Roman" w:hAnsi="Times New Roman" w:cs="Times New Roman"/>
              </w:rPr>
              <w:t>transition</w:t>
            </w:r>
            <w:r w:rsidR="002B7F8E" w:rsidRPr="00D032E6">
              <w:rPr>
                <w:rFonts w:ascii="Times New Roman" w:hAnsi="Times New Roman" w:cs="Times New Roman"/>
              </w:rPr>
              <w:t xml:space="preserve"> </w:t>
            </w:r>
            <w:r w:rsidRPr="00D032E6">
              <w:rPr>
                <w:rFonts w:ascii="Times New Roman" w:hAnsi="Times New Roman" w:cs="Times New Roman"/>
              </w:rPr>
              <w:t>costs of IFRS implementation</w:t>
            </w:r>
            <w:r w:rsidR="00DD394A" w:rsidRPr="00D032E6">
              <w:rPr>
                <w:rFonts w:ascii="Times New Roman" w:hAnsi="Times New Roman" w:cs="Times New Roman"/>
              </w:rPr>
              <w:t xml:space="preserve"> </w:t>
            </w:r>
            <w:r w:rsidRPr="00D032E6">
              <w:rPr>
                <w:rFonts w:ascii="Times New Roman" w:hAnsi="Times New Roman" w:cs="Times New Roman"/>
              </w:rPr>
              <w:t>(</w:t>
            </w:r>
            <w:r w:rsidR="00DD394A" w:rsidRPr="00D032E6">
              <w:rPr>
                <w:rFonts w:ascii="Times New Roman" w:hAnsi="Times New Roman" w:cs="Times New Roman"/>
              </w:rPr>
              <w:t xml:space="preserve">e.g. </w:t>
            </w:r>
            <w:r w:rsidRPr="00D032E6">
              <w:rPr>
                <w:rFonts w:ascii="Times New Roman" w:hAnsi="Times New Roman" w:cs="Times New Roman"/>
              </w:rPr>
              <w:t xml:space="preserve">size, staffing, planning, time and </w:t>
            </w:r>
            <w:r w:rsidR="004456A7" w:rsidRPr="00D032E6">
              <w:rPr>
                <w:rFonts w:ascii="Times New Roman" w:hAnsi="Times New Roman" w:cs="Times New Roman"/>
              </w:rPr>
              <w:t xml:space="preserve">monetary </w:t>
            </w:r>
            <w:r w:rsidRPr="00D032E6">
              <w:rPr>
                <w:rFonts w:ascii="Times New Roman" w:hAnsi="Times New Roman" w:cs="Times New Roman"/>
              </w:rPr>
              <w:t xml:space="preserve">costs). </w:t>
            </w:r>
          </w:p>
        </w:tc>
      </w:tr>
      <w:tr w:rsidR="00D35BB7" w:rsidRPr="00CA18E9">
        <w:trPr>
          <w:trHeight w:val="360"/>
        </w:trPr>
        <w:tc>
          <w:tcPr>
            <w:tcW w:w="1999" w:type="dxa"/>
            <w:tcBorders>
              <w:top w:val="single" w:sz="4" w:space="0" w:color="auto"/>
              <w:left w:val="nil"/>
              <w:right w:val="nil"/>
            </w:tcBorders>
            <w:shd w:val="clear" w:color="000000" w:fill="FFFFFF"/>
            <w:vAlign w:val="bottom"/>
          </w:tcPr>
          <w:p w:rsidR="00D35BB7" w:rsidRPr="00D53E18" w:rsidRDefault="00D35BB7" w:rsidP="00BD6C8F">
            <w:pPr>
              <w:pStyle w:val="NoSpacing"/>
              <w:rPr>
                <w:rFonts w:ascii="Times New Roman" w:hAnsi="Times New Roman" w:cs="Times New Roman"/>
                <w:lang w:eastAsia="en-NZ"/>
              </w:rPr>
            </w:pPr>
          </w:p>
        </w:tc>
        <w:tc>
          <w:tcPr>
            <w:tcW w:w="1417" w:type="dxa"/>
            <w:tcBorders>
              <w:top w:val="single" w:sz="4" w:space="0" w:color="auto"/>
              <w:left w:val="nil"/>
              <w:right w:val="nil"/>
            </w:tcBorders>
            <w:shd w:val="clear" w:color="000000" w:fill="FFFFFF"/>
            <w:vAlign w:val="bottom"/>
          </w:tcPr>
          <w:p w:rsidR="00D35BB7" w:rsidRPr="000F6880" w:rsidRDefault="00D35BB7" w:rsidP="007C78C4">
            <w:pPr>
              <w:pStyle w:val="NoSpacing"/>
              <w:jc w:val="right"/>
              <w:rPr>
                <w:rFonts w:ascii="Times New Roman" w:hAnsi="Times New Roman" w:cs="Times New Roman"/>
                <w:u w:val="single"/>
                <w:lang w:eastAsia="en-NZ"/>
              </w:rPr>
            </w:pPr>
            <w:r w:rsidRPr="000F6880">
              <w:rPr>
                <w:rFonts w:ascii="Times New Roman" w:hAnsi="Times New Roman" w:cs="Times New Roman"/>
                <w:u w:val="single"/>
                <w:lang w:eastAsia="en-NZ"/>
              </w:rPr>
              <w:t>Size</w:t>
            </w:r>
          </w:p>
        </w:tc>
        <w:tc>
          <w:tcPr>
            <w:tcW w:w="1843" w:type="dxa"/>
            <w:gridSpan w:val="2"/>
            <w:tcBorders>
              <w:top w:val="single" w:sz="4" w:space="0" w:color="auto"/>
              <w:left w:val="nil"/>
              <w:right w:val="nil"/>
            </w:tcBorders>
            <w:shd w:val="clear" w:color="000000" w:fill="FFFFFF"/>
            <w:vAlign w:val="bottom"/>
          </w:tcPr>
          <w:p w:rsidR="00D35BB7" w:rsidRPr="000F6880" w:rsidRDefault="00D35BB7" w:rsidP="007C78C4">
            <w:pPr>
              <w:pStyle w:val="NoSpacing"/>
              <w:jc w:val="right"/>
              <w:rPr>
                <w:rFonts w:ascii="Times New Roman" w:hAnsi="Times New Roman" w:cs="Times New Roman"/>
                <w:u w:val="single"/>
                <w:lang w:eastAsia="en-NZ"/>
              </w:rPr>
            </w:pPr>
            <w:r w:rsidRPr="000F6880">
              <w:rPr>
                <w:rFonts w:ascii="Times New Roman" w:hAnsi="Times New Roman" w:cs="Times New Roman"/>
                <w:u w:val="single"/>
                <w:lang w:eastAsia="en-NZ"/>
              </w:rPr>
              <w:t>Cost</w:t>
            </w:r>
          </w:p>
        </w:tc>
        <w:tc>
          <w:tcPr>
            <w:tcW w:w="1276" w:type="dxa"/>
            <w:tcBorders>
              <w:top w:val="single" w:sz="4" w:space="0" w:color="auto"/>
              <w:left w:val="nil"/>
              <w:right w:val="nil"/>
            </w:tcBorders>
            <w:shd w:val="clear" w:color="000000" w:fill="FFFFFF"/>
            <w:vAlign w:val="bottom"/>
          </w:tcPr>
          <w:p w:rsidR="00D35BB7" w:rsidRPr="000F6880" w:rsidRDefault="00D35BB7" w:rsidP="007C78C4">
            <w:pPr>
              <w:pStyle w:val="NoSpacing"/>
              <w:jc w:val="right"/>
              <w:rPr>
                <w:rFonts w:ascii="Times New Roman" w:hAnsi="Times New Roman" w:cs="Times New Roman"/>
                <w:u w:val="single"/>
                <w:lang w:eastAsia="en-NZ"/>
              </w:rPr>
            </w:pPr>
            <w:r w:rsidRPr="000F6880">
              <w:rPr>
                <w:rFonts w:ascii="Times New Roman" w:hAnsi="Times New Roman" w:cs="Times New Roman"/>
                <w:u w:val="single"/>
                <w:lang w:eastAsia="en-NZ"/>
              </w:rPr>
              <w:t>Staffing</w:t>
            </w:r>
          </w:p>
        </w:tc>
        <w:tc>
          <w:tcPr>
            <w:tcW w:w="1701" w:type="dxa"/>
            <w:gridSpan w:val="2"/>
            <w:tcBorders>
              <w:top w:val="single" w:sz="4" w:space="0" w:color="auto"/>
              <w:left w:val="nil"/>
              <w:right w:val="nil"/>
            </w:tcBorders>
            <w:shd w:val="clear" w:color="000000" w:fill="FFFFFF"/>
            <w:vAlign w:val="bottom"/>
          </w:tcPr>
          <w:p w:rsidR="00D35BB7" w:rsidRPr="000F6880" w:rsidRDefault="00D35BB7" w:rsidP="007C78C4">
            <w:pPr>
              <w:pStyle w:val="NoSpacing"/>
              <w:jc w:val="right"/>
              <w:rPr>
                <w:rFonts w:ascii="Times New Roman" w:hAnsi="Times New Roman" w:cs="Times New Roman"/>
                <w:u w:val="single"/>
                <w:lang w:eastAsia="en-NZ"/>
              </w:rPr>
            </w:pPr>
            <w:r w:rsidRPr="000F6880">
              <w:rPr>
                <w:rFonts w:ascii="Times New Roman" w:hAnsi="Times New Roman" w:cs="Times New Roman"/>
                <w:u w:val="single"/>
                <w:lang w:eastAsia="en-NZ"/>
              </w:rPr>
              <w:t>Planning</w:t>
            </w:r>
          </w:p>
        </w:tc>
        <w:tc>
          <w:tcPr>
            <w:tcW w:w="1844" w:type="dxa"/>
            <w:gridSpan w:val="3"/>
            <w:tcBorders>
              <w:top w:val="single" w:sz="4" w:space="0" w:color="auto"/>
              <w:left w:val="nil"/>
              <w:right w:val="nil"/>
            </w:tcBorders>
            <w:shd w:val="clear" w:color="000000" w:fill="FFFFFF"/>
            <w:vAlign w:val="bottom"/>
          </w:tcPr>
          <w:p w:rsidR="00D35BB7" w:rsidRPr="00CA18E9" w:rsidRDefault="00D35BB7" w:rsidP="007C78C4">
            <w:pPr>
              <w:pStyle w:val="NoSpacing"/>
              <w:jc w:val="right"/>
              <w:rPr>
                <w:rFonts w:ascii="Times New Roman" w:hAnsi="Times New Roman" w:cs="Times New Roman"/>
                <w:b/>
                <w:u w:val="single"/>
                <w:lang w:eastAsia="en-NZ"/>
              </w:rPr>
            </w:pPr>
            <w:r w:rsidRPr="00CA18E9">
              <w:rPr>
                <w:rFonts w:ascii="Times New Roman" w:hAnsi="Times New Roman" w:cs="Times New Roman"/>
                <w:b/>
                <w:u w:val="single"/>
                <w:lang w:eastAsia="en-NZ"/>
              </w:rPr>
              <w:t>Time</w:t>
            </w:r>
          </w:p>
        </w:tc>
      </w:tr>
      <w:tr w:rsidR="00D35BB7" w:rsidRPr="00CA18E9" w:rsidTr="001B5C59">
        <w:trPr>
          <w:trHeight w:val="795"/>
        </w:trPr>
        <w:tc>
          <w:tcPr>
            <w:tcW w:w="1999" w:type="dxa"/>
            <w:tcBorders>
              <w:top w:val="nil"/>
              <w:left w:val="nil"/>
              <w:bottom w:val="single" w:sz="4" w:space="0" w:color="auto"/>
              <w:right w:val="nil"/>
            </w:tcBorders>
            <w:shd w:val="clear" w:color="000000" w:fill="FFFFFF"/>
            <w:vAlign w:val="bottom"/>
          </w:tcPr>
          <w:p w:rsidR="00D35BB7" w:rsidRPr="00D53E18" w:rsidRDefault="00D35BB7" w:rsidP="00BD6C8F">
            <w:pPr>
              <w:pStyle w:val="NoSpacing"/>
              <w:rPr>
                <w:rFonts w:ascii="Times New Roman" w:hAnsi="Times New Roman" w:cs="Times New Roman"/>
                <w:lang w:eastAsia="en-NZ"/>
              </w:rPr>
            </w:pPr>
            <w:r w:rsidRPr="00D53E18">
              <w:rPr>
                <w:rFonts w:ascii="Times New Roman" w:hAnsi="Times New Roman" w:cs="Times New Roman"/>
              </w:rPr>
              <w:br w:type="page"/>
            </w:r>
          </w:p>
        </w:tc>
        <w:tc>
          <w:tcPr>
            <w:tcW w:w="1417" w:type="dxa"/>
            <w:tcBorders>
              <w:top w:val="nil"/>
              <w:left w:val="nil"/>
              <w:bottom w:val="single" w:sz="4" w:space="0" w:color="auto"/>
              <w:right w:val="nil"/>
            </w:tcBorders>
            <w:shd w:val="clear" w:color="000000" w:fill="FFFFFF"/>
            <w:vAlign w:val="bottom"/>
          </w:tcPr>
          <w:p w:rsidR="00D35BB7" w:rsidRPr="00D53E18" w:rsidRDefault="00D35BB7"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Total assets  ($ 000's)</w:t>
            </w:r>
            <w:r w:rsidR="0008100B" w:rsidRPr="008F3277">
              <w:rPr>
                <w:rFonts w:ascii="Times New Roman" w:hAnsi="Times New Roman" w:cs="Times New Roman"/>
                <w:vertAlign w:val="superscript"/>
                <w:lang w:eastAsia="en-NZ"/>
              </w:rPr>
              <w:t>a</w:t>
            </w:r>
          </w:p>
        </w:tc>
        <w:tc>
          <w:tcPr>
            <w:tcW w:w="1843" w:type="dxa"/>
            <w:gridSpan w:val="2"/>
            <w:tcBorders>
              <w:top w:val="nil"/>
              <w:left w:val="nil"/>
              <w:bottom w:val="single" w:sz="4" w:space="0" w:color="auto"/>
              <w:right w:val="nil"/>
            </w:tcBorders>
            <w:shd w:val="clear" w:color="000000" w:fill="FFFFFF"/>
            <w:vAlign w:val="bottom"/>
          </w:tcPr>
          <w:p w:rsidR="00D35BB7" w:rsidRPr="00D53E18" w:rsidRDefault="00D35BB7"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Cost</w:t>
            </w:r>
          </w:p>
          <w:p w:rsidR="009B03DF" w:rsidRDefault="00D35BB7"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 xml:space="preserve">to </w:t>
            </w:r>
          </w:p>
          <w:p w:rsidR="00D35BB7" w:rsidRPr="00D53E18" w:rsidRDefault="00D35BB7"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audit fee</w:t>
            </w:r>
          </w:p>
          <w:p w:rsidR="00D35BB7" w:rsidRPr="00D53E18" w:rsidRDefault="00D35BB7" w:rsidP="00BD6C8F">
            <w:pPr>
              <w:pStyle w:val="NoSpacing"/>
              <w:jc w:val="right"/>
              <w:rPr>
                <w:rFonts w:ascii="Times New Roman" w:hAnsi="Times New Roman" w:cs="Times New Roman"/>
                <w:lang w:eastAsia="en-NZ"/>
              </w:rPr>
            </w:pPr>
            <w:proofErr w:type="spellStart"/>
            <w:r w:rsidRPr="00D53E18">
              <w:rPr>
                <w:rFonts w:ascii="Times New Roman" w:hAnsi="Times New Roman" w:cs="Times New Roman"/>
                <w:lang w:eastAsia="en-NZ"/>
              </w:rPr>
              <w:t>ratio</w:t>
            </w:r>
            <w:r w:rsidR="0008100B" w:rsidRPr="008F3277">
              <w:rPr>
                <w:rFonts w:ascii="Times New Roman" w:hAnsi="Times New Roman" w:cs="Times New Roman"/>
                <w:vertAlign w:val="superscript"/>
                <w:lang w:eastAsia="en-NZ"/>
              </w:rPr>
              <w:t>b</w:t>
            </w:r>
            <w:proofErr w:type="spellEnd"/>
          </w:p>
        </w:tc>
        <w:tc>
          <w:tcPr>
            <w:tcW w:w="1276" w:type="dxa"/>
            <w:tcBorders>
              <w:top w:val="nil"/>
              <w:left w:val="nil"/>
              <w:bottom w:val="single" w:sz="4" w:space="0" w:color="auto"/>
              <w:right w:val="nil"/>
            </w:tcBorders>
            <w:shd w:val="clear" w:color="000000" w:fill="FFFFFF"/>
            <w:vAlign w:val="bottom"/>
          </w:tcPr>
          <w:p w:rsidR="00D35BB7" w:rsidRPr="00D53E18" w:rsidRDefault="00D35BB7"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 xml:space="preserve">Maximum IFRS team to accounting team </w:t>
            </w:r>
            <w:proofErr w:type="spellStart"/>
            <w:r w:rsidRPr="00D53E18">
              <w:rPr>
                <w:rFonts w:ascii="Times New Roman" w:hAnsi="Times New Roman" w:cs="Times New Roman"/>
                <w:lang w:eastAsia="en-NZ"/>
              </w:rPr>
              <w:t>ratio</w:t>
            </w:r>
            <w:r w:rsidR="008F3277" w:rsidRPr="008F3277">
              <w:rPr>
                <w:rFonts w:ascii="Times New Roman" w:hAnsi="Times New Roman" w:cs="Times New Roman"/>
                <w:vertAlign w:val="superscript"/>
                <w:lang w:eastAsia="en-NZ"/>
              </w:rPr>
              <w:t>c</w:t>
            </w:r>
            <w:proofErr w:type="spellEnd"/>
          </w:p>
        </w:tc>
        <w:tc>
          <w:tcPr>
            <w:tcW w:w="1701" w:type="dxa"/>
            <w:gridSpan w:val="2"/>
            <w:tcBorders>
              <w:top w:val="nil"/>
              <w:left w:val="nil"/>
              <w:bottom w:val="single" w:sz="4" w:space="0" w:color="auto"/>
              <w:right w:val="nil"/>
            </w:tcBorders>
            <w:shd w:val="clear" w:color="000000" w:fill="FFFFFF"/>
            <w:vAlign w:val="bottom"/>
          </w:tcPr>
          <w:p w:rsidR="00D35BB7" w:rsidRPr="00D53E18" w:rsidRDefault="00D35BB7" w:rsidP="007C78C4">
            <w:pPr>
              <w:pStyle w:val="NoSpacing"/>
              <w:jc w:val="right"/>
              <w:rPr>
                <w:rFonts w:ascii="Times New Roman" w:hAnsi="Times New Roman" w:cs="Times New Roman"/>
                <w:lang w:eastAsia="en-NZ"/>
              </w:rPr>
            </w:pPr>
            <w:proofErr w:type="spellStart"/>
            <w:r w:rsidRPr="00D53E18">
              <w:rPr>
                <w:rFonts w:ascii="Times New Roman" w:hAnsi="Times New Roman" w:cs="Times New Roman"/>
                <w:lang w:eastAsia="en-NZ"/>
              </w:rPr>
              <w:t>Months</w:t>
            </w:r>
            <w:r w:rsidR="008F3277" w:rsidRPr="008F3277">
              <w:rPr>
                <w:rFonts w:ascii="Times New Roman" w:hAnsi="Times New Roman" w:cs="Times New Roman"/>
                <w:vertAlign w:val="superscript"/>
                <w:lang w:eastAsia="en-NZ"/>
              </w:rPr>
              <w:t>d</w:t>
            </w:r>
            <w:proofErr w:type="spellEnd"/>
            <w:r w:rsidRPr="00D53E18">
              <w:rPr>
                <w:rFonts w:ascii="Times New Roman" w:hAnsi="Times New Roman" w:cs="Times New Roman"/>
                <w:lang w:eastAsia="en-NZ"/>
              </w:rPr>
              <w:t xml:space="preserve"> </w:t>
            </w:r>
          </w:p>
        </w:tc>
        <w:tc>
          <w:tcPr>
            <w:tcW w:w="1844" w:type="dxa"/>
            <w:gridSpan w:val="3"/>
            <w:tcBorders>
              <w:top w:val="nil"/>
              <w:left w:val="nil"/>
              <w:bottom w:val="single" w:sz="4" w:space="0" w:color="auto"/>
              <w:right w:val="nil"/>
            </w:tcBorders>
            <w:shd w:val="clear" w:color="000000" w:fill="FFFFFF"/>
            <w:vAlign w:val="bottom"/>
          </w:tcPr>
          <w:p w:rsidR="00D35BB7" w:rsidRPr="00CA18E9" w:rsidRDefault="00D35BB7" w:rsidP="007C78C4">
            <w:pPr>
              <w:pStyle w:val="NoSpacing"/>
              <w:jc w:val="right"/>
              <w:rPr>
                <w:rFonts w:ascii="Times New Roman" w:hAnsi="Times New Roman" w:cs="Times New Roman"/>
                <w:b/>
                <w:lang w:eastAsia="en-NZ"/>
              </w:rPr>
            </w:pPr>
            <w:r w:rsidRPr="00CA18E9">
              <w:rPr>
                <w:rFonts w:ascii="Times New Roman" w:hAnsi="Times New Roman" w:cs="Times New Roman"/>
                <w:b/>
                <w:lang w:eastAsia="en-NZ"/>
              </w:rPr>
              <w:t>Hours</w:t>
            </w:r>
          </w:p>
          <w:p w:rsidR="009B03DF" w:rsidRPr="00CA18E9" w:rsidRDefault="00D35BB7" w:rsidP="007C78C4">
            <w:pPr>
              <w:pStyle w:val="NoSpacing"/>
              <w:jc w:val="right"/>
              <w:rPr>
                <w:rFonts w:ascii="Times New Roman" w:hAnsi="Times New Roman" w:cs="Times New Roman"/>
                <w:b/>
                <w:lang w:eastAsia="en-NZ"/>
              </w:rPr>
            </w:pPr>
            <w:r w:rsidRPr="00CA18E9">
              <w:rPr>
                <w:rFonts w:ascii="Times New Roman" w:hAnsi="Times New Roman" w:cs="Times New Roman"/>
                <w:b/>
                <w:lang w:eastAsia="en-NZ"/>
              </w:rPr>
              <w:t xml:space="preserve">to </w:t>
            </w:r>
          </w:p>
          <w:p w:rsidR="009B03DF" w:rsidRPr="00CA18E9" w:rsidRDefault="00D35BB7" w:rsidP="007C78C4">
            <w:pPr>
              <w:pStyle w:val="NoSpacing"/>
              <w:jc w:val="right"/>
              <w:rPr>
                <w:rFonts w:ascii="Times New Roman" w:hAnsi="Times New Roman" w:cs="Times New Roman"/>
                <w:b/>
                <w:lang w:eastAsia="en-NZ"/>
              </w:rPr>
            </w:pPr>
            <w:r w:rsidRPr="00CA18E9">
              <w:rPr>
                <w:rFonts w:ascii="Times New Roman" w:hAnsi="Times New Roman" w:cs="Times New Roman"/>
                <w:b/>
                <w:lang w:eastAsia="en-NZ"/>
              </w:rPr>
              <w:t xml:space="preserve">audit fee </w:t>
            </w:r>
          </w:p>
          <w:p w:rsidR="00D35BB7" w:rsidRPr="00CA18E9" w:rsidRDefault="00D35BB7" w:rsidP="007C78C4">
            <w:pPr>
              <w:pStyle w:val="NoSpacing"/>
              <w:jc w:val="right"/>
              <w:rPr>
                <w:rFonts w:ascii="Times New Roman" w:hAnsi="Times New Roman" w:cs="Times New Roman"/>
                <w:b/>
                <w:lang w:eastAsia="en-NZ"/>
              </w:rPr>
            </w:pPr>
            <w:proofErr w:type="spellStart"/>
            <w:r w:rsidRPr="00CA18E9">
              <w:rPr>
                <w:rFonts w:ascii="Times New Roman" w:hAnsi="Times New Roman" w:cs="Times New Roman"/>
                <w:b/>
                <w:lang w:eastAsia="en-NZ"/>
              </w:rPr>
              <w:t>ratio</w:t>
            </w:r>
            <w:r w:rsidR="00B97F1B" w:rsidRPr="005853FA">
              <w:rPr>
                <w:rFonts w:ascii="Times New Roman" w:hAnsi="Times New Roman" w:cs="Times New Roman"/>
                <w:b/>
                <w:vertAlign w:val="superscript"/>
                <w:lang w:eastAsia="en-NZ"/>
              </w:rPr>
              <w:t>e</w:t>
            </w:r>
            <w:proofErr w:type="spellEnd"/>
          </w:p>
        </w:tc>
      </w:tr>
      <w:tr w:rsidR="0033261C" w:rsidRPr="00CA18E9">
        <w:trPr>
          <w:trHeight w:val="300"/>
        </w:trPr>
        <w:tc>
          <w:tcPr>
            <w:tcW w:w="4692" w:type="dxa"/>
            <w:gridSpan w:val="3"/>
            <w:tcBorders>
              <w:top w:val="single" w:sz="4" w:space="0" w:color="auto"/>
              <w:left w:val="nil"/>
              <w:bottom w:val="nil"/>
              <w:right w:val="nil"/>
            </w:tcBorders>
            <w:shd w:val="clear" w:color="000000" w:fill="E6E6E6"/>
            <w:vAlign w:val="bottom"/>
          </w:tcPr>
          <w:p w:rsidR="0033261C" w:rsidRPr="00D032E6" w:rsidRDefault="0033261C" w:rsidP="004610FB">
            <w:pPr>
              <w:pStyle w:val="NoSpacing"/>
              <w:rPr>
                <w:rFonts w:ascii="Times New Roman" w:hAnsi="Times New Roman" w:cs="Times New Roman"/>
                <w:i/>
                <w:lang w:eastAsia="en-NZ"/>
              </w:rPr>
            </w:pPr>
            <w:r w:rsidRPr="00D032E6">
              <w:rPr>
                <w:rFonts w:ascii="Times New Roman" w:hAnsi="Times New Roman" w:cs="Times New Roman"/>
                <w:i/>
                <w:lang w:eastAsia="en-NZ"/>
              </w:rPr>
              <w:t xml:space="preserve">Panel A: </w:t>
            </w:r>
            <w:r w:rsidR="002E55B8" w:rsidRPr="00D032E6">
              <w:rPr>
                <w:rFonts w:ascii="Times New Roman" w:hAnsi="Times New Roman" w:cs="Times New Roman"/>
                <w:i/>
                <w:lang w:eastAsia="en-NZ"/>
              </w:rPr>
              <w:t>Early</w:t>
            </w:r>
            <w:r w:rsidR="00D032E6">
              <w:rPr>
                <w:rFonts w:ascii="Times New Roman" w:hAnsi="Times New Roman" w:cs="Times New Roman"/>
                <w:i/>
                <w:lang w:eastAsia="en-NZ"/>
              </w:rPr>
              <w:t xml:space="preserve"> a</w:t>
            </w:r>
            <w:r w:rsidRPr="00D032E6">
              <w:rPr>
                <w:rFonts w:ascii="Times New Roman" w:hAnsi="Times New Roman" w:cs="Times New Roman"/>
                <w:i/>
                <w:lang w:eastAsia="en-NZ"/>
              </w:rPr>
              <w:t>dopters</w:t>
            </w:r>
          </w:p>
        </w:tc>
        <w:tc>
          <w:tcPr>
            <w:tcW w:w="1843" w:type="dxa"/>
            <w:gridSpan w:val="2"/>
            <w:tcBorders>
              <w:top w:val="single" w:sz="4" w:space="0" w:color="auto"/>
              <w:left w:val="nil"/>
              <w:bottom w:val="nil"/>
              <w:right w:val="nil"/>
            </w:tcBorders>
            <w:shd w:val="clear" w:color="000000" w:fill="E6E6E6"/>
            <w:vAlign w:val="bottom"/>
          </w:tcPr>
          <w:p w:rsidR="0033261C" w:rsidRPr="00D53E18" w:rsidRDefault="0033261C" w:rsidP="00BD6C8F">
            <w:pPr>
              <w:pStyle w:val="NoSpacing"/>
              <w:jc w:val="right"/>
              <w:rPr>
                <w:rFonts w:ascii="Times New Roman" w:hAnsi="Times New Roman" w:cs="Times New Roman"/>
                <w:lang w:eastAsia="en-NZ"/>
              </w:rPr>
            </w:pPr>
          </w:p>
        </w:tc>
        <w:tc>
          <w:tcPr>
            <w:tcW w:w="1276" w:type="dxa"/>
            <w:tcBorders>
              <w:top w:val="single" w:sz="4" w:space="0" w:color="auto"/>
              <w:left w:val="nil"/>
              <w:bottom w:val="nil"/>
              <w:right w:val="nil"/>
            </w:tcBorders>
            <w:shd w:val="clear" w:color="000000" w:fill="E6E6E6"/>
            <w:vAlign w:val="bottom"/>
          </w:tcPr>
          <w:p w:rsidR="0033261C" w:rsidRPr="00D53E18" w:rsidRDefault="0033261C" w:rsidP="00BD6C8F">
            <w:pPr>
              <w:pStyle w:val="NoSpacing"/>
              <w:jc w:val="right"/>
              <w:rPr>
                <w:rFonts w:ascii="Times New Roman" w:hAnsi="Times New Roman" w:cs="Times New Roman"/>
                <w:lang w:eastAsia="en-NZ"/>
              </w:rPr>
            </w:pPr>
          </w:p>
        </w:tc>
        <w:tc>
          <w:tcPr>
            <w:tcW w:w="567" w:type="dxa"/>
            <w:gridSpan w:val="2"/>
            <w:tcBorders>
              <w:top w:val="single" w:sz="4" w:space="0" w:color="auto"/>
              <w:left w:val="nil"/>
              <w:bottom w:val="nil"/>
              <w:right w:val="nil"/>
            </w:tcBorders>
            <w:shd w:val="clear" w:color="000000" w:fill="E6E6E6"/>
          </w:tcPr>
          <w:p w:rsidR="0033261C" w:rsidRPr="00CA18E9" w:rsidRDefault="0033261C" w:rsidP="00BD6C8F">
            <w:pPr>
              <w:pStyle w:val="NoSpacing"/>
              <w:jc w:val="right"/>
              <w:rPr>
                <w:rFonts w:ascii="Times New Roman" w:hAnsi="Times New Roman" w:cs="Times New Roman"/>
                <w:b/>
                <w:lang w:eastAsia="en-NZ"/>
              </w:rPr>
            </w:pPr>
          </w:p>
        </w:tc>
        <w:tc>
          <w:tcPr>
            <w:tcW w:w="1702" w:type="dxa"/>
            <w:gridSpan w:val="2"/>
            <w:tcBorders>
              <w:top w:val="single" w:sz="4" w:space="0" w:color="auto"/>
              <w:left w:val="nil"/>
              <w:bottom w:val="nil"/>
              <w:right w:val="nil"/>
            </w:tcBorders>
            <w:shd w:val="clear" w:color="000000" w:fill="E6E6E6"/>
            <w:vAlign w:val="bottom"/>
          </w:tcPr>
          <w:p w:rsidR="0033261C" w:rsidRPr="00CA18E9" w:rsidRDefault="0033261C" w:rsidP="00BD6C8F">
            <w:pPr>
              <w:pStyle w:val="NoSpacing"/>
              <w:jc w:val="right"/>
              <w:rPr>
                <w:rFonts w:ascii="Times New Roman" w:hAnsi="Times New Roman" w:cs="Times New Roman"/>
                <w:b/>
                <w:lang w:eastAsia="en-NZ"/>
              </w:rPr>
            </w:pPr>
          </w:p>
        </w:tc>
      </w:tr>
      <w:tr w:rsidR="009B03DF" w:rsidRPr="00CA18E9">
        <w:trPr>
          <w:trHeight w:val="300"/>
        </w:trPr>
        <w:tc>
          <w:tcPr>
            <w:tcW w:w="1999" w:type="dxa"/>
            <w:tcBorders>
              <w:top w:val="nil"/>
              <w:left w:val="nil"/>
              <w:bottom w:val="nil"/>
              <w:right w:val="nil"/>
            </w:tcBorders>
            <w:shd w:val="clear" w:color="000000" w:fill="E6E6E6"/>
            <w:noWrap/>
            <w:vAlign w:val="bottom"/>
          </w:tcPr>
          <w:p w:rsidR="009B03DF" w:rsidRPr="00D53E18" w:rsidRDefault="009B03DF" w:rsidP="007C78C4">
            <w:pPr>
              <w:pStyle w:val="NoSpacing"/>
              <w:rPr>
                <w:rFonts w:ascii="Times New Roman" w:hAnsi="Times New Roman" w:cs="Times New Roman"/>
                <w:lang w:eastAsia="en-NZ"/>
              </w:rPr>
            </w:pPr>
            <w:r w:rsidRPr="00D53E18">
              <w:rPr>
                <w:rFonts w:ascii="Times New Roman" w:hAnsi="Times New Roman" w:cs="Times New Roman"/>
                <w:lang w:eastAsia="en-NZ"/>
              </w:rPr>
              <w:t>N</w:t>
            </w:r>
          </w:p>
        </w:tc>
        <w:tc>
          <w:tcPr>
            <w:tcW w:w="1417" w:type="dxa"/>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17</w:t>
            </w:r>
          </w:p>
        </w:tc>
        <w:tc>
          <w:tcPr>
            <w:tcW w:w="1843" w:type="dxa"/>
            <w:gridSpan w:val="2"/>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14</w:t>
            </w:r>
          </w:p>
        </w:tc>
        <w:tc>
          <w:tcPr>
            <w:tcW w:w="1276" w:type="dxa"/>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17</w:t>
            </w:r>
          </w:p>
        </w:tc>
        <w:tc>
          <w:tcPr>
            <w:tcW w:w="1701" w:type="dxa"/>
            <w:gridSpan w:val="2"/>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16</w:t>
            </w:r>
          </w:p>
        </w:tc>
        <w:tc>
          <w:tcPr>
            <w:tcW w:w="1844" w:type="dxa"/>
            <w:gridSpan w:val="3"/>
            <w:tcBorders>
              <w:top w:val="nil"/>
              <w:left w:val="nil"/>
              <w:bottom w:val="nil"/>
              <w:right w:val="nil"/>
            </w:tcBorders>
            <w:shd w:val="clear" w:color="000000" w:fill="E6E6E6"/>
            <w:vAlign w:val="bottom"/>
          </w:tcPr>
          <w:p w:rsidR="009B03DF" w:rsidRPr="00CA18E9" w:rsidRDefault="009B03DF" w:rsidP="00BD6C8F">
            <w:pPr>
              <w:pStyle w:val="NoSpacing"/>
              <w:jc w:val="right"/>
              <w:rPr>
                <w:rFonts w:ascii="Times New Roman" w:hAnsi="Times New Roman" w:cs="Times New Roman"/>
                <w:b/>
                <w:lang w:eastAsia="en-NZ"/>
              </w:rPr>
            </w:pPr>
            <w:r w:rsidRPr="00CA18E9">
              <w:rPr>
                <w:rFonts w:ascii="Times New Roman" w:hAnsi="Times New Roman" w:cs="Times New Roman"/>
                <w:b/>
                <w:lang w:eastAsia="en-NZ"/>
              </w:rPr>
              <w:t>14</w:t>
            </w:r>
          </w:p>
        </w:tc>
      </w:tr>
      <w:tr w:rsidR="009B03DF" w:rsidRPr="00CA18E9">
        <w:trPr>
          <w:trHeight w:val="300"/>
        </w:trPr>
        <w:tc>
          <w:tcPr>
            <w:tcW w:w="1999" w:type="dxa"/>
            <w:tcBorders>
              <w:top w:val="nil"/>
              <w:left w:val="nil"/>
              <w:bottom w:val="nil"/>
              <w:right w:val="nil"/>
            </w:tcBorders>
            <w:shd w:val="clear" w:color="000000" w:fill="E6E6E6"/>
            <w:vAlign w:val="bottom"/>
          </w:tcPr>
          <w:p w:rsidR="009B03DF" w:rsidRPr="00D53E18" w:rsidRDefault="009B03DF" w:rsidP="00BD6C8F">
            <w:pPr>
              <w:pStyle w:val="NoSpacing"/>
              <w:rPr>
                <w:rFonts w:ascii="Times New Roman" w:hAnsi="Times New Roman" w:cs="Times New Roman"/>
                <w:lang w:eastAsia="en-NZ"/>
              </w:rPr>
            </w:pPr>
            <w:r w:rsidRPr="00D53E18">
              <w:rPr>
                <w:rFonts w:ascii="Times New Roman" w:hAnsi="Times New Roman" w:cs="Times New Roman"/>
                <w:lang w:eastAsia="en-NZ"/>
              </w:rPr>
              <w:t>Mean</w:t>
            </w:r>
          </w:p>
        </w:tc>
        <w:tc>
          <w:tcPr>
            <w:tcW w:w="1417" w:type="dxa"/>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3,656,435</w:t>
            </w:r>
          </w:p>
        </w:tc>
        <w:tc>
          <w:tcPr>
            <w:tcW w:w="1843" w:type="dxa"/>
            <w:gridSpan w:val="2"/>
            <w:tcBorders>
              <w:top w:val="nil"/>
              <w:left w:val="nil"/>
              <w:bottom w:val="nil"/>
              <w:right w:val="nil"/>
            </w:tcBorders>
            <w:shd w:val="clear" w:color="000000" w:fill="E6E6E6"/>
            <w:vAlign w:val="bottom"/>
          </w:tcPr>
          <w:p w:rsidR="009B03DF" w:rsidRPr="00D53E18" w:rsidRDefault="009B03DF" w:rsidP="00C53E08">
            <w:pPr>
              <w:pStyle w:val="NoSpacing"/>
              <w:jc w:val="right"/>
              <w:rPr>
                <w:rFonts w:ascii="Times New Roman" w:hAnsi="Times New Roman" w:cs="Times New Roman"/>
                <w:lang w:eastAsia="en-NZ"/>
              </w:rPr>
            </w:pPr>
            <w:r w:rsidRPr="00D53E18">
              <w:rPr>
                <w:rFonts w:ascii="Times New Roman" w:hAnsi="Times New Roman" w:cs="Times New Roman"/>
                <w:lang w:eastAsia="en-NZ"/>
              </w:rPr>
              <w:t>0.84</w:t>
            </w:r>
          </w:p>
        </w:tc>
        <w:tc>
          <w:tcPr>
            <w:tcW w:w="1276" w:type="dxa"/>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0.98</w:t>
            </w:r>
          </w:p>
        </w:tc>
        <w:tc>
          <w:tcPr>
            <w:tcW w:w="1701" w:type="dxa"/>
            <w:gridSpan w:val="2"/>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3</w:t>
            </w:r>
          </w:p>
        </w:tc>
        <w:tc>
          <w:tcPr>
            <w:tcW w:w="1844" w:type="dxa"/>
            <w:gridSpan w:val="3"/>
            <w:tcBorders>
              <w:top w:val="nil"/>
              <w:left w:val="nil"/>
              <w:bottom w:val="nil"/>
              <w:right w:val="nil"/>
            </w:tcBorders>
            <w:shd w:val="clear" w:color="000000" w:fill="E6E6E6"/>
            <w:vAlign w:val="bottom"/>
          </w:tcPr>
          <w:p w:rsidR="009B03DF" w:rsidRPr="00CA18E9" w:rsidRDefault="009B03DF" w:rsidP="00BD6C8F">
            <w:pPr>
              <w:pStyle w:val="NoSpacing"/>
              <w:jc w:val="right"/>
              <w:rPr>
                <w:rFonts w:ascii="Times New Roman" w:hAnsi="Times New Roman" w:cs="Times New Roman"/>
                <w:b/>
                <w:lang w:eastAsia="en-NZ"/>
              </w:rPr>
            </w:pPr>
            <w:r w:rsidRPr="00CA18E9">
              <w:rPr>
                <w:rFonts w:ascii="Times New Roman" w:hAnsi="Times New Roman" w:cs="Times New Roman"/>
                <w:b/>
                <w:lang w:eastAsia="en-NZ"/>
              </w:rPr>
              <w:t>6.2</w:t>
            </w:r>
          </w:p>
        </w:tc>
      </w:tr>
      <w:tr w:rsidR="009B03DF" w:rsidRPr="00CA18E9">
        <w:trPr>
          <w:trHeight w:val="300"/>
        </w:trPr>
        <w:tc>
          <w:tcPr>
            <w:tcW w:w="1999" w:type="dxa"/>
            <w:tcBorders>
              <w:top w:val="nil"/>
              <w:left w:val="nil"/>
              <w:bottom w:val="nil"/>
              <w:right w:val="nil"/>
            </w:tcBorders>
            <w:shd w:val="clear" w:color="000000" w:fill="E6E6E6"/>
            <w:vAlign w:val="bottom"/>
          </w:tcPr>
          <w:p w:rsidR="009B03DF" w:rsidRPr="00D53E18" w:rsidRDefault="009B03DF" w:rsidP="00BD6C8F">
            <w:pPr>
              <w:pStyle w:val="NoSpacing"/>
              <w:rPr>
                <w:rFonts w:ascii="Times New Roman" w:hAnsi="Times New Roman" w:cs="Times New Roman"/>
                <w:lang w:eastAsia="en-NZ"/>
              </w:rPr>
            </w:pPr>
            <w:r w:rsidRPr="00D53E18">
              <w:rPr>
                <w:rFonts w:ascii="Times New Roman" w:hAnsi="Times New Roman" w:cs="Times New Roman"/>
                <w:lang w:eastAsia="en-NZ"/>
              </w:rPr>
              <w:t>Minimum</w:t>
            </w:r>
          </w:p>
        </w:tc>
        <w:tc>
          <w:tcPr>
            <w:tcW w:w="1417" w:type="dxa"/>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16,060</w:t>
            </w:r>
          </w:p>
        </w:tc>
        <w:tc>
          <w:tcPr>
            <w:tcW w:w="1843" w:type="dxa"/>
            <w:gridSpan w:val="2"/>
            <w:tcBorders>
              <w:top w:val="nil"/>
              <w:left w:val="nil"/>
              <w:bottom w:val="nil"/>
              <w:right w:val="nil"/>
            </w:tcBorders>
            <w:shd w:val="clear" w:color="000000" w:fill="E6E6E6"/>
            <w:vAlign w:val="bottom"/>
          </w:tcPr>
          <w:p w:rsidR="009B03DF" w:rsidRPr="00D53E18" w:rsidRDefault="009B03DF" w:rsidP="00C53E08">
            <w:pPr>
              <w:pStyle w:val="NoSpacing"/>
              <w:jc w:val="right"/>
              <w:rPr>
                <w:rFonts w:ascii="Times New Roman" w:hAnsi="Times New Roman" w:cs="Times New Roman"/>
                <w:lang w:eastAsia="en-NZ"/>
              </w:rPr>
            </w:pPr>
            <w:r w:rsidRPr="00D53E18">
              <w:rPr>
                <w:rFonts w:ascii="Times New Roman" w:hAnsi="Times New Roman" w:cs="Times New Roman"/>
                <w:lang w:eastAsia="en-NZ"/>
              </w:rPr>
              <w:t>0.14</w:t>
            </w:r>
          </w:p>
        </w:tc>
        <w:tc>
          <w:tcPr>
            <w:tcW w:w="1276" w:type="dxa"/>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0.05</w:t>
            </w:r>
          </w:p>
        </w:tc>
        <w:tc>
          <w:tcPr>
            <w:tcW w:w="1701" w:type="dxa"/>
            <w:gridSpan w:val="2"/>
            <w:tcBorders>
              <w:top w:val="nil"/>
              <w:left w:val="nil"/>
              <w:bottom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-15</w:t>
            </w:r>
          </w:p>
        </w:tc>
        <w:tc>
          <w:tcPr>
            <w:tcW w:w="1844" w:type="dxa"/>
            <w:gridSpan w:val="3"/>
            <w:tcBorders>
              <w:top w:val="nil"/>
              <w:left w:val="nil"/>
              <w:bottom w:val="nil"/>
              <w:right w:val="nil"/>
            </w:tcBorders>
            <w:shd w:val="clear" w:color="000000" w:fill="E6E6E6"/>
            <w:vAlign w:val="bottom"/>
          </w:tcPr>
          <w:p w:rsidR="009B03DF" w:rsidRPr="00CA18E9" w:rsidRDefault="009B03DF" w:rsidP="00BD6C8F">
            <w:pPr>
              <w:pStyle w:val="NoSpacing"/>
              <w:jc w:val="right"/>
              <w:rPr>
                <w:rFonts w:ascii="Times New Roman" w:hAnsi="Times New Roman" w:cs="Times New Roman"/>
                <w:b/>
                <w:lang w:eastAsia="en-NZ"/>
              </w:rPr>
            </w:pPr>
            <w:r w:rsidRPr="00CA18E9">
              <w:rPr>
                <w:rFonts w:ascii="Times New Roman" w:hAnsi="Times New Roman" w:cs="Times New Roman"/>
                <w:b/>
                <w:lang w:eastAsia="en-NZ"/>
              </w:rPr>
              <w:t>1.0</w:t>
            </w:r>
          </w:p>
        </w:tc>
      </w:tr>
      <w:tr w:rsidR="009B03DF" w:rsidRPr="00CA18E9">
        <w:trPr>
          <w:trHeight w:val="300"/>
        </w:trPr>
        <w:tc>
          <w:tcPr>
            <w:tcW w:w="1999" w:type="dxa"/>
            <w:tcBorders>
              <w:top w:val="nil"/>
              <w:left w:val="nil"/>
              <w:right w:val="nil"/>
            </w:tcBorders>
            <w:shd w:val="clear" w:color="000000" w:fill="E6E6E6"/>
            <w:vAlign w:val="bottom"/>
          </w:tcPr>
          <w:p w:rsidR="009B03DF" w:rsidRPr="00D53E18" w:rsidRDefault="009B03DF" w:rsidP="00BD6C8F">
            <w:pPr>
              <w:pStyle w:val="NoSpacing"/>
              <w:rPr>
                <w:rFonts w:ascii="Times New Roman" w:hAnsi="Times New Roman" w:cs="Times New Roman"/>
                <w:lang w:eastAsia="en-NZ"/>
              </w:rPr>
            </w:pPr>
            <w:r w:rsidRPr="00D53E18">
              <w:rPr>
                <w:rFonts w:ascii="Times New Roman" w:hAnsi="Times New Roman" w:cs="Times New Roman"/>
                <w:lang w:eastAsia="en-NZ"/>
              </w:rPr>
              <w:t>Median</w:t>
            </w:r>
          </w:p>
        </w:tc>
        <w:tc>
          <w:tcPr>
            <w:tcW w:w="1417" w:type="dxa"/>
            <w:tcBorders>
              <w:top w:val="nil"/>
              <w:left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294,465</w:t>
            </w:r>
          </w:p>
        </w:tc>
        <w:tc>
          <w:tcPr>
            <w:tcW w:w="1843" w:type="dxa"/>
            <w:gridSpan w:val="2"/>
            <w:tcBorders>
              <w:top w:val="nil"/>
              <w:left w:val="nil"/>
              <w:right w:val="nil"/>
            </w:tcBorders>
            <w:shd w:val="clear" w:color="000000" w:fill="E6E6E6"/>
            <w:vAlign w:val="bottom"/>
          </w:tcPr>
          <w:p w:rsidR="009B03DF" w:rsidRPr="00D53E18" w:rsidRDefault="009B03DF" w:rsidP="00C53E08">
            <w:pPr>
              <w:pStyle w:val="NoSpacing"/>
              <w:jc w:val="right"/>
              <w:rPr>
                <w:rFonts w:ascii="Times New Roman" w:hAnsi="Times New Roman" w:cs="Times New Roman"/>
                <w:lang w:eastAsia="en-NZ"/>
              </w:rPr>
            </w:pPr>
            <w:r w:rsidRPr="00D53E18">
              <w:rPr>
                <w:rFonts w:ascii="Times New Roman" w:hAnsi="Times New Roman" w:cs="Times New Roman"/>
                <w:lang w:eastAsia="en-NZ"/>
              </w:rPr>
              <w:t>0.59</w:t>
            </w:r>
          </w:p>
        </w:tc>
        <w:tc>
          <w:tcPr>
            <w:tcW w:w="1276" w:type="dxa"/>
            <w:tcBorders>
              <w:top w:val="nil"/>
              <w:left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1.00</w:t>
            </w:r>
          </w:p>
        </w:tc>
        <w:tc>
          <w:tcPr>
            <w:tcW w:w="1701" w:type="dxa"/>
            <w:gridSpan w:val="2"/>
            <w:tcBorders>
              <w:top w:val="nil"/>
              <w:left w:val="nil"/>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6</w:t>
            </w:r>
          </w:p>
        </w:tc>
        <w:tc>
          <w:tcPr>
            <w:tcW w:w="1844" w:type="dxa"/>
            <w:gridSpan w:val="3"/>
            <w:tcBorders>
              <w:top w:val="nil"/>
              <w:left w:val="nil"/>
              <w:right w:val="nil"/>
            </w:tcBorders>
            <w:shd w:val="clear" w:color="000000" w:fill="E6E6E6"/>
            <w:vAlign w:val="bottom"/>
          </w:tcPr>
          <w:p w:rsidR="009B03DF" w:rsidRPr="00CA18E9" w:rsidRDefault="009B03DF" w:rsidP="00BD6C8F">
            <w:pPr>
              <w:pStyle w:val="NoSpacing"/>
              <w:jc w:val="right"/>
              <w:rPr>
                <w:rFonts w:ascii="Times New Roman" w:hAnsi="Times New Roman" w:cs="Times New Roman"/>
                <w:b/>
                <w:lang w:eastAsia="en-NZ"/>
              </w:rPr>
            </w:pPr>
            <w:r w:rsidRPr="00CA18E9">
              <w:rPr>
                <w:rFonts w:ascii="Times New Roman" w:hAnsi="Times New Roman" w:cs="Times New Roman"/>
                <w:b/>
                <w:lang w:eastAsia="en-NZ"/>
              </w:rPr>
              <w:t>4.5</w:t>
            </w:r>
          </w:p>
        </w:tc>
      </w:tr>
      <w:tr w:rsidR="009B03DF" w:rsidRPr="00CA18E9">
        <w:trPr>
          <w:trHeight w:val="300"/>
        </w:trPr>
        <w:tc>
          <w:tcPr>
            <w:tcW w:w="1999" w:type="dxa"/>
            <w:tcBorders>
              <w:top w:val="nil"/>
              <w:left w:val="nil"/>
              <w:bottom w:val="single" w:sz="4" w:space="0" w:color="auto"/>
              <w:right w:val="nil"/>
            </w:tcBorders>
            <w:shd w:val="clear" w:color="000000" w:fill="E6E6E6"/>
            <w:vAlign w:val="bottom"/>
          </w:tcPr>
          <w:p w:rsidR="009B03DF" w:rsidRPr="00D53E18" w:rsidRDefault="009B03DF" w:rsidP="00BD6C8F">
            <w:pPr>
              <w:pStyle w:val="NoSpacing"/>
              <w:rPr>
                <w:rFonts w:ascii="Times New Roman" w:hAnsi="Times New Roman" w:cs="Times New Roman"/>
                <w:lang w:eastAsia="en-NZ"/>
              </w:rPr>
            </w:pPr>
            <w:r w:rsidRPr="00D53E18">
              <w:rPr>
                <w:rFonts w:ascii="Times New Roman" w:hAnsi="Times New Roman" w:cs="Times New Roman"/>
                <w:lang w:eastAsia="en-NZ"/>
              </w:rPr>
              <w:t>Maximum</w:t>
            </w:r>
          </w:p>
        </w:tc>
        <w:tc>
          <w:tcPr>
            <w:tcW w:w="1417" w:type="dxa"/>
            <w:tcBorders>
              <w:top w:val="nil"/>
              <w:left w:val="nil"/>
              <w:bottom w:val="single" w:sz="4" w:space="0" w:color="auto"/>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44,568,000</w:t>
            </w:r>
          </w:p>
        </w:tc>
        <w:tc>
          <w:tcPr>
            <w:tcW w:w="1843" w:type="dxa"/>
            <w:gridSpan w:val="2"/>
            <w:tcBorders>
              <w:top w:val="nil"/>
              <w:left w:val="nil"/>
              <w:bottom w:val="single" w:sz="4" w:space="0" w:color="auto"/>
              <w:right w:val="nil"/>
            </w:tcBorders>
            <w:shd w:val="clear" w:color="000000" w:fill="E6E6E6"/>
            <w:vAlign w:val="bottom"/>
          </w:tcPr>
          <w:p w:rsidR="009B03DF" w:rsidRPr="00D53E18" w:rsidRDefault="009B03DF" w:rsidP="00C53E08">
            <w:pPr>
              <w:pStyle w:val="NoSpacing"/>
              <w:jc w:val="right"/>
              <w:rPr>
                <w:rFonts w:ascii="Times New Roman" w:hAnsi="Times New Roman" w:cs="Times New Roman"/>
                <w:lang w:eastAsia="en-NZ"/>
              </w:rPr>
            </w:pPr>
            <w:r w:rsidRPr="00D53E18">
              <w:rPr>
                <w:rFonts w:ascii="Times New Roman" w:hAnsi="Times New Roman" w:cs="Times New Roman"/>
                <w:lang w:eastAsia="en-NZ"/>
              </w:rPr>
              <w:t>2.03</w:t>
            </w:r>
          </w:p>
        </w:tc>
        <w:tc>
          <w:tcPr>
            <w:tcW w:w="1276" w:type="dxa"/>
            <w:tcBorders>
              <w:top w:val="nil"/>
              <w:left w:val="nil"/>
              <w:bottom w:val="single" w:sz="4" w:space="0" w:color="auto"/>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3.50</w:t>
            </w:r>
          </w:p>
        </w:tc>
        <w:tc>
          <w:tcPr>
            <w:tcW w:w="1701" w:type="dxa"/>
            <w:gridSpan w:val="2"/>
            <w:tcBorders>
              <w:top w:val="nil"/>
              <w:left w:val="nil"/>
              <w:bottom w:val="single" w:sz="4" w:space="0" w:color="auto"/>
              <w:right w:val="nil"/>
            </w:tcBorders>
            <w:shd w:val="clear" w:color="000000" w:fill="E6E6E6"/>
            <w:vAlign w:val="bottom"/>
          </w:tcPr>
          <w:p w:rsidR="009B03DF" w:rsidRPr="00D53E18" w:rsidRDefault="009B03DF" w:rsidP="00BD6C8F">
            <w:pPr>
              <w:pStyle w:val="NoSpacing"/>
              <w:jc w:val="right"/>
              <w:rPr>
                <w:rFonts w:ascii="Times New Roman" w:hAnsi="Times New Roman" w:cs="Times New Roman"/>
                <w:lang w:eastAsia="en-NZ"/>
              </w:rPr>
            </w:pPr>
            <w:r w:rsidRPr="00D53E18">
              <w:rPr>
                <w:rFonts w:ascii="Times New Roman" w:hAnsi="Times New Roman" w:cs="Times New Roman"/>
                <w:lang w:eastAsia="en-NZ"/>
              </w:rPr>
              <w:t>18</w:t>
            </w:r>
          </w:p>
        </w:tc>
        <w:tc>
          <w:tcPr>
            <w:tcW w:w="1844" w:type="dxa"/>
            <w:gridSpan w:val="3"/>
            <w:tcBorders>
              <w:top w:val="nil"/>
              <w:left w:val="nil"/>
              <w:bottom w:val="single" w:sz="4" w:space="0" w:color="auto"/>
              <w:right w:val="nil"/>
            </w:tcBorders>
            <w:shd w:val="clear" w:color="000000" w:fill="E6E6E6"/>
            <w:vAlign w:val="bottom"/>
          </w:tcPr>
          <w:p w:rsidR="009B03DF" w:rsidRPr="00CA18E9" w:rsidRDefault="009B03DF" w:rsidP="00BD6C8F">
            <w:pPr>
              <w:pStyle w:val="NoSpacing"/>
              <w:jc w:val="right"/>
              <w:rPr>
                <w:rFonts w:ascii="Times New Roman" w:hAnsi="Times New Roman" w:cs="Times New Roman"/>
                <w:b/>
                <w:lang w:eastAsia="en-NZ"/>
              </w:rPr>
            </w:pPr>
            <w:r w:rsidRPr="00CA18E9">
              <w:rPr>
                <w:rFonts w:ascii="Times New Roman" w:hAnsi="Times New Roman" w:cs="Times New Roman"/>
                <w:b/>
                <w:lang w:eastAsia="en-NZ"/>
              </w:rPr>
              <w:t>16.1</w:t>
            </w:r>
          </w:p>
        </w:tc>
      </w:tr>
      <w:tr w:rsidR="000F6880" w:rsidRPr="00CA18E9">
        <w:trPr>
          <w:trHeight w:val="300"/>
        </w:trPr>
        <w:tc>
          <w:tcPr>
            <w:tcW w:w="4692" w:type="dxa"/>
            <w:gridSpan w:val="3"/>
            <w:tcBorders>
              <w:top w:val="single" w:sz="4" w:space="0" w:color="auto"/>
              <w:left w:val="nil"/>
              <w:bottom w:val="nil"/>
              <w:right w:val="nil"/>
            </w:tcBorders>
            <w:shd w:val="clear" w:color="000000" w:fill="FFFFFF"/>
            <w:vAlign w:val="bottom"/>
          </w:tcPr>
          <w:p w:rsidR="000F6880" w:rsidRDefault="000F6880" w:rsidP="000F6880">
            <w:pPr>
              <w:pStyle w:val="NoSpacing"/>
              <w:rPr>
                <w:rFonts w:ascii="Times New Roman" w:hAnsi="Times New Roman" w:cs="Times New Roman"/>
                <w:b/>
                <w:lang w:eastAsia="en-NZ"/>
              </w:rPr>
            </w:pPr>
          </w:p>
          <w:p w:rsidR="000F6880" w:rsidRPr="00D032E6" w:rsidRDefault="000F6880" w:rsidP="004610FB">
            <w:pPr>
              <w:pStyle w:val="NoSpacing"/>
              <w:rPr>
                <w:rFonts w:ascii="Times New Roman" w:hAnsi="Times New Roman" w:cs="Times New Roman"/>
                <w:i/>
                <w:lang w:eastAsia="en-NZ"/>
              </w:rPr>
            </w:pPr>
            <w:r w:rsidRPr="00D032E6">
              <w:rPr>
                <w:rFonts w:ascii="Times New Roman" w:hAnsi="Times New Roman" w:cs="Times New Roman"/>
                <w:i/>
                <w:lang w:eastAsia="en-NZ"/>
              </w:rPr>
              <w:t xml:space="preserve">Panel B: </w:t>
            </w:r>
            <w:r w:rsidR="00595A7C" w:rsidRPr="00D032E6">
              <w:rPr>
                <w:rFonts w:ascii="Times New Roman" w:hAnsi="Times New Roman" w:cs="Times New Roman"/>
                <w:i/>
                <w:lang w:eastAsia="en-NZ"/>
              </w:rPr>
              <w:t>Late</w:t>
            </w:r>
            <w:r w:rsidR="00D032E6">
              <w:rPr>
                <w:rFonts w:ascii="Times New Roman" w:hAnsi="Times New Roman" w:cs="Times New Roman"/>
                <w:i/>
                <w:lang w:eastAsia="en-NZ"/>
              </w:rPr>
              <w:t xml:space="preserve"> a</w:t>
            </w:r>
            <w:r w:rsidRPr="00D032E6">
              <w:rPr>
                <w:rFonts w:ascii="Times New Roman" w:hAnsi="Times New Roman" w:cs="Times New Roman"/>
                <w:i/>
                <w:lang w:eastAsia="en-NZ"/>
              </w:rPr>
              <w:t>dopters</w:t>
            </w:r>
          </w:p>
        </w:tc>
        <w:tc>
          <w:tcPr>
            <w:tcW w:w="1843" w:type="dxa"/>
            <w:gridSpan w:val="2"/>
            <w:tcBorders>
              <w:top w:val="single" w:sz="4" w:space="0" w:color="auto"/>
              <w:left w:val="nil"/>
              <w:bottom w:val="nil"/>
              <w:right w:val="nil"/>
            </w:tcBorders>
            <w:shd w:val="clear" w:color="auto" w:fill="auto"/>
            <w:noWrap/>
            <w:vAlign w:val="bottom"/>
          </w:tcPr>
          <w:p w:rsidR="000F6880" w:rsidRPr="00D53E18" w:rsidRDefault="000F6880" w:rsidP="00D213D7">
            <w:pPr>
              <w:pStyle w:val="NoSpacing"/>
              <w:rPr>
                <w:rFonts w:ascii="Times New Roman" w:hAnsi="Times New Roman" w:cs="Times New Roman"/>
                <w:lang w:eastAsia="en-NZ"/>
              </w:rPr>
            </w:pPr>
          </w:p>
        </w:tc>
        <w:tc>
          <w:tcPr>
            <w:tcW w:w="1276" w:type="dxa"/>
            <w:tcBorders>
              <w:top w:val="single" w:sz="4" w:space="0" w:color="auto"/>
              <w:left w:val="nil"/>
              <w:bottom w:val="nil"/>
              <w:right w:val="nil"/>
            </w:tcBorders>
            <w:shd w:val="clear" w:color="auto" w:fill="auto"/>
            <w:noWrap/>
            <w:vAlign w:val="bottom"/>
          </w:tcPr>
          <w:p w:rsidR="000F6880" w:rsidRPr="00D53E18" w:rsidRDefault="000F6880" w:rsidP="00D213D7">
            <w:pPr>
              <w:pStyle w:val="NoSpacing"/>
              <w:rPr>
                <w:rFonts w:ascii="Times New Roman" w:hAnsi="Times New Roman" w:cs="Times New Roman"/>
                <w:lang w:eastAsia="en-NZ"/>
              </w:rPr>
            </w:pPr>
          </w:p>
        </w:tc>
        <w:tc>
          <w:tcPr>
            <w:tcW w:w="1701" w:type="dxa"/>
            <w:gridSpan w:val="3"/>
            <w:tcBorders>
              <w:top w:val="single" w:sz="4" w:space="0" w:color="auto"/>
              <w:left w:val="nil"/>
              <w:bottom w:val="nil"/>
              <w:right w:val="nil"/>
            </w:tcBorders>
          </w:tcPr>
          <w:p w:rsidR="000F6880" w:rsidRPr="00CA18E9" w:rsidRDefault="000F6880" w:rsidP="00D213D7">
            <w:pPr>
              <w:pStyle w:val="NoSpacing"/>
              <w:rPr>
                <w:rFonts w:ascii="Times New Roman" w:hAnsi="Times New Roman" w:cs="Times New Roman"/>
                <w:b/>
                <w:lang w:eastAsia="en-NZ"/>
              </w:rPr>
            </w:pPr>
          </w:p>
        </w:tc>
        <w:tc>
          <w:tcPr>
            <w:tcW w:w="568" w:type="dxa"/>
            <w:tcBorders>
              <w:top w:val="single" w:sz="4" w:space="0" w:color="auto"/>
              <w:left w:val="nil"/>
              <w:bottom w:val="nil"/>
              <w:right w:val="nil"/>
            </w:tcBorders>
            <w:shd w:val="clear" w:color="auto" w:fill="auto"/>
            <w:noWrap/>
            <w:vAlign w:val="bottom"/>
          </w:tcPr>
          <w:p w:rsidR="000F6880" w:rsidRPr="00CA18E9" w:rsidRDefault="000F6880" w:rsidP="00D213D7">
            <w:pPr>
              <w:pStyle w:val="NoSpacing"/>
              <w:rPr>
                <w:rFonts w:ascii="Times New Roman" w:hAnsi="Times New Roman" w:cs="Times New Roman"/>
                <w:b/>
                <w:lang w:eastAsia="en-NZ"/>
              </w:rPr>
            </w:pPr>
          </w:p>
        </w:tc>
      </w:tr>
      <w:tr w:rsidR="009B03DF" w:rsidRPr="00CA18E9">
        <w:trPr>
          <w:trHeight w:val="300"/>
        </w:trPr>
        <w:tc>
          <w:tcPr>
            <w:tcW w:w="1999" w:type="dxa"/>
            <w:tcBorders>
              <w:top w:val="nil"/>
              <w:left w:val="nil"/>
              <w:bottom w:val="nil"/>
              <w:right w:val="nil"/>
            </w:tcBorders>
            <w:shd w:val="clear" w:color="000000" w:fill="FFFFFF"/>
          </w:tcPr>
          <w:p w:rsidR="009B03DF" w:rsidRPr="00D53E18" w:rsidRDefault="009B03DF" w:rsidP="00D213D7">
            <w:pPr>
              <w:pStyle w:val="NoSpacing"/>
              <w:rPr>
                <w:rFonts w:ascii="Times New Roman" w:hAnsi="Times New Roman" w:cs="Times New Roman"/>
                <w:lang w:eastAsia="en-NZ"/>
              </w:rPr>
            </w:pPr>
            <w:r w:rsidRPr="00D53E18">
              <w:rPr>
                <w:rFonts w:ascii="Times New Roman" w:hAnsi="Times New Roman" w:cs="Times New Roman"/>
                <w:lang w:eastAsia="en-NZ"/>
              </w:rPr>
              <w:t>N</w:t>
            </w:r>
          </w:p>
        </w:tc>
        <w:tc>
          <w:tcPr>
            <w:tcW w:w="1417"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17</w:t>
            </w:r>
          </w:p>
        </w:tc>
        <w:tc>
          <w:tcPr>
            <w:tcW w:w="1843"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15</w:t>
            </w:r>
          </w:p>
        </w:tc>
        <w:tc>
          <w:tcPr>
            <w:tcW w:w="1276"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16</w:t>
            </w:r>
          </w:p>
        </w:tc>
        <w:tc>
          <w:tcPr>
            <w:tcW w:w="1701"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16</w:t>
            </w:r>
          </w:p>
        </w:tc>
        <w:tc>
          <w:tcPr>
            <w:tcW w:w="1844" w:type="dxa"/>
            <w:gridSpan w:val="3"/>
            <w:tcBorders>
              <w:top w:val="nil"/>
              <w:left w:val="nil"/>
              <w:bottom w:val="nil"/>
              <w:right w:val="nil"/>
            </w:tcBorders>
            <w:shd w:val="clear" w:color="000000" w:fill="FFFFFF"/>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16</w:t>
            </w:r>
          </w:p>
        </w:tc>
      </w:tr>
      <w:tr w:rsidR="009B03DF" w:rsidRPr="00CA18E9">
        <w:trPr>
          <w:trHeight w:val="300"/>
        </w:trPr>
        <w:tc>
          <w:tcPr>
            <w:tcW w:w="1999" w:type="dxa"/>
            <w:tcBorders>
              <w:top w:val="nil"/>
              <w:left w:val="nil"/>
              <w:bottom w:val="nil"/>
              <w:right w:val="nil"/>
            </w:tcBorders>
            <w:shd w:val="clear" w:color="000000" w:fill="FFFFFF"/>
          </w:tcPr>
          <w:p w:rsidR="009B03DF" w:rsidRPr="00D53E18" w:rsidRDefault="009B03DF" w:rsidP="00D213D7">
            <w:pPr>
              <w:pStyle w:val="NoSpacing"/>
              <w:rPr>
                <w:rFonts w:ascii="Times New Roman" w:hAnsi="Times New Roman" w:cs="Times New Roman"/>
                <w:lang w:eastAsia="en-NZ"/>
              </w:rPr>
            </w:pPr>
            <w:r w:rsidRPr="00D53E18">
              <w:rPr>
                <w:rFonts w:ascii="Times New Roman" w:hAnsi="Times New Roman" w:cs="Times New Roman"/>
                <w:lang w:eastAsia="en-NZ"/>
              </w:rPr>
              <w:t>Mean</w:t>
            </w:r>
          </w:p>
        </w:tc>
        <w:tc>
          <w:tcPr>
            <w:tcW w:w="1417"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719,965</w:t>
            </w:r>
          </w:p>
        </w:tc>
        <w:tc>
          <w:tcPr>
            <w:tcW w:w="1843"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1.41</w:t>
            </w:r>
          </w:p>
        </w:tc>
        <w:tc>
          <w:tcPr>
            <w:tcW w:w="1276"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1.01</w:t>
            </w:r>
          </w:p>
        </w:tc>
        <w:tc>
          <w:tcPr>
            <w:tcW w:w="1701"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9</w:t>
            </w:r>
          </w:p>
        </w:tc>
        <w:tc>
          <w:tcPr>
            <w:tcW w:w="1844" w:type="dxa"/>
            <w:gridSpan w:val="3"/>
            <w:tcBorders>
              <w:top w:val="nil"/>
              <w:left w:val="nil"/>
              <w:bottom w:val="nil"/>
              <w:right w:val="nil"/>
            </w:tcBorders>
            <w:shd w:val="clear" w:color="000000" w:fill="FFFFFF"/>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10.9</w:t>
            </w:r>
          </w:p>
        </w:tc>
      </w:tr>
      <w:tr w:rsidR="009B03DF" w:rsidRPr="00CA18E9">
        <w:trPr>
          <w:trHeight w:val="300"/>
        </w:trPr>
        <w:tc>
          <w:tcPr>
            <w:tcW w:w="1999" w:type="dxa"/>
            <w:tcBorders>
              <w:top w:val="nil"/>
              <w:left w:val="nil"/>
              <w:bottom w:val="nil"/>
              <w:right w:val="nil"/>
            </w:tcBorders>
            <w:shd w:val="clear" w:color="000000" w:fill="FFFFFF"/>
          </w:tcPr>
          <w:p w:rsidR="009B03DF" w:rsidRPr="00D53E18" w:rsidRDefault="009B03DF" w:rsidP="00D213D7">
            <w:pPr>
              <w:pStyle w:val="NoSpacing"/>
              <w:rPr>
                <w:rFonts w:ascii="Times New Roman" w:hAnsi="Times New Roman" w:cs="Times New Roman"/>
                <w:lang w:eastAsia="en-NZ"/>
              </w:rPr>
            </w:pPr>
            <w:r w:rsidRPr="00D53E18">
              <w:rPr>
                <w:rFonts w:ascii="Times New Roman" w:hAnsi="Times New Roman" w:cs="Times New Roman"/>
                <w:lang w:eastAsia="en-NZ"/>
              </w:rPr>
              <w:t>Minimum</w:t>
            </w:r>
          </w:p>
        </w:tc>
        <w:tc>
          <w:tcPr>
            <w:tcW w:w="1417"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1,252</w:t>
            </w:r>
          </w:p>
        </w:tc>
        <w:tc>
          <w:tcPr>
            <w:tcW w:w="1843"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0.13</w:t>
            </w:r>
          </w:p>
        </w:tc>
        <w:tc>
          <w:tcPr>
            <w:tcW w:w="1276"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0.02</w:t>
            </w:r>
          </w:p>
        </w:tc>
        <w:tc>
          <w:tcPr>
            <w:tcW w:w="1701"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-22</w:t>
            </w:r>
          </w:p>
        </w:tc>
        <w:tc>
          <w:tcPr>
            <w:tcW w:w="1844" w:type="dxa"/>
            <w:gridSpan w:val="3"/>
            <w:tcBorders>
              <w:top w:val="nil"/>
              <w:left w:val="nil"/>
              <w:bottom w:val="nil"/>
              <w:right w:val="nil"/>
            </w:tcBorders>
            <w:shd w:val="clear" w:color="000000" w:fill="FFFFFF"/>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1.4</w:t>
            </w:r>
          </w:p>
        </w:tc>
      </w:tr>
      <w:tr w:rsidR="009B03DF" w:rsidRPr="00CA18E9">
        <w:trPr>
          <w:trHeight w:val="300"/>
        </w:trPr>
        <w:tc>
          <w:tcPr>
            <w:tcW w:w="1999" w:type="dxa"/>
            <w:tcBorders>
              <w:top w:val="nil"/>
              <w:left w:val="nil"/>
              <w:bottom w:val="nil"/>
              <w:right w:val="nil"/>
            </w:tcBorders>
            <w:shd w:val="clear" w:color="000000" w:fill="FFFFFF"/>
          </w:tcPr>
          <w:p w:rsidR="009B03DF" w:rsidRPr="00D53E18" w:rsidRDefault="009B03DF" w:rsidP="00D213D7">
            <w:pPr>
              <w:pStyle w:val="NoSpacing"/>
              <w:rPr>
                <w:rFonts w:ascii="Times New Roman" w:hAnsi="Times New Roman" w:cs="Times New Roman"/>
                <w:lang w:eastAsia="en-NZ"/>
              </w:rPr>
            </w:pPr>
            <w:r w:rsidRPr="00D53E18">
              <w:rPr>
                <w:rFonts w:ascii="Times New Roman" w:hAnsi="Times New Roman" w:cs="Times New Roman"/>
                <w:lang w:eastAsia="en-NZ"/>
              </w:rPr>
              <w:t>Median</w:t>
            </w:r>
          </w:p>
        </w:tc>
        <w:tc>
          <w:tcPr>
            <w:tcW w:w="1417"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116,104</w:t>
            </w:r>
          </w:p>
        </w:tc>
        <w:tc>
          <w:tcPr>
            <w:tcW w:w="1843"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1.38</w:t>
            </w:r>
          </w:p>
        </w:tc>
        <w:tc>
          <w:tcPr>
            <w:tcW w:w="1276" w:type="dxa"/>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1.00</w:t>
            </w:r>
          </w:p>
        </w:tc>
        <w:tc>
          <w:tcPr>
            <w:tcW w:w="1701" w:type="dxa"/>
            <w:gridSpan w:val="2"/>
            <w:tcBorders>
              <w:top w:val="nil"/>
              <w:left w:val="nil"/>
              <w:bottom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12</w:t>
            </w:r>
          </w:p>
        </w:tc>
        <w:tc>
          <w:tcPr>
            <w:tcW w:w="1844" w:type="dxa"/>
            <w:gridSpan w:val="3"/>
            <w:tcBorders>
              <w:top w:val="nil"/>
              <w:left w:val="nil"/>
              <w:bottom w:val="nil"/>
              <w:right w:val="nil"/>
            </w:tcBorders>
            <w:shd w:val="clear" w:color="000000" w:fill="FFFFFF"/>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11.8</w:t>
            </w:r>
          </w:p>
        </w:tc>
      </w:tr>
      <w:tr w:rsidR="009B03DF" w:rsidRPr="00CA18E9">
        <w:trPr>
          <w:trHeight w:val="87"/>
        </w:trPr>
        <w:tc>
          <w:tcPr>
            <w:tcW w:w="1999" w:type="dxa"/>
            <w:tcBorders>
              <w:top w:val="nil"/>
              <w:left w:val="nil"/>
              <w:bottom w:val="single" w:sz="4" w:space="0" w:color="auto"/>
              <w:right w:val="nil"/>
            </w:tcBorders>
            <w:shd w:val="clear" w:color="000000" w:fill="FFFFFF"/>
          </w:tcPr>
          <w:p w:rsidR="009B03DF" w:rsidRPr="00D53E18" w:rsidRDefault="009B03DF" w:rsidP="00D213D7">
            <w:pPr>
              <w:pStyle w:val="NoSpacing"/>
              <w:rPr>
                <w:rFonts w:ascii="Times New Roman" w:hAnsi="Times New Roman" w:cs="Times New Roman"/>
                <w:lang w:eastAsia="en-NZ"/>
              </w:rPr>
            </w:pPr>
            <w:r w:rsidRPr="00D53E18">
              <w:rPr>
                <w:rFonts w:ascii="Times New Roman" w:hAnsi="Times New Roman" w:cs="Times New Roman"/>
                <w:lang w:eastAsia="en-NZ"/>
              </w:rPr>
              <w:t>Maximum</w:t>
            </w:r>
          </w:p>
        </w:tc>
        <w:tc>
          <w:tcPr>
            <w:tcW w:w="1417" w:type="dxa"/>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4,399,400</w:t>
            </w:r>
          </w:p>
        </w:tc>
        <w:tc>
          <w:tcPr>
            <w:tcW w:w="1843" w:type="dxa"/>
            <w:gridSpan w:val="2"/>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4.33</w:t>
            </w:r>
          </w:p>
        </w:tc>
        <w:tc>
          <w:tcPr>
            <w:tcW w:w="1276" w:type="dxa"/>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3.00</w:t>
            </w:r>
          </w:p>
        </w:tc>
        <w:tc>
          <w:tcPr>
            <w:tcW w:w="1701" w:type="dxa"/>
            <w:gridSpan w:val="2"/>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36</w:t>
            </w:r>
          </w:p>
        </w:tc>
        <w:tc>
          <w:tcPr>
            <w:tcW w:w="1844" w:type="dxa"/>
            <w:gridSpan w:val="3"/>
            <w:tcBorders>
              <w:top w:val="nil"/>
              <w:left w:val="nil"/>
              <w:bottom w:val="single" w:sz="4" w:space="0" w:color="auto"/>
              <w:right w:val="nil"/>
            </w:tcBorders>
            <w:shd w:val="clear" w:color="000000" w:fill="FFFFFF"/>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21.7</w:t>
            </w:r>
          </w:p>
        </w:tc>
      </w:tr>
    </w:tbl>
    <w:p w:rsidR="001B5C59" w:rsidRDefault="001B5C59">
      <w:r>
        <w:br w:type="page"/>
      </w:r>
    </w:p>
    <w:p w:rsidR="001B5C59" w:rsidRPr="0012038C" w:rsidRDefault="001B5C59">
      <w:pPr>
        <w:rPr>
          <w:rFonts w:ascii="Times New Roman" w:hAnsi="Times New Roman" w:cs="Times New Roman"/>
        </w:rPr>
      </w:pPr>
      <w:r w:rsidRPr="0012038C">
        <w:rPr>
          <w:rFonts w:ascii="Times New Roman" w:hAnsi="Times New Roman" w:cs="Times New Roman"/>
        </w:rPr>
        <w:lastRenderedPageBreak/>
        <w:t>Table 3 (continued)</w:t>
      </w:r>
    </w:p>
    <w:tbl>
      <w:tblPr>
        <w:tblW w:w="10080" w:type="dxa"/>
        <w:tblInd w:w="93" w:type="dxa"/>
        <w:tblLayout w:type="fixed"/>
        <w:tblLook w:val="04A0" w:firstRow="1" w:lastRow="0" w:firstColumn="1" w:lastColumn="0" w:noHBand="0" w:noVBand="1"/>
      </w:tblPr>
      <w:tblGrid>
        <w:gridCol w:w="1999"/>
        <w:gridCol w:w="1417"/>
        <w:gridCol w:w="1276"/>
        <w:gridCol w:w="567"/>
        <w:gridCol w:w="1276"/>
        <w:gridCol w:w="1276"/>
        <w:gridCol w:w="425"/>
        <w:gridCol w:w="1276"/>
        <w:gridCol w:w="568"/>
      </w:tblGrid>
      <w:tr w:rsidR="000F6880" w:rsidRPr="00CA18E9">
        <w:trPr>
          <w:trHeight w:val="734"/>
        </w:trPr>
        <w:tc>
          <w:tcPr>
            <w:tcW w:w="4692" w:type="dxa"/>
            <w:gridSpan w:val="3"/>
            <w:tcBorders>
              <w:top w:val="nil"/>
              <w:left w:val="nil"/>
              <w:bottom w:val="nil"/>
              <w:right w:val="nil"/>
            </w:tcBorders>
            <w:shd w:val="clear" w:color="auto" w:fill="auto"/>
            <w:noWrap/>
            <w:vAlign w:val="bottom"/>
          </w:tcPr>
          <w:p w:rsidR="000F6880" w:rsidRPr="00D032E6" w:rsidRDefault="000F6880" w:rsidP="00D213D7">
            <w:pPr>
              <w:pStyle w:val="NoSpacing"/>
              <w:rPr>
                <w:rFonts w:ascii="Times New Roman" w:hAnsi="Times New Roman" w:cs="Times New Roman"/>
                <w:i/>
                <w:lang w:eastAsia="en-NZ"/>
              </w:rPr>
            </w:pPr>
            <w:r w:rsidRPr="00D032E6">
              <w:rPr>
                <w:rFonts w:ascii="Times New Roman" w:hAnsi="Times New Roman" w:cs="Times New Roman"/>
                <w:i/>
                <w:lang w:eastAsia="en-NZ"/>
              </w:rPr>
              <w:t xml:space="preserve">Panel C:  Mann-Whitney U tests </w:t>
            </w:r>
          </w:p>
        </w:tc>
        <w:tc>
          <w:tcPr>
            <w:tcW w:w="1843" w:type="dxa"/>
            <w:gridSpan w:val="2"/>
            <w:tcBorders>
              <w:top w:val="nil"/>
              <w:left w:val="nil"/>
              <w:bottom w:val="nil"/>
              <w:right w:val="nil"/>
            </w:tcBorders>
            <w:vAlign w:val="bottom"/>
          </w:tcPr>
          <w:p w:rsidR="000F6880" w:rsidRPr="00D53E18" w:rsidRDefault="000F6880" w:rsidP="00D213D7">
            <w:pPr>
              <w:pStyle w:val="NoSpacing"/>
              <w:rPr>
                <w:rFonts w:ascii="Times New Roman" w:hAnsi="Times New Roman" w:cs="Times New Roman"/>
                <w:lang w:eastAsia="en-NZ"/>
              </w:rPr>
            </w:pPr>
          </w:p>
        </w:tc>
        <w:tc>
          <w:tcPr>
            <w:tcW w:w="1276" w:type="dxa"/>
            <w:tcBorders>
              <w:top w:val="nil"/>
              <w:left w:val="nil"/>
              <w:bottom w:val="nil"/>
              <w:right w:val="nil"/>
            </w:tcBorders>
            <w:shd w:val="clear" w:color="auto" w:fill="auto"/>
            <w:noWrap/>
            <w:vAlign w:val="bottom"/>
          </w:tcPr>
          <w:p w:rsidR="000F6880" w:rsidRPr="00D53E18" w:rsidRDefault="000F6880" w:rsidP="00D213D7">
            <w:pPr>
              <w:pStyle w:val="NoSpacing"/>
              <w:rPr>
                <w:rFonts w:ascii="Times New Roman" w:hAnsi="Times New Roman" w:cs="Times New Roman"/>
                <w:lang w:eastAsia="en-NZ"/>
              </w:rPr>
            </w:pPr>
          </w:p>
        </w:tc>
        <w:tc>
          <w:tcPr>
            <w:tcW w:w="1701" w:type="dxa"/>
            <w:gridSpan w:val="2"/>
            <w:tcBorders>
              <w:top w:val="nil"/>
              <w:left w:val="nil"/>
              <w:bottom w:val="nil"/>
              <w:right w:val="nil"/>
            </w:tcBorders>
            <w:shd w:val="clear" w:color="auto" w:fill="auto"/>
            <w:noWrap/>
            <w:vAlign w:val="bottom"/>
          </w:tcPr>
          <w:p w:rsidR="000F6880" w:rsidRPr="00CA18E9" w:rsidRDefault="000F6880" w:rsidP="00D213D7">
            <w:pPr>
              <w:pStyle w:val="NoSpacing"/>
              <w:rPr>
                <w:rFonts w:ascii="Times New Roman" w:hAnsi="Times New Roman" w:cs="Times New Roman"/>
                <w:b/>
                <w:lang w:eastAsia="en-NZ"/>
              </w:rPr>
            </w:pPr>
          </w:p>
        </w:tc>
        <w:tc>
          <w:tcPr>
            <w:tcW w:w="568" w:type="dxa"/>
            <w:tcBorders>
              <w:top w:val="nil"/>
              <w:left w:val="nil"/>
              <w:bottom w:val="nil"/>
              <w:right w:val="nil"/>
            </w:tcBorders>
            <w:shd w:val="clear" w:color="auto" w:fill="auto"/>
            <w:noWrap/>
            <w:vAlign w:val="bottom"/>
          </w:tcPr>
          <w:p w:rsidR="000F6880" w:rsidRPr="00CA18E9" w:rsidRDefault="000F6880" w:rsidP="00D213D7">
            <w:pPr>
              <w:pStyle w:val="NoSpacing"/>
              <w:rPr>
                <w:rFonts w:ascii="Times New Roman" w:hAnsi="Times New Roman" w:cs="Times New Roman"/>
                <w:b/>
                <w:lang w:eastAsia="en-NZ"/>
              </w:rPr>
            </w:pPr>
          </w:p>
        </w:tc>
      </w:tr>
      <w:tr w:rsidR="000F6880" w:rsidRPr="00CA18E9">
        <w:trPr>
          <w:trHeight w:val="300"/>
        </w:trPr>
        <w:tc>
          <w:tcPr>
            <w:tcW w:w="1999" w:type="dxa"/>
            <w:tcBorders>
              <w:top w:val="nil"/>
              <w:left w:val="nil"/>
              <w:right w:val="nil"/>
            </w:tcBorders>
            <w:shd w:val="clear" w:color="000000" w:fill="FFFFFF"/>
            <w:noWrap/>
            <w:vAlign w:val="bottom"/>
          </w:tcPr>
          <w:p w:rsidR="000F6880" w:rsidRPr="00D53E18" w:rsidRDefault="000F6880" w:rsidP="00D213D7">
            <w:pPr>
              <w:pStyle w:val="NoSpacing"/>
              <w:rPr>
                <w:rFonts w:ascii="Times New Roman" w:hAnsi="Times New Roman" w:cs="Times New Roman"/>
                <w:lang w:eastAsia="en-NZ"/>
              </w:rPr>
            </w:pPr>
            <w:r w:rsidRPr="00D53E18">
              <w:rPr>
                <w:rFonts w:ascii="Times New Roman" w:hAnsi="Times New Roman" w:cs="Times New Roman"/>
                <w:lang w:eastAsia="en-NZ"/>
              </w:rPr>
              <w:t>Mean Rank</w:t>
            </w:r>
          </w:p>
        </w:tc>
        <w:tc>
          <w:tcPr>
            <w:tcW w:w="1417" w:type="dxa"/>
            <w:tcBorders>
              <w:top w:val="nil"/>
              <w:left w:val="nil"/>
              <w:right w:val="nil"/>
            </w:tcBorders>
            <w:shd w:val="clear" w:color="auto" w:fill="auto"/>
            <w:noWrap/>
            <w:vAlign w:val="bottom"/>
          </w:tcPr>
          <w:p w:rsidR="000F6880" w:rsidRPr="00D53E18" w:rsidRDefault="000F6880" w:rsidP="00D213D7">
            <w:pPr>
              <w:pStyle w:val="NoSpacing"/>
              <w:jc w:val="right"/>
              <w:rPr>
                <w:rFonts w:ascii="Times New Roman" w:hAnsi="Times New Roman" w:cs="Times New Roman"/>
                <w:lang w:eastAsia="en-NZ"/>
              </w:rPr>
            </w:pPr>
          </w:p>
        </w:tc>
        <w:tc>
          <w:tcPr>
            <w:tcW w:w="1843" w:type="dxa"/>
            <w:gridSpan w:val="2"/>
            <w:tcBorders>
              <w:top w:val="nil"/>
              <w:left w:val="nil"/>
              <w:right w:val="nil"/>
            </w:tcBorders>
            <w:vAlign w:val="bottom"/>
          </w:tcPr>
          <w:p w:rsidR="000F6880" w:rsidRPr="00D53E18" w:rsidRDefault="000F6880" w:rsidP="00D213D7">
            <w:pPr>
              <w:pStyle w:val="NoSpacing"/>
              <w:jc w:val="right"/>
              <w:rPr>
                <w:rFonts w:ascii="Times New Roman" w:hAnsi="Times New Roman" w:cs="Times New Roman"/>
                <w:lang w:eastAsia="en-NZ"/>
              </w:rPr>
            </w:pPr>
          </w:p>
        </w:tc>
        <w:tc>
          <w:tcPr>
            <w:tcW w:w="1276" w:type="dxa"/>
            <w:tcBorders>
              <w:top w:val="nil"/>
              <w:left w:val="nil"/>
              <w:right w:val="nil"/>
            </w:tcBorders>
            <w:shd w:val="clear" w:color="auto" w:fill="auto"/>
            <w:noWrap/>
            <w:vAlign w:val="bottom"/>
          </w:tcPr>
          <w:p w:rsidR="000F6880" w:rsidRPr="00D53E18" w:rsidRDefault="000F6880" w:rsidP="00D213D7">
            <w:pPr>
              <w:pStyle w:val="NoSpacing"/>
              <w:jc w:val="right"/>
              <w:rPr>
                <w:rFonts w:ascii="Times New Roman" w:hAnsi="Times New Roman" w:cs="Times New Roman"/>
                <w:lang w:eastAsia="en-NZ"/>
              </w:rPr>
            </w:pPr>
          </w:p>
        </w:tc>
        <w:tc>
          <w:tcPr>
            <w:tcW w:w="1701" w:type="dxa"/>
            <w:gridSpan w:val="2"/>
            <w:tcBorders>
              <w:top w:val="nil"/>
              <w:left w:val="nil"/>
              <w:right w:val="nil"/>
            </w:tcBorders>
            <w:shd w:val="clear" w:color="auto" w:fill="auto"/>
            <w:noWrap/>
            <w:vAlign w:val="bottom"/>
          </w:tcPr>
          <w:p w:rsidR="000F6880" w:rsidRPr="00D53E18" w:rsidRDefault="000F6880" w:rsidP="00D213D7">
            <w:pPr>
              <w:pStyle w:val="NoSpacing"/>
              <w:jc w:val="right"/>
              <w:rPr>
                <w:rFonts w:ascii="Times New Roman" w:hAnsi="Times New Roman" w:cs="Times New Roman"/>
                <w:lang w:eastAsia="en-NZ"/>
              </w:rPr>
            </w:pPr>
          </w:p>
        </w:tc>
        <w:tc>
          <w:tcPr>
            <w:tcW w:w="1844" w:type="dxa"/>
            <w:gridSpan w:val="2"/>
            <w:tcBorders>
              <w:top w:val="nil"/>
              <w:left w:val="nil"/>
              <w:right w:val="nil"/>
            </w:tcBorders>
            <w:shd w:val="clear" w:color="auto" w:fill="auto"/>
            <w:noWrap/>
            <w:vAlign w:val="bottom"/>
          </w:tcPr>
          <w:p w:rsidR="000F6880" w:rsidRPr="00CA18E9" w:rsidRDefault="000F6880" w:rsidP="00D213D7">
            <w:pPr>
              <w:pStyle w:val="NoSpacing"/>
              <w:jc w:val="right"/>
              <w:rPr>
                <w:rFonts w:ascii="Times New Roman" w:hAnsi="Times New Roman" w:cs="Times New Roman"/>
                <w:b/>
                <w:lang w:eastAsia="en-NZ"/>
              </w:rPr>
            </w:pPr>
          </w:p>
        </w:tc>
      </w:tr>
      <w:tr w:rsidR="009B03DF" w:rsidRPr="00CA18E9">
        <w:trPr>
          <w:trHeight w:val="300"/>
        </w:trPr>
        <w:tc>
          <w:tcPr>
            <w:tcW w:w="1999" w:type="dxa"/>
            <w:tcBorders>
              <w:top w:val="nil"/>
              <w:left w:val="nil"/>
              <w:bottom w:val="nil"/>
              <w:right w:val="nil"/>
            </w:tcBorders>
            <w:shd w:val="clear" w:color="000000" w:fill="E6E6E6"/>
            <w:noWrap/>
            <w:vAlign w:val="bottom"/>
          </w:tcPr>
          <w:p w:rsidR="009B03DF" w:rsidRPr="00D53E18" w:rsidRDefault="002E55B8" w:rsidP="00D213D7">
            <w:pPr>
              <w:pStyle w:val="NoSpacing"/>
              <w:rPr>
                <w:rFonts w:ascii="Times New Roman" w:hAnsi="Times New Roman" w:cs="Times New Roman"/>
                <w:lang w:eastAsia="en-NZ"/>
              </w:rPr>
            </w:pPr>
            <w:r>
              <w:rPr>
                <w:rFonts w:ascii="Times New Roman" w:hAnsi="Times New Roman" w:cs="Times New Roman"/>
                <w:lang w:eastAsia="en-NZ"/>
              </w:rPr>
              <w:t>Early</w:t>
            </w:r>
          </w:p>
        </w:tc>
        <w:tc>
          <w:tcPr>
            <w:tcW w:w="1417" w:type="dxa"/>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15.35</w:t>
            </w:r>
          </w:p>
        </w:tc>
        <w:tc>
          <w:tcPr>
            <w:tcW w:w="1843" w:type="dxa"/>
            <w:gridSpan w:val="2"/>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12.75</w:t>
            </w:r>
          </w:p>
        </w:tc>
        <w:tc>
          <w:tcPr>
            <w:tcW w:w="1276" w:type="dxa"/>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16.00</w:t>
            </w:r>
          </w:p>
        </w:tc>
        <w:tc>
          <w:tcPr>
            <w:tcW w:w="1701" w:type="dxa"/>
            <w:gridSpan w:val="2"/>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14.22</w:t>
            </w:r>
          </w:p>
        </w:tc>
        <w:tc>
          <w:tcPr>
            <w:tcW w:w="1844" w:type="dxa"/>
            <w:gridSpan w:val="2"/>
            <w:tcBorders>
              <w:top w:val="nil"/>
              <w:left w:val="nil"/>
              <w:bottom w:val="nil"/>
              <w:right w:val="nil"/>
            </w:tcBorders>
            <w:shd w:val="clear" w:color="000000" w:fill="E6E6E6"/>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12.07</w:t>
            </w:r>
          </w:p>
        </w:tc>
      </w:tr>
      <w:tr w:rsidR="009B03DF" w:rsidRPr="00CA18E9">
        <w:trPr>
          <w:trHeight w:val="300"/>
        </w:trPr>
        <w:tc>
          <w:tcPr>
            <w:tcW w:w="1999" w:type="dxa"/>
            <w:tcBorders>
              <w:top w:val="nil"/>
              <w:left w:val="nil"/>
              <w:right w:val="nil"/>
            </w:tcBorders>
            <w:shd w:val="clear" w:color="000000" w:fill="FFFFFF"/>
            <w:noWrap/>
            <w:vAlign w:val="bottom"/>
          </w:tcPr>
          <w:p w:rsidR="009B03DF" w:rsidRPr="00D53E18" w:rsidRDefault="00595A7C" w:rsidP="00D213D7">
            <w:pPr>
              <w:pStyle w:val="NoSpacing"/>
              <w:rPr>
                <w:rFonts w:ascii="Times New Roman" w:hAnsi="Times New Roman" w:cs="Times New Roman"/>
                <w:lang w:eastAsia="en-NZ"/>
              </w:rPr>
            </w:pPr>
            <w:r>
              <w:rPr>
                <w:rFonts w:ascii="Times New Roman" w:hAnsi="Times New Roman" w:cs="Times New Roman"/>
                <w:lang w:eastAsia="en-NZ"/>
              </w:rPr>
              <w:t>Late</w:t>
            </w:r>
          </w:p>
        </w:tc>
        <w:tc>
          <w:tcPr>
            <w:tcW w:w="1417" w:type="dxa"/>
            <w:tcBorders>
              <w:top w:val="nil"/>
              <w:left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19.65</w:t>
            </w:r>
          </w:p>
        </w:tc>
        <w:tc>
          <w:tcPr>
            <w:tcW w:w="1843" w:type="dxa"/>
            <w:gridSpan w:val="2"/>
            <w:tcBorders>
              <w:top w:val="nil"/>
              <w:left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17.10</w:t>
            </w:r>
          </w:p>
        </w:tc>
        <w:tc>
          <w:tcPr>
            <w:tcW w:w="1276" w:type="dxa"/>
            <w:tcBorders>
              <w:top w:val="nil"/>
              <w:left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18.06</w:t>
            </w:r>
          </w:p>
        </w:tc>
        <w:tc>
          <w:tcPr>
            <w:tcW w:w="1701" w:type="dxa"/>
            <w:gridSpan w:val="2"/>
            <w:tcBorders>
              <w:top w:val="nil"/>
              <w:left w:val="nil"/>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18.78</w:t>
            </w:r>
          </w:p>
        </w:tc>
        <w:tc>
          <w:tcPr>
            <w:tcW w:w="1844" w:type="dxa"/>
            <w:gridSpan w:val="2"/>
            <w:tcBorders>
              <w:top w:val="nil"/>
              <w:left w:val="nil"/>
              <w:right w:val="nil"/>
            </w:tcBorders>
            <w:shd w:val="clear" w:color="000000" w:fill="FFFFFF"/>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18.50</w:t>
            </w:r>
          </w:p>
        </w:tc>
      </w:tr>
      <w:tr w:rsidR="009B03DF" w:rsidRPr="00CA18E9">
        <w:trPr>
          <w:trHeight w:val="300"/>
        </w:trPr>
        <w:tc>
          <w:tcPr>
            <w:tcW w:w="1999" w:type="dxa"/>
            <w:tcBorders>
              <w:top w:val="nil"/>
              <w:left w:val="nil"/>
              <w:bottom w:val="nil"/>
              <w:right w:val="nil"/>
            </w:tcBorders>
            <w:shd w:val="clear" w:color="000000" w:fill="E6E6E6"/>
            <w:noWrap/>
            <w:vAlign w:val="bottom"/>
          </w:tcPr>
          <w:p w:rsidR="009B03DF" w:rsidRPr="00D53E18" w:rsidRDefault="009B03DF" w:rsidP="00D213D7">
            <w:pPr>
              <w:pStyle w:val="NoSpacing"/>
              <w:rPr>
                <w:rFonts w:ascii="Times New Roman" w:hAnsi="Times New Roman" w:cs="Times New Roman"/>
                <w:lang w:eastAsia="en-NZ"/>
              </w:rPr>
            </w:pPr>
            <w:r w:rsidRPr="00D53E18">
              <w:rPr>
                <w:rFonts w:ascii="Times New Roman" w:hAnsi="Times New Roman" w:cs="Times New Roman"/>
                <w:lang w:eastAsia="en-NZ"/>
              </w:rPr>
              <w:t>Z statistic</w:t>
            </w:r>
          </w:p>
        </w:tc>
        <w:tc>
          <w:tcPr>
            <w:tcW w:w="1417" w:type="dxa"/>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1.26</w:t>
            </w:r>
          </w:p>
        </w:tc>
        <w:tc>
          <w:tcPr>
            <w:tcW w:w="1843" w:type="dxa"/>
            <w:gridSpan w:val="2"/>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1.38</w:t>
            </w:r>
          </w:p>
        </w:tc>
        <w:tc>
          <w:tcPr>
            <w:tcW w:w="1276" w:type="dxa"/>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0.63</w:t>
            </w:r>
          </w:p>
        </w:tc>
        <w:tc>
          <w:tcPr>
            <w:tcW w:w="1701" w:type="dxa"/>
            <w:gridSpan w:val="2"/>
            <w:tcBorders>
              <w:top w:val="nil"/>
              <w:left w:val="nil"/>
              <w:bottom w:val="nil"/>
              <w:right w:val="nil"/>
            </w:tcBorders>
            <w:shd w:val="clear" w:color="000000" w:fill="E6E6E6"/>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1.39</w:t>
            </w:r>
          </w:p>
        </w:tc>
        <w:tc>
          <w:tcPr>
            <w:tcW w:w="1844" w:type="dxa"/>
            <w:gridSpan w:val="2"/>
            <w:tcBorders>
              <w:top w:val="nil"/>
              <w:left w:val="nil"/>
              <w:bottom w:val="nil"/>
              <w:right w:val="nil"/>
            </w:tcBorders>
            <w:shd w:val="clear" w:color="000000" w:fill="E6E6E6"/>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1.99</w:t>
            </w:r>
          </w:p>
        </w:tc>
      </w:tr>
      <w:tr w:rsidR="009B03DF" w:rsidRPr="00CA18E9">
        <w:trPr>
          <w:trHeight w:val="300"/>
        </w:trPr>
        <w:tc>
          <w:tcPr>
            <w:tcW w:w="1999" w:type="dxa"/>
            <w:tcBorders>
              <w:top w:val="nil"/>
              <w:left w:val="nil"/>
              <w:bottom w:val="single" w:sz="4" w:space="0" w:color="auto"/>
              <w:right w:val="nil"/>
            </w:tcBorders>
            <w:shd w:val="clear" w:color="000000" w:fill="FFFFFF"/>
            <w:noWrap/>
            <w:vAlign w:val="bottom"/>
          </w:tcPr>
          <w:p w:rsidR="009B03DF" w:rsidRPr="00D53E18" w:rsidRDefault="009B03DF" w:rsidP="00D213D7">
            <w:pPr>
              <w:pStyle w:val="NoSpacing"/>
              <w:rPr>
                <w:rFonts w:ascii="Times New Roman" w:hAnsi="Times New Roman" w:cs="Times New Roman"/>
                <w:lang w:eastAsia="en-NZ"/>
              </w:rPr>
            </w:pPr>
            <w:r w:rsidRPr="00D53E18">
              <w:rPr>
                <w:rFonts w:ascii="Times New Roman" w:hAnsi="Times New Roman" w:cs="Times New Roman"/>
                <w:lang w:eastAsia="en-NZ"/>
              </w:rPr>
              <w:t>p-value (two tailed)</w:t>
            </w:r>
          </w:p>
        </w:tc>
        <w:tc>
          <w:tcPr>
            <w:tcW w:w="1417" w:type="dxa"/>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0.21</w:t>
            </w:r>
          </w:p>
        </w:tc>
        <w:tc>
          <w:tcPr>
            <w:tcW w:w="1843" w:type="dxa"/>
            <w:gridSpan w:val="2"/>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0.1</w:t>
            </w:r>
            <w:r>
              <w:rPr>
                <w:rFonts w:ascii="Times New Roman" w:hAnsi="Times New Roman" w:cs="Times New Roman"/>
                <w:lang w:eastAsia="en-NZ"/>
              </w:rPr>
              <w:t>7</w:t>
            </w:r>
          </w:p>
        </w:tc>
        <w:tc>
          <w:tcPr>
            <w:tcW w:w="1276" w:type="dxa"/>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0.53</w:t>
            </w:r>
          </w:p>
        </w:tc>
        <w:tc>
          <w:tcPr>
            <w:tcW w:w="1701" w:type="dxa"/>
            <w:gridSpan w:val="2"/>
            <w:tcBorders>
              <w:top w:val="nil"/>
              <w:left w:val="nil"/>
              <w:bottom w:val="single" w:sz="4" w:space="0" w:color="auto"/>
              <w:right w:val="nil"/>
            </w:tcBorders>
            <w:shd w:val="clear" w:color="000000" w:fill="FFFFFF"/>
            <w:vAlign w:val="bottom"/>
          </w:tcPr>
          <w:p w:rsidR="009B03DF" w:rsidRPr="00D53E18" w:rsidRDefault="009B03DF" w:rsidP="00D213D7">
            <w:pPr>
              <w:pStyle w:val="NoSpacing"/>
              <w:jc w:val="right"/>
              <w:rPr>
                <w:rFonts w:ascii="Times New Roman" w:hAnsi="Times New Roman" w:cs="Times New Roman"/>
                <w:lang w:eastAsia="en-NZ"/>
              </w:rPr>
            </w:pPr>
            <w:r w:rsidRPr="00D53E18">
              <w:rPr>
                <w:rFonts w:ascii="Times New Roman" w:hAnsi="Times New Roman" w:cs="Times New Roman"/>
                <w:lang w:eastAsia="en-NZ"/>
              </w:rPr>
              <w:t>0.1</w:t>
            </w:r>
            <w:r>
              <w:rPr>
                <w:rFonts w:ascii="Times New Roman" w:hAnsi="Times New Roman" w:cs="Times New Roman"/>
                <w:lang w:eastAsia="en-NZ"/>
              </w:rPr>
              <w:t>7</w:t>
            </w:r>
          </w:p>
        </w:tc>
        <w:tc>
          <w:tcPr>
            <w:tcW w:w="1844" w:type="dxa"/>
            <w:gridSpan w:val="2"/>
            <w:tcBorders>
              <w:top w:val="nil"/>
              <w:left w:val="nil"/>
              <w:bottom w:val="single" w:sz="4" w:space="0" w:color="auto"/>
              <w:right w:val="nil"/>
            </w:tcBorders>
            <w:shd w:val="clear" w:color="000000" w:fill="FFFFFF"/>
            <w:vAlign w:val="bottom"/>
          </w:tcPr>
          <w:p w:rsidR="009B03DF" w:rsidRPr="00CA18E9" w:rsidRDefault="009B03DF" w:rsidP="00D213D7">
            <w:pPr>
              <w:pStyle w:val="NoSpacing"/>
              <w:jc w:val="right"/>
              <w:rPr>
                <w:rFonts w:ascii="Times New Roman" w:hAnsi="Times New Roman" w:cs="Times New Roman"/>
                <w:b/>
                <w:lang w:eastAsia="en-NZ"/>
              </w:rPr>
            </w:pPr>
            <w:r w:rsidRPr="00CA18E9">
              <w:rPr>
                <w:rFonts w:ascii="Times New Roman" w:hAnsi="Times New Roman" w:cs="Times New Roman"/>
                <w:b/>
                <w:lang w:eastAsia="en-NZ"/>
              </w:rPr>
              <w:t>0.05</w:t>
            </w:r>
          </w:p>
        </w:tc>
      </w:tr>
    </w:tbl>
    <w:p w:rsidR="0008100B" w:rsidRPr="0012038C" w:rsidRDefault="0008100B" w:rsidP="0008100B">
      <w:pPr>
        <w:pStyle w:val="NoSpacing"/>
        <w:rPr>
          <w:rFonts w:ascii="Times New Roman" w:hAnsi="Times New Roman" w:cs="Times New Roman"/>
        </w:rPr>
      </w:pPr>
      <w:proofErr w:type="gramStart"/>
      <w:r w:rsidRPr="001B5C59">
        <w:rPr>
          <w:vertAlign w:val="superscript"/>
        </w:rPr>
        <w:t>a</w:t>
      </w:r>
      <w:proofErr w:type="gramEnd"/>
      <w:r>
        <w:t xml:space="preserve"> </w:t>
      </w:r>
      <w:r w:rsidRPr="0012038C">
        <w:rPr>
          <w:rFonts w:ascii="Times New Roman" w:hAnsi="Times New Roman" w:cs="Times New Roman"/>
        </w:rPr>
        <w:t>Total current year assets reported under IFRS in first full-year IFRS financial statements.</w:t>
      </w:r>
    </w:p>
    <w:p w:rsidR="0008100B" w:rsidRPr="0012038C" w:rsidRDefault="0008100B" w:rsidP="0008100B">
      <w:pPr>
        <w:pStyle w:val="NoSpacing"/>
        <w:rPr>
          <w:rFonts w:ascii="Times New Roman" w:hAnsi="Times New Roman" w:cs="Times New Roman"/>
        </w:rPr>
      </w:pPr>
      <w:proofErr w:type="gramStart"/>
      <w:r w:rsidRPr="0012038C">
        <w:rPr>
          <w:rFonts w:ascii="Times New Roman" w:hAnsi="Times New Roman" w:cs="Times New Roman"/>
          <w:vertAlign w:val="superscript"/>
        </w:rPr>
        <w:t>b</w:t>
      </w:r>
      <w:proofErr w:type="gramEnd"/>
      <w:r w:rsidRPr="0012038C">
        <w:rPr>
          <w:rFonts w:ascii="Times New Roman" w:hAnsi="Times New Roman" w:cs="Times New Roman"/>
        </w:rPr>
        <w:t xml:space="preserve"> </w:t>
      </w:r>
      <w:r w:rsidR="008F3277" w:rsidRPr="0012038C">
        <w:rPr>
          <w:rFonts w:ascii="Times New Roman" w:hAnsi="Times New Roman" w:cs="Times New Roman"/>
        </w:rPr>
        <w:t>Total cost of IFRS adoption expressed as a ratio of audit fees for IFRS adoption year.</w:t>
      </w:r>
    </w:p>
    <w:p w:rsidR="008F3277" w:rsidRPr="0012038C" w:rsidRDefault="00B97F1B" w:rsidP="0008100B">
      <w:pPr>
        <w:pStyle w:val="NoSpacing"/>
        <w:rPr>
          <w:rFonts w:ascii="Times New Roman" w:hAnsi="Times New Roman" w:cs="Times New Roman"/>
        </w:rPr>
      </w:pPr>
      <w:r w:rsidRPr="0012038C">
        <w:rPr>
          <w:rFonts w:ascii="Times New Roman" w:hAnsi="Times New Roman" w:cs="Times New Roman"/>
          <w:vertAlign w:val="superscript"/>
        </w:rPr>
        <w:t>c</w:t>
      </w:r>
      <w:r w:rsidR="008F3277" w:rsidRPr="0012038C">
        <w:rPr>
          <w:rFonts w:ascii="Times New Roman" w:hAnsi="Times New Roman" w:cs="Times New Roman"/>
        </w:rPr>
        <w:t xml:space="preserve"> Maximum number of staff involved in IFRS implementation during period of implementation expressed as a ratio of the total number of persons involved in preparation of financial accounts (i.e., excludes persons involved in routine data capture/administration tasks)</w:t>
      </w:r>
    </w:p>
    <w:p w:rsidR="008F3277" w:rsidRPr="0012038C" w:rsidRDefault="00B97F1B" w:rsidP="0008100B">
      <w:pPr>
        <w:pStyle w:val="NoSpacing"/>
        <w:rPr>
          <w:rFonts w:ascii="Times New Roman" w:hAnsi="Times New Roman" w:cs="Times New Roman"/>
        </w:rPr>
      </w:pPr>
      <w:proofErr w:type="gramStart"/>
      <w:r w:rsidRPr="0012038C">
        <w:rPr>
          <w:rFonts w:ascii="Times New Roman" w:hAnsi="Times New Roman" w:cs="Times New Roman"/>
          <w:vertAlign w:val="superscript"/>
        </w:rPr>
        <w:t>d</w:t>
      </w:r>
      <w:proofErr w:type="gramEnd"/>
      <w:r w:rsidR="008F3277" w:rsidRPr="0012038C">
        <w:rPr>
          <w:rFonts w:ascii="Times New Roman" w:hAnsi="Times New Roman" w:cs="Times New Roman"/>
        </w:rPr>
        <w:t xml:space="preserve"> Number of months prior to date of transition to IFRS (i.e., start of first comparative period under IFRS) that </w:t>
      </w:r>
      <w:r w:rsidR="00565CB6" w:rsidRPr="0012038C">
        <w:rPr>
          <w:rFonts w:ascii="Times New Roman" w:hAnsi="Times New Roman" w:cs="Times New Roman"/>
        </w:rPr>
        <w:t>formal planning for implementation of IFRS began. Negative figures indicate that planning began after date of transition.</w:t>
      </w:r>
    </w:p>
    <w:p w:rsidR="00565CB6" w:rsidRPr="0012038C" w:rsidRDefault="00B97F1B" w:rsidP="0008100B">
      <w:pPr>
        <w:pStyle w:val="NoSpacing"/>
        <w:rPr>
          <w:rFonts w:ascii="Times New Roman" w:hAnsi="Times New Roman" w:cs="Times New Roman"/>
        </w:rPr>
      </w:pPr>
      <w:proofErr w:type="gramStart"/>
      <w:r w:rsidRPr="0012038C">
        <w:rPr>
          <w:rFonts w:ascii="Times New Roman" w:hAnsi="Times New Roman" w:cs="Times New Roman"/>
          <w:vertAlign w:val="superscript"/>
        </w:rPr>
        <w:t>e</w:t>
      </w:r>
      <w:proofErr w:type="gramEnd"/>
      <w:r w:rsidR="00565CB6" w:rsidRPr="0012038C">
        <w:rPr>
          <w:rFonts w:ascii="Times New Roman" w:hAnsi="Times New Roman" w:cs="Times New Roman"/>
        </w:rPr>
        <w:t xml:space="preserve"> Total person hours (as estimated by respondents) to implement IFRS scaled by</w:t>
      </w:r>
      <w:r w:rsidR="00F13E7F">
        <w:rPr>
          <w:rFonts w:ascii="Times New Roman" w:hAnsi="Times New Roman" w:cs="Times New Roman"/>
        </w:rPr>
        <w:t xml:space="preserve"> the</w:t>
      </w:r>
      <w:r w:rsidR="00565CB6" w:rsidRPr="0012038C">
        <w:rPr>
          <w:rFonts w:ascii="Times New Roman" w:hAnsi="Times New Roman" w:cs="Times New Roman"/>
        </w:rPr>
        <w:t xml:space="preserve"> audit fee in IFRS adoption year.</w:t>
      </w:r>
    </w:p>
    <w:p w:rsidR="00D35BB7" w:rsidRDefault="00D35BB7" w:rsidP="00BD6C8F">
      <w:pPr>
        <w:pStyle w:val="manuscript"/>
        <w:spacing w:line="240" w:lineRule="auto"/>
      </w:pPr>
    </w:p>
    <w:p w:rsidR="00477561" w:rsidRPr="00160EDA" w:rsidRDefault="00477561" w:rsidP="00BD6C8F">
      <w:pPr>
        <w:pStyle w:val="manuscript"/>
        <w:spacing w:line="240" w:lineRule="auto"/>
      </w:pPr>
    </w:p>
    <w:p w:rsidR="00EF017C" w:rsidRDefault="00EF017C" w:rsidP="002B6AD1">
      <w:pPr>
        <w:pStyle w:val="NoSpacing"/>
        <w:sectPr w:rsidR="00EF017C" w:rsidSect="00B53B2B">
          <w:endnotePr>
            <w:numFmt w:val="decimal"/>
          </w:endnotePr>
          <w:pgSz w:w="16838" w:h="11906" w:orient="landscape"/>
          <w:pgMar w:top="1440" w:right="1080" w:bottom="1440" w:left="1080" w:header="708" w:footer="708" w:gutter="0"/>
          <w:cols w:space="708"/>
          <w:docGrid w:linePitch="360"/>
        </w:sectPr>
      </w:pPr>
    </w:p>
    <w:p w:rsidR="00B760D8" w:rsidRPr="00160EDA" w:rsidRDefault="00B760D8" w:rsidP="002B6AD1">
      <w:pPr>
        <w:pStyle w:val="NoSpacing"/>
        <w:rPr>
          <w:spacing w:val="4"/>
        </w:rPr>
      </w:pPr>
    </w:p>
    <w:tbl>
      <w:tblPr>
        <w:tblW w:w="11123" w:type="dxa"/>
        <w:tblInd w:w="468" w:type="dxa"/>
        <w:tblLayout w:type="fixed"/>
        <w:tblLook w:val="04A0" w:firstRow="1" w:lastRow="0" w:firstColumn="1" w:lastColumn="0" w:noHBand="0" w:noVBand="1"/>
      </w:tblPr>
      <w:tblGrid>
        <w:gridCol w:w="2191"/>
        <w:gridCol w:w="1488"/>
        <w:gridCol w:w="1208"/>
        <w:gridCol w:w="281"/>
        <w:gridCol w:w="1418"/>
        <w:gridCol w:w="850"/>
        <w:gridCol w:w="709"/>
        <w:gridCol w:w="1489"/>
        <w:gridCol w:w="1489"/>
      </w:tblGrid>
      <w:tr w:rsidR="00B760D8" w:rsidRPr="00D53E18">
        <w:trPr>
          <w:trHeight w:val="170"/>
        </w:trPr>
        <w:tc>
          <w:tcPr>
            <w:tcW w:w="4887" w:type="dxa"/>
            <w:gridSpan w:val="3"/>
            <w:tcBorders>
              <w:top w:val="nil"/>
              <w:left w:val="nil"/>
              <w:bottom w:val="nil"/>
              <w:right w:val="nil"/>
            </w:tcBorders>
            <w:shd w:val="clear" w:color="auto" w:fill="auto"/>
            <w:noWrap/>
          </w:tcPr>
          <w:p w:rsidR="00B760D8" w:rsidRPr="00D032E6" w:rsidRDefault="00B760D8" w:rsidP="002B6AD1">
            <w:pPr>
              <w:pStyle w:val="NoSpacing"/>
              <w:rPr>
                <w:rFonts w:ascii="Times New Roman" w:hAnsi="Times New Roman" w:cs="Times New Roman"/>
              </w:rPr>
            </w:pPr>
            <w:r w:rsidRPr="00D032E6">
              <w:rPr>
                <w:rFonts w:ascii="Times New Roman" w:hAnsi="Times New Roman" w:cs="Times New Roman"/>
              </w:rPr>
              <w:t>Table 4</w:t>
            </w:r>
          </w:p>
        </w:tc>
        <w:tc>
          <w:tcPr>
            <w:tcW w:w="2549" w:type="dxa"/>
            <w:gridSpan w:val="3"/>
            <w:tcBorders>
              <w:top w:val="nil"/>
              <w:left w:val="nil"/>
              <w:bottom w:val="nil"/>
              <w:right w:val="nil"/>
            </w:tcBorders>
            <w:shd w:val="clear" w:color="auto" w:fill="auto"/>
            <w:noWrap/>
          </w:tcPr>
          <w:p w:rsidR="00B760D8" w:rsidRPr="00D53E18" w:rsidRDefault="00B760D8" w:rsidP="002B6AD1">
            <w:pPr>
              <w:pStyle w:val="NoSpacing"/>
              <w:rPr>
                <w:rFonts w:ascii="Times New Roman" w:hAnsi="Times New Roman" w:cs="Times New Roman"/>
              </w:rPr>
            </w:pPr>
          </w:p>
        </w:tc>
        <w:tc>
          <w:tcPr>
            <w:tcW w:w="3687" w:type="dxa"/>
            <w:gridSpan w:val="3"/>
            <w:tcBorders>
              <w:top w:val="nil"/>
              <w:left w:val="nil"/>
              <w:bottom w:val="nil"/>
              <w:right w:val="nil"/>
            </w:tcBorders>
            <w:shd w:val="clear" w:color="auto" w:fill="auto"/>
            <w:noWrap/>
          </w:tcPr>
          <w:p w:rsidR="00B760D8" w:rsidRPr="00D53E18" w:rsidRDefault="00B760D8" w:rsidP="002B6AD1">
            <w:pPr>
              <w:pStyle w:val="NoSpacing"/>
              <w:rPr>
                <w:rFonts w:ascii="Times New Roman" w:hAnsi="Times New Roman" w:cs="Times New Roman"/>
              </w:rPr>
            </w:pPr>
          </w:p>
        </w:tc>
      </w:tr>
      <w:tr w:rsidR="00B760D8" w:rsidRPr="00D53E18">
        <w:trPr>
          <w:trHeight w:val="170"/>
        </w:trPr>
        <w:tc>
          <w:tcPr>
            <w:tcW w:w="11123" w:type="dxa"/>
            <w:gridSpan w:val="9"/>
            <w:tcBorders>
              <w:top w:val="nil"/>
              <w:left w:val="nil"/>
              <w:bottom w:val="single" w:sz="4" w:space="0" w:color="auto"/>
              <w:right w:val="nil"/>
            </w:tcBorders>
            <w:shd w:val="clear" w:color="auto" w:fill="auto"/>
            <w:noWrap/>
          </w:tcPr>
          <w:p w:rsidR="00FA200C" w:rsidRPr="00D032E6" w:rsidRDefault="005B2F8C" w:rsidP="005B2F8C">
            <w:pPr>
              <w:pStyle w:val="NoSpacing"/>
              <w:rPr>
                <w:rFonts w:ascii="Times New Roman" w:hAnsi="Times New Roman" w:cs="Times New Roman"/>
              </w:rPr>
            </w:pPr>
            <w:r w:rsidRPr="00D032E6">
              <w:rPr>
                <w:rFonts w:ascii="Times New Roman" w:hAnsi="Times New Roman" w:cs="Times New Roman"/>
              </w:rPr>
              <w:t>Frequency</w:t>
            </w:r>
            <w:r w:rsidR="00B760D8" w:rsidRPr="00D032E6">
              <w:rPr>
                <w:rFonts w:ascii="Times New Roman" w:hAnsi="Times New Roman" w:cs="Times New Roman"/>
              </w:rPr>
              <w:t xml:space="preserve"> </w:t>
            </w:r>
            <w:r w:rsidR="00DB16F1" w:rsidRPr="00D032E6">
              <w:rPr>
                <w:rFonts w:ascii="Times New Roman" w:hAnsi="Times New Roman" w:cs="Times New Roman"/>
              </w:rPr>
              <w:t xml:space="preserve">counts </w:t>
            </w:r>
            <w:r w:rsidR="00B760D8" w:rsidRPr="00D032E6">
              <w:rPr>
                <w:rFonts w:ascii="Times New Roman" w:hAnsi="Times New Roman" w:cs="Times New Roman"/>
              </w:rPr>
              <w:t xml:space="preserve">of responses regarding </w:t>
            </w:r>
            <w:r w:rsidR="001C32E2" w:rsidRPr="00D032E6">
              <w:rPr>
                <w:rFonts w:ascii="Times New Roman" w:hAnsi="Times New Roman" w:cs="Times New Roman"/>
              </w:rPr>
              <w:t>the adoption of IFRS</w:t>
            </w:r>
            <w:r w:rsidRPr="00D032E6">
              <w:rPr>
                <w:rFonts w:ascii="Times New Roman" w:hAnsi="Times New Roman" w:cs="Times New Roman"/>
              </w:rPr>
              <w:t xml:space="preserve"> analysed by themes</w:t>
            </w:r>
            <w:r w:rsidR="003E7322" w:rsidRPr="00D032E6">
              <w:rPr>
                <w:rFonts w:ascii="Times New Roman" w:hAnsi="Times New Roman" w:cs="Times New Roman"/>
              </w:rPr>
              <w:t xml:space="preserve"> </w:t>
            </w:r>
          </w:p>
        </w:tc>
      </w:tr>
      <w:tr w:rsidR="00B760D8" w:rsidRPr="00D53E18">
        <w:trPr>
          <w:trHeight w:val="170"/>
        </w:trPr>
        <w:tc>
          <w:tcPr>
            <w:tcW w:w="2191" w:type="dxa"/>
            <w:tcBorders>
              <w:top w:val="nil"/>
              <w:left w:val="nil"/>
              <w:bottom w:val="nil"/>
              <w:right w:val="nil"/>
            </w:tcBorders>
            <w:shd w:val="clear" w:color="auto" w:fill="auto"/>
            <w:noWrap/>
          </w:tcPr>
          <w:p w:rsidR="00B760D8" w:rsidRPr="00D53E18" w:rsidRDefault="00B760D8" w:rsidP="002B6AD1">
            <w:pPr>
              <w:pStyle w:val="NoSpacing"/>
              <w:rPr>
                <w:rFonts w:ascii="Times New Roman" w:hAnsi="Times New Roman" w:cs="Times New Roman"/>
              </w:rPr>
            </w:pPr>
          </w:p>
        </w:tc>
        <w:tc>
          <w:tcPr>
            <w:tcW w:w="8932" w:type="dxa"/>
            <w:gridSpan w:val="8"/>
            <w:tcBorders>
              <w:top w:val="single" w:sz="4" w:space="0" w:color="auto"/>
              <w:left w:val="nil"/>
              <w:bottom w:val="nil"/>
              <w:right w:val="nil"/>
            </w:tcBorders>
            <w:shd w:val="clear" w:color="auto" w:fill="auto"/>
            <w:noWrap/>
          </w:tcPr>
          <w:p w:rsidR="00B760D8" w:rsidRPr="00D53E18" w:rsidRDefault="00B760D8" w:rsidP="005B2F8C">
            <w:pPr>
              <w:pStyle w:val="NoSpacing"/>
              <w:jc w:val="center"/>
              <w:rPr>
                <w:rFonts w:ascii="Times New Roman" w:hAnsi="Times New Roman" w:cs="Times New Roman"/>
              </w:rPr>
            </w:pPr>
          </w:p>
        </w:tc>
      </w:tr>
      <w:tr w:rsidR="00EA106D" w:rsidRPr="00D53E18">
        <w:trPr>
          <w:trHeight w:val="170"/>
        </w:trPr>
        <w:tc>
          <w:tcPr>
            <w:tcW w:w="2191" w:type="dxa"/>
            <w:tcBorders>
              <w:top w:val="nil"/>
              <w:left w:val="nil"/>
              <w:bottom w:val="nil"/>
              <w:right w:val="nil"/>
            </w:tcBorders>
            <w:shd w:val="clear" w:color="auto" w:fill="auto"/>
            <w:noWrap/>
          </w:tcPr>
          <w:p w:rsidR="00B760D8" w:rsidRPr="00D53E18" w:rsidRDefault="00B760D8" w:rsidP="002B6AD1">
            <w:pPr>
              <w:pStyle w:val="NoSpacing"/>
              <w:rPr>
                <w:rFonts w:ascii="Times New Roman" w:hAnsi="Times New Roman" w:cs="Times New Roman"/>
                <w:b/>
              </w:rPr>
            </w:pPr>
          </w:p>
        </w:tc>
        <w:tc>
          <w:tcPr>
            <w:tcW w:w="4395" w:type="dxa"/>
            <w:gridSpan w:val="4"/>
            <w:tcBorders>
              <w:top w:val="nil"/>
              <w:left w:val="nil"/>
              <w:bottom w:val="nil"/>
              <w:right w:val="nil"/>
            </w:tcBorders>
            <w:shd w:val="clear" w:color="auto" w:fill="auto"/>
            <w:noWrap/>
          </w:tcPr>
          <w:p w:rsidR="00B760D8" w:rsidRPr="00BB56F9" w:rsidRDefault="00906595" w:rsidP="001B5C59">
            <w:pPr>
              <w:pStyle w:val="NoSpacing"/>
              <w:jc w:val="center"/>
              <w:rPr>
                <w:rFonts w:ascii="Times New Roman" w:hAnsi="Times New Roman" w:cs="Times New Roman"/>
                <w:u w:val="single"/>
                <w:vertAlign w:val="superscript"/>
              </w:rPr>
            </w:pPr>
            <w:r w:rsidRPr="00BB56F9">
              <w:rPr>
                <w:rFonts w:ascii="Times New Roman" w:hAnsi="Times New Roman" w:cs="Times New Roman"/>
                <w:u w:val="single"/>
              </w:rPr>
              <w:t>Total</w:t>
            </w:r>
            <w:r w:rsidR="00DB16F1" w:rsidRPr="00BB56F9">
              <w:rPr>
                <w:rFonts w:ascii="Times New Roman" w:hAnsi="Times New Roman" w:cs="Times New Roman"/>
                <w:u w:val="single"/>
              </w:rPr>
              <w:t xml:space="preserve"> count</w:t>
            </w:r>
            <w:r w:rsidR="001B5C59">
              <w:rPr>
                <w:rFonts w:ascii="Times New Roman" w:hAnsi="Times New Roman" w:cs="Times New Roman"/>
                <w:u w:val="single"/>
              </w:rPr>
              <w:t xml:space="preserve"> </w:t>
            </w:r>
            <w:r w:rsidR="001B5C59" w:rsidRPr="001B5C59">
              <w:rPr>
                <w:rFonts w:ascii="Times New Roman" w:hAnsi="Times New Roman" w:cs="Times New Roman"/>
                <w:sz w:val="24"/>
                <w:szCs w:val="24"/>
                <w:u w:val="single"/>
                <w:vertAlign w:val="superscript"/>
              </w:rPr>
              <w:t>a</w:t>
            </w:r>
          </w:p>
        </w:tc>
        <w:tc>
          <w:tcPr>
            <w:tcW w:w="4537" w:type="dxa"/>
            <w:gridSpan w:val="4"/>
            <w:tcBorders>
              <w:top w:val="nil"/>
              <w:left w:val="nil"/>
              <w:bottom w:val="nil"/>
              <w:right w:val="nil"/>
            </w:tcBorders>
            <w:shd w:val="clear" w:color="auto" w:fill="auto"/>
            <w:noWrap/>
          </w:tcPr>
          <w:p w:rsidR="00FA200C" w:rsidRPr="00D53E18" w:rsidRDefault="005B2F8C" w:rsidP="00C461E0">
            <w:pPr>
              <w:pStyle w:val="NoSpacing"/>
              <w:jc w:val="center"/>
              <w:rPr>
                <w:rFonts w:ascii="Times New Roman" w:hAnsi="Times New Roman" w:cs="Times New Roman"/>
              </w:rPr>
            </w:pPr>
            <w:r w:rsidRPr="00BB56F9">
              <w:rPr>
                <w:rFonts w:ascii="Times New Roman" w:hAnsi="Times New Roman" w:cs="Times New Roman"/>
                <w:u w:val="single"/>
              </w:rPr>
              <w:t xml:space="preserve">One </w:t>
            </w:r>
            <w:r w:rsidR="00DB16F1" w:rsidRPr="00BB56F9">
              <w:rPr>
                <w:rFonts w:ascii="Times New Roman" w:hAnsi="Times New Roman" w:cs="Times New Roman"/>
                <w:u w:val="single"/>
              </w:rPr>
              <w:t xml:space="preserve">count </w:t>
            </w:r>
            <w:r w:rsidRPr="00BB56F9">
              <w:rPr>
                <w:rFonts w:ascii="Times New Roman" w:hAnsi="Times New Roman" w:cs="Times New Roman"/>
                <w:u w:val="single"/>
              </w:rPr>
              <w:t>p</w:t>
            </w:r>
            <w:r w:rsidR="00EA6132" w:rsidRPr="00BB56F9">
              <w:rPr>
                <w:rFonts w:ascii="Times New Roman" w:hAnsi="Times New Roman" w:cs="Times New Roman"/>
                <w:u w:val="single"/>
              </w:rPr>
              <w:t xml:space="preserve">er </w:t>
            </w:r>
            <w:r w:rsidRPr="00BB56F9">
              <w:rPr>
                <w:rFonts w:ascii="Times New Roman" w:hAnsi="Times New Roman" w:cs="Times New Roman"/>
                <w:u w:val="single"/>
              </w:rPr>
              <w:t>r</w:t>
            </w:r>
            <w:r w:rsidR="00906595" w:rsidRPr="00BB56F9">
              <w:rPr>
                <w:rFonts w:ascii="Times New Roman" w:hAnsi="Times New Roman" w:cs="Times New Roman"/>
                <w:u w:val="single"/>
              </w:rPr>
              <w:t>espondent</w:t>
            </w:r>
            <w:r w:rsidR="001B5C59">
              <w:rPr>
                <w:rFonts w:ascii="Times New Roman" w:hAnsi="Times New Roman" w:cs="Times New Roman"/>
                <w:u w:val="single"/>
              </w:rPr>
              <w:t xml:space="preserve"> </w:t>
            </w:r>
            <w:r w:rsidR="001B5C59">
              <w:rPr>
                <w:rFonts w:ascii="Times New Roman" w:hAnsi="Times New Roman" w:cs="Times New Roman"/>
                <w:u w:val="single"/>
                <w:vertAlign w:val="superscript"/>
              </w:rPr>
              <w:t>b</w:t>
            </w:r>
            <w:r w:rsidR="00906595" w:rsidRPr="00D53E18">
              <w:rPr>
                <w:rFonts w:ascii="Times New Roman" w:hAnsi="Times New Roman" w:cs="Times New Roman"/>
              </w:rPr>
              <w:t xml:space="preserve"> </w:t>
            </w:r>
          </w:p>
        </w:tc>
      </w:tr>
      <w:tr w:rsidR="00EF017C" w:rsidRPr="00D53E18">
        <w:trPr>
          <w:trHeight w:val="170"/>
        </w:trPr>
        <w:tc>
          <w:tcPr>
            <w:tcW w:w="2191" w:type="dxa"/>
            <w:tcBorders>
              <w:top w:val="nil"/>
              <w:left w:val="nil"/>
              <w:bottom w:val="single" w:sz="4" w:space="0" w:color="auto"/>
              <w:right w:val="nil"/>
            </w:tcBorders>
            <w:shd w:val="clear" w:color="auto" w:fill="auto"/>
            <w:noWrap/>
          </w:tcPr>
          <w:p w:rsidR="00CA18E9" w:rsidRDefault="00CA18E9" w:rsidP="003F11F7">
            <w:pPr>
              <w:pStyle w:val="NoSpacing"/>
              <w:rPr>
                <w:rFonts w:ascii="Times New Roman" w:hAnsi="Times New Roman" w:cs="Times New Roman"/>
              </w:rPr>
            </w:pPr>
          </w:p>
          <w:p w:rsidR="00EF017C" w:rsidRPr="00D53E18" w:rsidRDefault="00EF017C" w:rsidP="003F11F7">
            <w:pPr>
              <w:pStyle w:val="NoSpacing"/>
              <w:rPr>
                <w:rFonts w:ascii="Times New Roman" w:hAnsi="Times New Roman" w:cs="Times New Roman"/>
              </w:rPr>
            </w:pPr>
            <w:r w:rsidRPr="00D53E18">
              <w:rPr>
                <w:rFonts w:ascii="Times New Roman" w:hAnsi="Times New Roman" w:cs="Times New Roman"/>
              </w:rPr>
              <w:t>Theme</w:t>
            </w:r>
          </w:p>
        </w:tc>
        <w:tc>
          <w:tcPr>
            <w:tcW w:w="1488" w:type="dxa"/>
            <w:tcBorders>
              <w:top w:val="nil"/>
              <w:left w:val="nil"/>
              <w:bottom w:val="single" w:sz="4" w:space="0" w:color="auto"/>
              <w:right w:val="nil"/>
            </w:tcBorders>
            <w:shd w:val="clear" w:color="auto" w:fill="auto"/>
            <w:noWrap/>
            <w:vAlign w:val="bottom"/>
          </w:tcPr>
          <w:p w:rsidR="00FA200C" w:rsidRPr="00D53E18" w:rsidRDefault="002E55B8" w:rsidP="0054404D">
            <w:pPr>
              <w:pStyle w:val="NoSpacing"/>
              <w:jc w:val="center"/>
              <w:rPr>
                <w:rFonts w:ascii="Times New Roman" w:hAnsi="Times New Roman" w:cs="Times New Roman"/>
              </w:rPr>
            </w:pPr>
            <w:r>
              <w:rPr>
                <w:rFonts w:ascii="Times New Roman" w:hAnsi="Times New Roman" w:cs="Times New Roman"/>
              </w:rPr>
              <w:t>Early</w:t>
            </w:r>
            <w:r w:rsidR="005B2F8C" w:rsidRPr="00D53E18">
              <w:rPr>
                <w:rFonts w:ascii="Times New Roman" w:hAnsi="Times New Roman" w:cs="Times New Roman"/>
              </w:rPr>
              <w:t xml:space="preserve"> a</w:t>
            </w:r>
            <w:r w:rsidR="00EF017C" w:rsidRPr="00D53E18">
              <w:rPr>
                <w:rFonts w:ascii="Times New Roman" w:hAnsi="Times New Roman" w:cs="Times New Roman"/>
              </w:rPr>
              <w:t>dopters</w:t>
            </w:r>
          </w:p>
        </w:tc>
        <w:tc>
          <w:tcPr>
            <w:tcW w:w="1489" w:type="dxa"/>
            <w:gridSpan w:val="2"/>
            <w:tcBorders>
              <w:top w:val="nil"/>
              <w:left w:val="nil"/>
              <w:bottom w:val="single" w:sz="4" w:space="0" w:color="auto"/>
              <w:right w:val="nil"/>
            </w:tcBorders>
            <w:vAlign w:val="bottom"/>
          </w:tcPr>
          <w:p w:rsidR="00FA200C" w:rsidRPr="00D53E18" w:rsidRDefault="00595A7C" w:rsidP="0054404D">
            <w:pPr>
              <w:pStyle w:val="NoSpacing"/>
              <w:jc w:val="center"/>
              <w:rPr>
                <w:rFonts w:ascii="Times New Roman" w:hAnsi="Times New Roman" w:cs="Times New Roman"/>
              </w:rPr>
            </w:pPr>
            <w:r>
              <w:rPr>
                <w:rFonts w:ascii="Times New Roman" w:hAnsi="Times New Roman" w:cs="Times New Roman"/>
              </w:rPr>
              <w:t>Late</w:t>
            </w:r>
          </w:p>
          <w:p w:rsidR="00FA200C" w:rsidRPr="00D53E18" w:rsidRDefault="005B2F8C" w:rsidP="0054404D">
            <w:pPr>
              <w:pStyle w:val="NoSpacing"/>
              <w:jc w:val="center"/>
              <w:rPr>
                <w:rFonts w:ascii="Times New Roman" w:hAnsi="Times New Roman" w:cs="Times New Roman"/>
                <w:vertAlign w:val="superscript"/>
              </w:rPr>
            </w:pPr>
            <w:r w:rsidRPr="00D53E18">
              <w:rPr>
                <w:rFonts w:ascii="Times New Roman" w:hAnsi="Times New Roman" w:cs="Times New Roman"/>
              </w:rPr>
              <w:t>a</w:t>
            </w:r>
            <w:r w:rsidR="00EF017C" w:rsidRPr="00D53E18">
              <w:rPr>
                <w:rFonts w:ascii="Times New Roman" w:hAnsi="Times New Roman" w:cs="Times New Roman"/>
              </w:rPr>
              <w:t>dopters</w:t>
            </w:r>
          </w:p>
        </w:tc>
        <w:tc>
          <w:tcPr>
            <w:tcW w:w="1418" w:type="dxa"/>
            <w:tcBorders>
              <w:top w:val="nil"/>
              <w:left w:val="nil"/>
              <w:bottom w:val="single" w:sz="4" w:space="0" w:color="auto"/>
              <w:right w:val="nil"/>
            </w:tcBorders>
            <w:shd w:val="clear" w:color="auto" w:fill="auto"/>
            <w:noWrap/>
            <w:vAlign w:val="bottom"/>
          </w:tcPr>
          <w:p w:rsidR="00FA200C" w:rsidRPr="00D53E18" w:rsidRDefault="00EF017C" w:rsidP="0054404D">
            <w:pPr>
              <w:pStyle w:val="NoSpacing"/>
              <w:jc w:val="center"/>
              <w:rPr>
                <w:rFonts w:ascii="Times New Roman" w:hAnsi="Times New Roman" w:cs="Times New Roman"/>
              </w:rPr>
            </w:pPr>
            <w:r w:rsidRPr="00D53E18">
              <w:rPr>
                <w:rFonts w:ascii="Times New Roman" w:hAnsi="Times New Roman" w:cs="Times New Roman"/>
              </w:rPr>
              <w:t>Chi-square</w:t>
            </w:r>
          </w:p>
          <w:p w:rsidR="00FA200C" w:rsidRPr="00D53E18" w:rsidRDefault="00EF017C" w:rsidP="0054404D">
            <w:pPr>
              <w:pStyle w:val="NoSpacing"/>
              <w:jc w:val="center"/>
              <w:rPr>
                <w:rFonts w:ascii="Times New Roman" w:hAnsi="Times New Roman" w:cs="Times New Roman"/>
              </w:rPr>
            </w:pPr>
            <w:r w:rsidRPr="00D53E18">
              <w:rPr>
                <w:rFonts w:ascii="Times New Roman" w:hAnsi="Times New Roman" w:cs="Times New Roman"/>
              </w:rPr>
              <w:t>(p-value)</w:t>
            </w:r>
          </w:p>
        </w:tc>
        <w:tc>
          <w:tcPr>
            <w:tcW w:w="1559" w:type="dxa"/>
            <w:gridSpan w:val="2"/>
            <w:tcBorders>
              <w:top w:val="nil"/>
              <w:left w:val="nil"/>
              <w:bottom w:val="single" w:sz="4" w:space="0" w:color="auto"/>
              <w:right w:val="nil"/>
            </w:tcBorders>
            <w:vAlign w:val="bottom"/>
          </w:tcPr>
          <w:p w:rsidR="00FA200C" w:rsidRPr="00D53E18" w:rsidRDefault="002E55B8" w:rsidP="0054404D">
            <w:pPr>
              <w:pStyle w:val="NoSpacing"/>
              <w:jc w:val="center"/>
              <w:rPr>
                <w:rFonts w:ascii="Times New Roman" w:hAnsi="Times New Roman" w:cs="Times New Roman"/>
              </w:rPr>
            </w:pPr>
            <w:r>
              <w:rPr>
                <w:rFonts w:ascii="Times New Roman" w:hAnsi="Times New Roman" w:cs="Times New Roman"/>
              </w:rPr>
              <w:t>Early</w:t>
            </w:r>
          </w:p>
          <w:p w:rsidR="00FA200C" w:rsidRPr="00D53E18" w:rsidRDefault="005B2F8C" w:rsidP="0054404D">
            <w:pPr>
              <w:pStyle w:val="NoSpacing"/>
              <w:jc w:val="center"/>
              <w:rPr>
                <w:rFonts w:ascii="Times New Roman" w:hAnsi="Times New Roman" w:cs="Times New Roman"/>
              </w:rPr>
            </w:pPr>
            <w:r w:rsidRPr="00D53E18">
              <w:rPr>
                <w:rFonts w:ascii="Times New Roman" w:hAnsi="Times New Roman" w:cs="Times New Roman"/>
              </w:rPr>
              <w:t>a</w:t>
            </w:r>
            <w:r w:rsidR="00EF017C" w:rsidRPr="00D53E18">
              <w:rPr>
                <w:rFonts w:ascii="Times New Roman" w:hAnsi="Times New Roman" w:cs="Times New Roman"/>
              </w:rPr>
              <w:t>dopters</w:t>
            </w:r>
            <w:r w:rsidR="00C461E0">
              <w:rPr>
                <w:rFonts w:ascii="Times New Roman" w:hAnsi="Times New Roman" w:cs="Times New Roman"/>
              </w:rPr>
              <w:t xml:space="preserve"> </w:t>
            </w:r>
            <w:r w:rsidR="00C461E0" w:rsidRPr="00C461E0">
              <w:rPr>
                <w:rFonts w:ascii="Times New Roman" w:hAnsi="Times New Roman" w:cs="Times New Roman"/>
                <w:vertAlign w:val="superscript"/>
              </w:rPr>
              <w:t>c</w:t>
            </w:r>
          </w:p>
        </w:tc>
        <w:tc>
          <w:tcPr>
            <w:tcW w:w="1489" w:type="dxa"/>
            <w:tcBorders>
              <w:top w:val="nil"/>
              <w:left w:val="nil"/>
              <w:bottom w:val="single" w:sz="4" w:space="0" w:color="auto"/>
              <w:right w:val="nil"/>
            </w:tcBorders>
            <w:vAlign w:val="bottom"/>
          </w:tcPr>
          <w:p w:rsidR="00FA200C" w:rsidRPr="00D53E18" w:rsidRDefault="00595A7C" w:rsidP="0054404D">
            <w:pPr>
              <w:pStyle w:val="NoSpacing"/>
              <w:jc w:val="center"/>
              <w:rPr>
                <w:rFonts w:ascii="Times New Roman" w:hAnsi="Times New Roman" w:cs="Times New Roman"/>
              </w:rPr>
            </w:pPr>
            <w:r>
              <w:rPr>
                <w:rFonts w:ascii="Times New Roman" w:hAnsi="Times New Roman" w:cs="Times New Roman"/>
              </w:rPr>
              <w:t>Late</w:t>
            </w:r>
          </w:p>
          <w:p w:rsidR="00FA200C" w:rsidRPr="00D53E18" w:rsidRDefault="005B2F8C" w:rsidP="0054404D">
            <w:pPr>
              <w:pStyle w:val="NoSpacing"/>
              <w:jc w:val="center"/>
              <w:rPr>
                <w:rFonts w:ascii="Times New Roman" w:hAnsi="Times New Roman" w:cs="Times New Roman"/>
                <w:vertAlign w:val="superscript"/>
              </w:rPr>
            </w:pPr>
            <w:r w:rsidRPr="00D53E18">
              <w:rPr>
                <w:rFonts w:ascii="Times New Roman" w:hAnsi="Times New Roman" w:cs="Times New Roman"/>
              </w:rPr>
              <w:t>a</w:t>
            </w:r>
            <w:r w:rsidR="00EF017C" w:rsidRPr="00D53E18">
              <w:rPr>
                <w:rFonts w:ascii="Times New Roman" w:hAnsi="Times New Roman" w:cs="Times New Roman"/>
              </w:rPr>
              <w:t>dopters</w:t>
            </w:r>
            <w:r w:rsidR="00C461E0">
              <w:rPr>
                <w:rFonts w:ascii="Times New Roman" w:hAnsi="Times New Roman" w:cs="Times New Roman"/>
              </w:rPr>
              <w:t xml:space="preserve"> </w:t>
            </w:r>
            <w:r w:rsidR="00C461E0" w:rsidRPr="00C461E0">
              <w:rPr>
                <w:rFonts w:ascii="Times New Roman" w:hAnsi="Times New Roman" w:cs="Times New Roman"/>
                <w:vertAlign w:val="superscript"/>
              </w:rPr>
              <w:t>c</w:t>
            </w:r>
          </w:p>
        </w:tc>
        <w:tc>
          <w:tcPr>
            <w:tcW w:w="1489" w:type="dxa"/>
            <w:tcBorders>
              <w:top w:val="nil"/>
              <w:left w:val="nil"/>
              <w:bottom w:val="single" w:sz="4" w:space="0" w:color="auto"/>
              <w:right w:val="nil"/>
            </w:tcBorders>
            <w:vAlign w:val="bottom"/>
          </w:tcPr>
          <w:p w:rsidR="00FA200C" w:rsidRPr="00D53E18" w:rsidRDefault="00EF017C" w:rsidP="0054404D">
            <w:pPr>
              <w:pStyle w:val="NoSpacing"/>
              <w:jc w:val="center"/>
              <w:rPr>
                <w:rFonts w:ascii="Times New Roman" w:hAnsi="Times New Roman" w:cs="Times New Roman"/>
              </w:rPr>
            </w:pPr>
            <w:r w:rsidRPr="00D53E18">
              <w:rPr>
                <w:rFonts w:ascii="Times New Roman" w:hAnsi="Times New Roman" w:cs="Times New Roman"/>
              </w:rPr>
              <w:t>Chi-square</w:t>
            </w:r>
          </w:p>
          <w:p w:rsidR="00FA200C" w:rsidRPr="00D53E18" w:rsidRDefault="00EF017C" w:rsidP="0054404D">
            <w:pPr>
              <w:pStyle w:val="NoSpacing"/>
              <w:jc w:val="center"/>
              <w:rPr>
                <w:rFonts w:ascii="Times New Roman" w:hAnsi="Times New Roman" w:cs="Times New Roman"/>
              </w:rPr>
            </w:pPr>
            <w:r w:rsidRPr="00D53E18">
              <w:rPr>
                <w:rFonts w:ascii="Times New Roman" w:hAnsi="Times New Roman" w:cs="Times New Roman"/>
              </w:rPr>
              <w:t>(p-value)</w:t>
            </w:r>
          </w:p>
        </w:tc>
      </w:tr>
      <w:tr w:rsidR="00EF017C" w:rsidRPr="00D53E18">
        <w:trPr>
          <w:trHeight w:val="170"/>
        </w:trPr>
        <w:tc>
          <w:tcPr>
            <w:tcW w:w="2191" w:type="dxa"/>
            <w:tcBorders>
              <w:top w:val="single" w:sz="4" w:space="0" w:color="auto"/>
              <w:left w:val="nil"/>
              <w:bottom w:val="nil"/>
              <w:right w:val="nil"/>
            </w:tcBorders>
            <w:shd w:val="clear" w:color="auto" w:fill="E6E6E6"/>
            <w:noWrap/>
          </w:tcPr>
          <w:p w:rsidR="00EF017C" w:rsidRPr="00D53E18" w:rsidRDefault="00EF017C" w:rsidP="002B6AD1">
            <w:pPr>
              <w:pStyle w:val="NoSpacing"/>
              <w:rPr>
                <w:rFonts w:ascii="Times New Roman" w:hAnsi="Times New Roman" w:cs="Times New Roman"/>
                <w:i/>
              </w:rPr>
            </w:pPr>
            <w:r w:rsidRPr="00D53E18">
              <w:rPr>
                <w:rFonts w:ascii="Times New Roman" w:hAnsi="Times New Roman" w:cs="Times New Roman"/>
                <w:i/>
              </w:rPr>
              <w:t>Importance</w:t>
            </w:r>
          </w:p>
        </w:tc>
        <w:tc>
          <w:tcPr>
            <w:tcW w:w="1488" w:type="dxa"/>
            <w:tcBorders>
              <w:top w:val="single" w:sz="4" w:space="0" w:color="auto"/>
              <w:left w:val="nil"/>
              <w:bottom w:val="nil"/>
              <w:right w:val="nil"/>
            </w:tcBorders>
            <w:shd w:val="clear" w:color="auto" w:fill="E6E6E6"/>
            <w:noWrap/>
          </w:tcPr>
          <w:p w:rsidR="00EF017C" w:rsidRPr="00D53E18" w:rsidRDefault="00EF017C" w:rsidP="002B6AD1">
            <w:pPr>
              <w:pStyle w:val="NoSpacing"/>
              <w:jc w:val="right"/>
              <w:rPr>
                <w:rFonts w:ascii="Times New Roman" w:hAnsi="Times New Roman" w:cs="Times New Roman"/>
              </w:rPr>
            </w:pPr>
          </w:p>
        </w:tc>
        <w:tc>
          <w:tcPr>
            <w:tcW w:w="1489" w:type="dxa"/>
            <w:gridSpan w:val="2"/>
            <w:tcBorders>
              <w:top w:val="single" w:sz="4" w:space="0" w:color="auto"/>
              <w:left w:val="nil"/>
              <w:bottom w:val="nil"/>
              <w:right w:val="nil"/>
            </w:tcBorders>
            <w:shd w:val="clear" w:color="auto" w:fill="E6E6E6"/>
          </w:tcPr>
          <w:p w:rsidR="00EF017C" w:rsidRPr="00D53E18" w:rsidRDefault="00EF017C" w:rsidP="003F11F7">
            <w:pPr>
              <w:pStyle w:val="NoSpacing"/>
              <w:jc w:val="right"/>
              <w:rPr>
                <w:rFonts w:ascii="Times New Roman" w:hAnsi="Times New Roman" w:cs="Times New Roman"/>
              </w:rPr>
            </w:pPr>
          </w:p>
        </w:tc>
        <w:tc>
          <w:tcPr>
            <w:tcW w:w="1418" w:type="dxa"/>
            <w:tcBorders>
              <w:top w:val="single" w:sz="4" w:space="0" w:color="auto"/>
              <w:left w:val="nil"/>
              <w:bottom w:val="nil"/>
              <w:right w:val="nil"/>
            </w:tcBorders>
            <w:shd w:val="clear" w:color="auto" w:fill="E6E6E6"/>
            <w:noWrap/>
          </w:tcPr>
          <w:p w:rsidR="00EF017C" w:rsidRPr="00D53E18" w:rsidRDefault="00EF017C" w:rsidP="003F11F7">
            <w:pPr>
              <w:pStyle w:val="NoSpacing"/>
              <w:jc w:val="right"/>
              <w:rPr>
                <w:rFonts w:ascii="Times New Roman" w:hAnsi="Times New Roman" w:cs="Times New Roman"/>
              </w:rPr>
            </w:pPr>
          </w:p>
        </w:tc>
        <w:tc>
          <w:tcPr>
            <w:tcW w:w="1559" w:type="dxa"/>
            <w:gridSpan w:val="2"/>
            <w:tcBorders>
              <w:top w:val="single" w:sz="4" w:space="0" w:color="auto"/>
              <w:left w:val="nil"/>
              <w:bottom w:val="nil"/>
              <w:right w:val="nil"/>
            </w:tcBorders>
            <w:shd w:val="clear" w:color="auto" w:fill="E6E6E6"/>
          </w:tcPr>
          <w:p w:rsidR="00EF017C" w:rsidRPr="00D53E18" w:rsidRDefault="00EF017C" w:rsidP="003C4347">
            <w:pPr>
              <w:pStyle w:val="NoSpacing"/>
              <w:jc w:val="right"/>
              <w:rPr>
                <w:rFonts w:ascii="Times New Roman" w:hAnsi="Times New Roman" w:cs="Times New Roman"/>
              </w:rPr>
            </w:pPr>
          </w:p>
        </w:tc>
        <w:tc>
          <w:tcPr>
            <w:tcW w:w="1489" w:type="dxa"/>
            <w:tcBorders>
              <w:top w:val="single" w:sz="4" w:space="0" w:color="auto"/>
              <w:left w:val="nil"/>
              <w:bottom w:val="nil"/>
              <w:right w:val="nil"/>
            </w:tcBorders>
            <w:shd w:val="clear" w:color="auto" w:fill="E6E6E6"/>
          </w:tcPr>
          <w:p w:rsidR="00EF017C" w:rsidRPr="00D53E18" w:rsidRDefault="00EF017C" w:rsidP="002B6AD1">
            <w:pPr>
              <w:pStyle w:val="NoSpacing"/>
              <w:jc w:val="right"/>
              <w:rPr>
                <w:rFonts w:ascii="Times New Roman" w:hAnsi="Times New Roman" w:cs="Times New Roman"/>
              </w:rPr>
            </w:pPr>
          </w:p>
        </w:tc>
        <w:tc>
          <w:tcPr>
            <w:tcW w:w="1489" w:type="dxa"/>
            <w:tcBorders>
              <w:top w:val="single" w:sz="4" w:space="0" w:color="auto"/>
              <w:left w:val="nil"/>
              <w:bottom w:val="nil"/>
              <w:right w:val="nil"/>
            </w:tcBorders>
            <w:shd w:val="clear" w:color="auto" w:fill="E6E6E6"/>
          </w:tcPr>
          <w:p w:rsidR="00EF017C" w:rsidRPr="00D53E18" w:rsidRDefault="00EF017C" w:rsidP="002B6AD1">
            <w:pPr>
              <w:pStyle w:val="NoSpacing"/>
              <w:jc w:val="right"/>
              <w:rPr>
                <w:rFonts w:ascii="Times New Roman" w:hAnsi="Times New Roman" w:cs="Times New Roman"/>
              </w:rPr>
            </w:pPr>
          </w:p>
        </w:tc>
      </w:tr>
      <w:tr w:rsidR="00AD3D03" w:rsidRPr="00D53E18">
        <w:trPr>
          <w:trHeight w:val="170"/>
        </w:trPr>
        <w:tc>
          <w:tcPr>
            <w:tcW w:w="2191" w:type="dxa"/>
            <w:tcBorders>
              <w:top w:val="nil"/>
              <w:left w:val="nil"/>
              <w:bottom w:val="nil"/>
              <w:right w:val="nil"/>
            </w:tcBorders>
            <w:shd w:val="clear" w:color="auto" w:fill="E6E6E6"/>
            <w:noWrap/>
          </w:tcPr>
          <w:p w:rsidR="00AD3D03" w:rsidRPr="00D53E18" w:rsidRDefault="00AD3D03" w:rsidP="002B6AD1">
            <w:pPr>
              <w:pStyle w:val="NoSpacing"/>
              <w:rPr>
                <w:rFonts w:ascii="Times New Roman" w:hAnsi="Times New Roman" w:cs="Times New Roman"/>
              </w:rPr>
            </w:pPr>
            <w:r w:rsidRPr="00D53E18">
              <w:rPr>
                <w:rFonts w:ascii="Times New Roman" w:hAnsi="Times New Roman" w:cs="Times New Roman"/>
              </w:rPr>
              <w:t>High</w:t>
            </w:r>
          </w:p>
        </w:tc>
        <w:tc>
          <w:tcPr>
            <w:tcW w:w="1488" w:type="dxa"/>
            <w:tcBorders>
              <w:top w:val="nil"/>
              <w:left w:val="nil"/>
              <w:bottom w:val="nil"/>
              <w:right w:val="nil"/>
            </w:tcBorders>
            <w:shd w:val="clear" w:color="auto" w:fill="E6E6E6"/>
            <w:noWrap/>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3</w:t>
            </w:r>
          </w:p>
        </w:tc>
        <w:tc>
          <w:tcPr>
            <w:tcW w:w="1489" w:type="dxa"/>
            <w:gridSpan w:val="2"/>
            <w:tcBorders>
              <w:top w:val="nil"/>
              <w:left w:val="nil"/>
              <w:bottom w:val="nil"/>
              <w:right w:val="nil"/>
            </w:tcBorders>
            <w:shd w:val="clear" w:color="auto" w:fill="E6E6E6"/>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1</w:t>
            </w:r>
          </w:p>
        </w:tc>
        <w:tc>
          <w:tcPr>
            <w:tcW w:w="1418" w:type="dxa"/>
            <w:tcBorders>
              <w:top w:val="nil"/>
              <w:left w:val="nil"/>
              <w:bottom w:val="nil"/>
              <w:right w:val="nil"/>
            </w:tcBorders>
            <w:shd w:val="clear" w:color="auto" w:fill="E6E6E6"/>
            <w:noWrap/>
          </w:tcPr>
          <w:p w:rsidR="00AD3D03" w:rsidRPr="00D53E18" w:rsidRDefault="00DB16F1" w:rsidP="004575A0">
            <w:pPr>
              <w:pStyle w:val="NoSpacing"/>
              <w:jc w:val="center"/>
              <w:rPr>
                <w:rFonts w:ascii="Times New Roman" w:hAnsi="Times New Roman" w:cs="Times New Roman"/>
              </w:rPr>
            </w:pPr>
            <w:r>
              <w:rPr>
                <w:rFonts w:ascii="Times New Roman" w:hAnsi="Times New Roman" w:cs="Times New Roman"/>
              </w:rPr>
              <w:t>1.21</w:t>
            </w:r>
          </w:p>
        </w:tc>
        <w:tc>
          <w:tcPr>
            <w:tcW w:w="1559" w:type="dxa"/>
            <w:gridSpan w:val="2"/>
            <w:tcBorders>
              <w:top w:val="nil"/>
              <w:left w:val="nil"/>
              <w:bottom w:val="nil"/>
              <w:right w:val="nil"/>
            </w:tcBorders>
            <w:shd w:val="clear" w:color="auto" w:fill="E6E6E6"/>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3</w:t>
            </w:r>
          </w:p>
        </w:tc>
        <w:tc>
          <w:tcPr>
            <w:tcW w:w="1489" w:type="dxa"/>
            <w:tcBorders>
              <w:top w:val="nil"/>
              <w:left w:val="nil"/>
              <w:bottom w:val="nil"/>
              <w:right w:val="nil"/>
            </w:tcBorders>
            <w:shd w:val="clear" w:color="auto" w:fill="E6E6E6"/>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1</w:t>
            </w:r>
          </w:p>
        </w:tc>
        <w:tc>
          <w:tcPr>
            <w:tcW w:w="1489" w:type="dxa"/>
            <w:tcBorders>
              <w:top w:val="nil"/>
              <w:left w:val="nil"/>
              <w:bottom w:val="nil"/>
              <w:right w:val="nil"/>
            </w:tcBorders>
            <w:shd w:val="clear" w:color="auto" w:fill="E6E6E6"/>
          </w:tcPr>
          <w:p w:rsidR="00AD3D03" w:rsidRPr="00D53E18" w:rsidRDefault="00DB16F1" w:rsidP="004575A0">
            <w:pPr>
              <w:pStyle w:val="NoSpacing"/>
              <w:jc w:val="center"/>
              <w:rPr>
                <w:rFonts w:ascii="Times New Roman" w:hAnsi="Times New Roman" w:cs="Times New Roman"/>
              </w:rPr>
            </w:pPr>
            <w:r>
              <w:rPr>
                <w:rFonts w:ascii="Times New Roman" w:hAnsi="Times New Roman" w:cs="Times New Roman"/>
              </w:rPr>
              <w:t>1.22</w:t>
            </w:r>
          </w:p>
        </w:tc>
      </w:tr>
      <w:tr w:rsidR="00AD3D03" w:rsidRPr="00D53E18">
        <w:trPr>
          <w:trHeight w:val="170"/>
        </w:trPr>
        <w:tc>
          <w:tcPr>
            <w:tcW w:w="2191" w:type="dxa"/>
            <w:tcBorders>
              <w:top w:val="nil"/>
              <w:left w:val="nil"/>
              <w:bottom w:val="nil"/>
              <w:right w:val="nil"/>
            </w:tcBorders>
            <w:shd w:val="clear" w:color="auto" w:fill="E6E6E6"/>
            <w:noWrap/>
          </w:tcPr>
          <w:p w:rsidR="00AD3D03" w:rsidRPr="00D53E18" w:rsidRDefault="00AD3D03" w:rsidP="002B6AD1">
            <w:pPr>
              <w:pStyle w:val="NoSpacing"/>
              <w:rPr>
                <w:rFonts w:ascii="Times New Roman" w:hAnsi="Times New Roman" w:cs="Times New Roman"/>
              </w:rPr>
            </w:pPr>
            <w:r w:rsidRPr="00D53E18">
              <w:rPr>
                <w:rFonts w:ascii="Times New Roman" w:hAnsi="Times New Roman" w:cs="Times New Roman"/>
              </w:rPr>
              <w:t>Low</w:t>
            </w:r>
          </w:p>
        </w:tc>
        <w:tc>
          <w:tcPr>
            <w:tcW w:w="1488" w:type="dxa"/>
            <w:tcBorders>
              <w:top w:val="nil"/>
              <w:left w:val="nil"/>
              <w:bottom w:val="nil"/>
              <w:right w:val="nil"/>
            </w:tcBorders>
            <w:shd w:val="clear" w:color="auto" w:fill="E6E6E6"/>
            <w:noWrap/>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1</w:t>
            </w:r>
          </w:p>
        </w:tc>
        <w:tc>
          <w:tcPr>
            <w:tcW w:w="1489" w:type="dxa"/>
            <w:gridSpan w:val="2"/>
            <w:tcBorders>
              <w:top w:val="nil"/>
              <w:left w:val="nil"/>
              <w:bottom w:val="nil"/>
              <w:right w:val="nil"/>
            </w:tcBorders>
            <w:shd w:val="clear" w:color="auto" w:fill="E6E6E6"/>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2</w:t>
            </w:r>
          </w:p>
        </w:tc>
        <w:tc>
          <w:tcPr>
            <w:tcW w:w="1418" w:type="dxa"/>
            <w:tcBorders>
              <w:top w:val="nil"/>
              <w:left w:val="nil"/>
              <w:bottom w:val="nil"/>
              <w:right w:val="nil"/>
            </w:tcBorders>
            <w:shd w:val="clear" w:color="auto" w:fill="E6E6E6"/>
            <w:noWrap/>
          </w:tcPr>
          <w:p w:rsidR="00AD3D03" w:rsidRPr="00D53E18" w:rsidRDefault="00DB16F1" w:rsidP="004575A0">
            <w:pPr>
              <w:pStyle w:val="NoSpacing"/>
              <w:jc w:val="center"/>
              <w:rPr>
                <w:rFonts w:ascii="Times New Roman" w:hAnsi="Times New Roman" w:cs="Times New Roman"/>
              </w:rPr>
            </w:pPr>
            <w:r>
              <w:rPr>
                <w:rFonts w:ascii="Times New Roman" w:hAnsi="Times New Roman" w:cs="Times New Roman"/>
              </w:rPr>
              <w:t>(0.27</w:t>
            </w:r>
            <w:r w:rsidR="00AD3D03" w:rsidRPr="00D53E18">
              <w:rPr>
                <w:rFonts w:ascii="Times New Roman" w:hAnsi="Times New Roman" w:cs="Times New Roman"/>
              </w:rPr>
              <w:t>)</w:t>
            </w:r>
          </w:p>
        </w:tc>
        <w:tc>
          <w:tcPr>
            <w:tcW w:w="1559" w:type="dxa"/>
            <w:gridSpan w:val="2"/>
            <w:tcBorders>
              <w:top w:val="nil"/>
              <w:left w:val="nil"/>
              <w:bottom w:val="nil"/>
              <w:right w:val="nil"/>
            </w:tcBorders>
            <w:shd w:val="clear" w:color="auto" w:fill="E6E6E6"/>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1</w:t>
            </w:r>
          </w:p>
        </w:tc>
        <w:tc>
          <w:tcPr>
            <w:tcW w:w="1489" w:type="dxa"/>
            <w:tcBorders>
              <w:top w:val="nil"/>
              <w:left w:val="nil"/>
              <w:bottom w:val="nil"/>
              <w:right w:val="nil"/>
            </w:tcBorders>
            <w:shd w:val="clear" w:color="auto" w:fill="E6E6E6"/>
          </w:tcPr>
          <w:p w:rsidR="00AD3D03" w:rsidRPr="00D53E18" w:rsidRDefault="00AD3D03" w:rsidP="004575A0">
            <w:pPr>
              <w:pStyle w:val="NoSpacing"/>
              <w:jc w:val="center"/>
              <w:rPr>
                <w:rFonts w:ascii="Times New Roman" w:hAnsi="Times New Roman" w:cs="Times New Roman"/>
              </w:rPr>
            </w:pPr>
            <w:r w:rsidRPr="00D53E18">
              <w:rPr>
                <w:rFonts w:ascii="Times New Roman" w:hAnsi="Times New Roman" w:cs="Times New Roman"/>
              </w:rPr>
              <w:t>2</w:t>
            </w:r>
          </w:p>
        </w:tc>
        <w:tc>
          <w:tcPr>
            <w:tcW w:w="1489" w:type="dxa"/>
            <w:tcBorders>
              <w:top w:val="nil"/>
              <w:left w:val="nil"/>
              <w:bottom w:val="nil"/>
              <w:right w:val="nil"/>
            </w:tcBorders>
            <w:shd w:val="clear" w:color="auto" w:fill="E6E6E6"/>
          </w:tcPr>
          <w:p w:rsidR="00AD3D03" w:rsidRPr="00D53E18" w:rsidRDefault="00DB16F1" w:rsidP="004575A0">
            <w:pPr>
              <w:pStyle w:val="NoSpacing"/>
              <w:jc w:val="center"/>
              <w:rPr>
                <w:rFonts w:ascii="Times New Roman" w:hAnsi="Times New Roman" w:cs="Times New Roman"/>
              </w:rPr>
            </w:pPr>
            <w:r>
              <w:rPr>
                <w:rFonts w:ascii="Times New Roman" w:hAnsi="Times New Roman" w:cs="Times New Roman"/>
              </w:rPr>
              <w:t>(0.27</w:t>
            </w:r>
            <w:r w:rsidR="00AD3D03" w:rsidRPr="00D53E18">
              <w:rPr>
                <w:rFonts w:ascii="Times New Roman" w:hAnsi="Times New Roman" w:cs="Times New Roman"/>
              </w:rPr>
              <w:t>)</w:t>
            </w:r>
          </w:p>
        </w:tc>
      </w:tr>
      <w:tr w:rsidR="00A81AD6" w:rsidRPr="00D53E18">
        <w:trPr>
          <w:trHeight w:val="170"/>
        </w:trPr>
        <w:tc>
          <w:tcPr>
            <w:tcW w:w="2191" w:type="dxa"/>
            <w:tcBorders>
              <w:top w:val="nil"/>
              <w:left w:val="nil"/>
              <w:bottom w:val="nil"/>
              <w:right w:val="nil"/>
            </w:tcBorders>
            <w:shd w:val="clear" w:color="auto" w:fill="auto"/>
            <w:noWrap/>
          </w:tcPr>
          <w:p w:rsidR="00A81AD6" w:rsidRPr="00CA18E9" w:rsidRDefault="002F04DE" w:rsidP="002B6AD1">
            <w:pPr>
              <w:pStyle w:val="NoSpacing"/>
              <w:rPr>
                <w:rFonts w:ascii="Times New Roman" w:hAnsi="Times New Roman" w:cs="Times New Roman"/>
                <w:b/>
              </w:rPr>
            </w:pPr>
            <w:r>
              <w:rPr>
                <w:rFonts w:ascii="Times New Roman" w:hAnsi="Times New Roman" w:cs="Times New Roman"/>
                <w:b/>
                <w:i/>
              </w:rPr>
              <w:t>Significance</w:t>
            </w:r>
          </w:p>
        </w:tc>
        <w:tc>
          <w:tcPr>
            <w:tcW w:w="1488" w:type="dxa"/>
            <w:tcBorders>
              <w:top w:val="nil"/>
              <w:left w:val="nil"/>
              <w:bottom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p>
        </w:tc>
        <w:tc>
          <w:tcPr>
            <w:tcW w:w="148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c>
          <w:tcPr>
            <w:tcW w:w="1418" w:type="dxa"/>
            <w:tcBorders>
              <w:top w:val="nil"/>
              <w:left w:val="nil"/>
              <w:bottom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p>
        </w:tc>
        <w:tc>
          <w:tcPr>
            <w:tcW w:w="155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r>
      <w:tr w:rsidR="00A81AD6" w:rsidRPr="00D53E18">
        <w:trPr>
          <w:trHeight w:val="170"/>
        </w:trPr>
        <w:tc>
          <w:tcPr>
            <w:tcW w:w="2191" w:type="dxa"/>
            <w:tcBorders>
              <w:top w:val="nil"/>
              <w:left w:val="nil"/>
              <w:bottom w:val="nil"/>
              <w:right w:val="nil"/>
            </w:tcBorders>
            <w:shd w:val="clear" w:color="auto" w:fill="auto"/>
            <w:noWrap/>
          </w:tcPr>
          <w:p w:rsidR="00A81AD6" w:rsidRPr="00CA18E9" w:rsidRDefault="00A81AD6" w:rsidP="002B6AD1">
            <w:pPr>
              <w:pStyle w:val="NoSpacing"/>
              <w:rPr>
                <w:rFonts w:ascii="Times New Roman" w:hAnsi="Times New Roman" w:cs="Times New Roman"/>
                <w:b/>
              </w:rPr>
            </w:pPr>
            <w:r w:rsidRPr="00CA18E9">
              <w:rPr>
                <w:rFonts w:ascii="Times New Roman" w:hAnsi="Times New Roman" w:cs="Times New Roman"/>
                <w:b/>
              </w:rPr>
              <w:t>High</w:t>
            </w:r>
          </w:p>
        </w:tc>
        <w:tc>
          <w:tcPr>
            <w:tcW w:w="1488" w:type="dxa"/>
            <w:tcBorders>
              <w:top w:val="nil"/>
              <w:left w:val="nil"/>
              <w:bottom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6</w:t>
            </w:r>
          </w:p>
        </w:tc>
        <w:tc>
          <w:tcPr>
            <w:tcW w:w="148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0</w:t>
            </w:r>
          </w:p>
        </w:tc>
        <w:tc>
          <w:tcPr>
            <w:tcW w:w="1418" w:type="dxa"/>
            <w:tcBorders>
              <w:top w:val="nil"/>
              <w:left w:val="nil"/>
              <w:bottom w:val="nil"/>
              <w:right w:val="nil"/>
            </w:tcBorders>
            <w:shd w:val="clear" w:color="auto" w:fill="auto"/>
            <w:noWrap/>
          </w:tcPr>
          <w:p w:rsidR="00A81AD6" w:rsidRPr="00CA18E9" w:rsidRDefault="00DB16F1" w:rsidP="004575A0">
            <w:pPr>
              <w:pStyle w:val="NoSpacing"/>
              <w:jc w:val="center"/>
              <w:rPr>
                <w:rFonts w:ascii="Times New Roman" w:hAnsi="Times New Roman" w:cs="Times New Roman"/>
                <w:b/>
              </w:rPr>
            </w:pPr>
            <w:r w:rsidRPr="00CA18E9">
              <w:rPr>
                <w:rFonts w:ascii="Times New Roman" w:hAnsi="Times New Roman" w:cs="Times New Roman"/>
                <w:b/>
              </w:rPr>
              <w:t>8.0</w:t>
            </w:r>
            <w:r w:rsidR="00A81AD6" w:rsidRPr="00CA18E9">
              <w:rPr>
                <w:rFonts w:ascii="Times New Roman" w:hAnsi="Times New Roman" w:cs="Times New Roman"/>
                <w:b/>
              </w:rPr>
              <w:t>0</w:t>
            </w:r>
          </w:p>
        </w:tc>
        <w:tc>
          <w:tcPr>
            <w:tcW w:w="155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5</w:t>
            </w: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0</w:t>
            </w: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7.00</w:t>
            </w:r>
          </w:p>
        </w:tc>
      </w:tr>
      <w:tr w:rsidR="00A81AD6" w:rsidRPr="00D53E18">
        <w:trPr>
          <w:trHeight w:val="170"/>
        </w:trPr>
        <w:tc>
          <w:tcPr>
            <w:tcW w:w="2191" w:type="dxa"/>
            <w:tcBorders>
              <w:top w:val="nil"/>
              <w:left w:val="nil"/>
              <w:right w:val="nil"/>
            </w:tcBorders>
            <w:shd w:val="clear" w:color="auto" w:fill="auto"/>
            <w:noWrap/>
          </w:tcPr>
          <w:p w:rsidR="00A81AD6" w:rsidRPr="00CA18E9" w:rsidRDefault="00A81AD6" w:rsidP="002B6AD1">
            <w:pPr>
              <w:pStyle w:val="NoSpacing"/>
              <w:rPr>
                <w:rFonts w:ascii="Times New Roman" w:hAnsi="Times New Roman" w:cs="Times New Roman"/>
                <w:b/>
              </w:rPr>
            </w:pPr>
            <w:r w:rsidRPr="00CA18E9">
              <w:rPr>
                <w:rFonts w:ascii="Times New Roman" w:hAnsi="Times New Roman" w:cs="Times New Roman"/>
                <w:b/>
              </w:rPr>
              <w:t>Low</w:t>
            </w:r>
          </w:p>
        </w:tc>
        <w:tc>
          <w:tcPr>
            <w:tcW w:w="1488" w:type="dxa"/>
            <w:tcBorders>
              <w:top w:val="nil"/>
              <w:left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0</w:t>
            </w:r>
          </w:p>
        </w:tc>
        <w:tc>
          <w:tcPr>
            <w:tcW w:w="1489" w:type="dxa"/>
            <w:gridSpan w:val="2"/>
            <w:tcBorders>
              <w:top w:val="nil"/>
              <w:left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2</w:t>
            </w:r>
          </w:p>
        </w:tc>
        <w:tc>
          <w:tcPr>
            <w:tcW w:w="1418" w:type="dxa"/>
            <w:tcBorders>
              <w:top w:val="nil"/>
              <w:left w:val="nil"/>
              <w:right w:val="nil"/>
            </w:tcBorders>
            <w:shd w:val="clear" w:color="auto" w:fill="auto"/>
            <w:noWrap/>
          </w:tcPr>
          <w:p w:rsidR="00A81AD6" w:rsidRPr="00CA18E9" w:rsidRDefault="00DB16F1" w:rsidP="004575A0">
            <w:pPr>
              <w:pStyle w:val="NoSpacing"/>
              <w:jc w:val="center"/>
              <w:rPr>
                <w:rFonts w:ascii="Times New Roman" w:hAnsi="Times New Roman" w:cs="Times New Roman"/>
                <w:b/>
              </w:rPr>
            </w:pPr>
            <w:r w:rsidRPr="00CA18E9">
              <w:rPr>
                <w:rFonts w:ascii="Times New Roman" w:hAnsi="Times New Roman" w:cs="Times New Roman"/>
                <w:b/>
              </w:rPr>
              <w:t>(0.01</w:t>
            </w:r>
            <w:r w:rsidR="00A81AD6" w:rsidRPr="00CA18E9">
              <w:rPr>
                <w:rFonts w:ascii="Times New Roman" w:hAnsi="Times New Roman" w:cs="Times New Roman"/>
                <w:b/>
              </w:rPr>
              <w:t>)</w:t>
            </w:r>
          </w:p>
        </w:tc>
        <w:tc>
          <w:tcPr>
            <w:tcW w:w="1559" w:type="dxa"/>
            <w:gridSpan w:val="2"/>
            <w:tcBorders>
              <w:top w:val="nil"/>
              <w:left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0</w:t>
            </w:r>
          </w:p>
        </w:tc>
        <w:tc>
          <w:tcPr>
            <w:tcW w:w="1489" w:type="dxa"/>
            <w:tcBorders>
              <w:top w:val="nil"/>
              <w:left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2</w:t>
            </w:r>
          </w:p>
        </w:tc>
        <w:tc>
          <w:tcPr>
            <w:tcW w:w="1489" w:type="dxa"/>
            <w:tcBorders>
              <w:top w:val="nil"/>
              <w:left w:val="nil"/>
              <w:right w:val="nil"/>
            </w:tcBorders>
          </w:tcPr>
          <w:p w:rsidR="00A81AD6" w:rsidRPr="00CA18E9" w:rsidRDefault="00DB16F1" w:rsidP="004575A0">
            <w:pPr>
              <w:pStyle w:val="NoSpacing"/>
              <w:jc w:val="center"/>
              <w:rPr>
                <w:rFonts w:ascii="Times New Roman" w:hAnsi="Times New Roman" w:cs="Times New Roman"/>
                <w:b/>
              </w:rPr>
            </w:pPr>
            <w:r w:rsidRPr="00CA18E9">
              <w:rPr>
                <w:rFonts w:ascii="Times New Roman" w:hAnsi="Times New Roman" w:cs="Times New Roman"/>
                <w:b/>
              </w:rPr>
              <w:t>(0.01</w:t>
            </w:r>
            <w:r w:rsidR="00A81AD6" w:rsidRPr="00CA18E9">
              <w:rPr>
                <w:rFonts w:ascii="Times New Roman" w:hAnsi="Times New Roman" w:cs="Times New Roman"/>
                <w:b/>
              </w:rPr>
              <w:t>)</w:t>
            </w:r>
          </w:p>
        </w:tc>
      </w:tr>
      <w:tr w:rsidR="00A81AD6" w:rsidRPr="00D53E18">
        <w:trPr>
          <w:trHeight w:val="170"/>
        </w:trPr>
        <w:tc>
          <w:tcPr>
            <w:tcW w:w="2191" w:type="dxa"/>
            <w:tcBorders>
              <w:top w:val="nil"/>
              <w:left w:val="nil"/>
              <w:bottom w:val="nil"/>
              <w:right w:val="nil"/>
            </w:tcBorders>
            <w:shd w:val="clear" w:color="auto" w:fill="E6E6E6"/>
            <w:noWrap/>
          </w:tcPr>
          <w:p w:rsidR="00A81AD6" w:rsidRPr="00D53E18" w:rsidRDefault="002F04DE" w:rsidP="001A53A5">
            <w:pPr>
              <w:pStyle w:val="NoSpacing"/>
              <w:rPr>
                <w:rFonts w:ascii="Times New Roman" w:hAnsi="Times New Roman" w:cs="Times New Roman"/>
                <w:i/>
              </w:rPr>
            </w:pPr>
            <w:r>
              <w:rPr>
                <w:rFonts w:ascii="Times New Roman" w:hAnsi="Times New Roman" w:cs="Times New Roman"/>
                <w:i/>
              </w:rPr>
              <w:t>Consequences</w:t>
            </w:r>
          </w:p>
        </w:tc>
        <w:tc>
          <w:tcPr>
            <w:tcW w:w="148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p>
        </w:tc>
        <w:tc>
          <w:tcPr>
            <w:tcW w:w="148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c>
          <w:tcPr>
            <w:tcW w:w="141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p>
        </w:tc>
        <w:tc>
          <w:tcPr>
            <w:tcW w:w="155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r>
      <w:tr w:rsidR="00A81AD6" w:rsidRPr="00D53E18">
        <w:trPr>
          <w:trHeight w:val="170"/>
        </w:trPr>
        <w:tc>
          <w:tcPr>
            <w:tcW w:w="2191" w:type="dxa"/>
            <w:tcBorders>
              <w:top w:val="nil"/>
              <w:left w:val="nil"/>
              <w:bottom w:val="nil"/>
              <w:right w:val="nil"/>
            </w:tcBorders>
            <w:shd w:val="clear" w:color="auto" w:fill="E6E6E6"/>
            <w:noWrap/>
          </w:tcPr>
          <w:p w:rsidR="00A81AD6" w:rsidRPr="00D53E18" w:rsidRDefault="00A81AD6" w:rsidP="001A53A5">
            <w:pPr>
              <w:pStyle w:val="NoSpacing"/>
              <w:rPr>
                <w:rFonts w:ascii="Times New Roman" w:hAnsi="Times New Roman" w:cs="Times New Roman"/>
              </w:rPr>
            </w:pPr>
            <w:r w:rsidRPr="00D53E18">
              <w:rPr>
                <w:rFonts w:ascii="Times New Roman" w:hAnsi="Times New Roman" w:cs="Times New Roman"/>
              </w:rPr>
              <w:t>Adverse</w:t>
            </w:r>
          </w:p>
        </w:tc>
        <w:tc>
          <w:tcPr>
            <w:tcW w:w="148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w:t>
            </w:r>
          </w:p>
        </w:tc>
        <w:tc>
          <w:tcPr>
            <w:tcW w:w="148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5</w:t>
            </w:r>
          </w:p>
        </w:tc>
        <w:tc>
          <w:tcPr>
            <w:tcW w:w="1418" w:type="dxa"/>
            <w:tcBorders>
              <w:top w:val="nil"/>
              <w:left w:val="nil"/>
              <w:bottom w:val="nil"/>
              <w:right w:val="nil"/>
            </w:tcBorders>
            <w:shd w:val="clear" w:color="auto" w:fill="E6E6E6"/>
            <w:noWrap/>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1.91</w:t>
            </w:r>
          </w:p>
        </w:tc>
        <w:tc>
          <w:tcPr>
            <w:tcW w:w="155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w:t>
            </w: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5</w:t>
            </w:r>
          </w:p>
        </w:tc>
        <w:tc>
          <w:tcPr>
            <w:tcW w:w="1489" w:type="dxa"/>
            <w:tcBorders>
              <w:top w:val="nil"/>
              <w:left w:val="nil"/>
              <w:bottom w:val="nil"/>
              <w:right w:val="nil"/>
            </w:tcBorders>
            <w:shd w:val="clear" w:color="auto" w:fill="E6E6E6"/>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1.91</w:t>
            </w:r>
          </w:p>
        </w:tc>
      </w:tr>
      <w:tr w:rsidR="00A81AD6" w:rsidRPr="00D53E18">
        <w:trPr>
          <w:trHeight w:val="170"/>
        </w:trPr>
        <w:tc>
          <w:tcPr>
            <w:tcW w:w="2191" w:type="dxa"/>
            <w:tcBorders>
              <w:top w:val="nil"/>
              <w:left w:val="nil"/>
              <w:right w:val="nil"/>
            </w:tcBorders>
            <w:shd w:val="clear" w:color="auto" w:fill="E6E6E6"/>
            <w:noWrap/>
          </w:tcPr>
          <w:p w:rsidR="00A81AD6" w:rsidRPr="00D53E18" w:rsidRDefault="00A81AD6" w:rsidP="001A53A5">
            <w:pPr>
              <w:pStyle w:val="NoSpacing"/>
              <w:rPr>
                <w:rFonts w:ascii="Times New Roman" w:hAnsi="Times New Roman" w:cs="Times New Roman"/>
              </w:rPr>
            </w:pPr>
            <w:r w:rsidRPr="00D53E18">
              <w:rPr>
                <w:rFonts w:ascii="Times New Roman" w:hAnsi="Times New Roman" w:cs="Times New Roman"/>
              </w:rPr>
              <w:t>Neutral</w:t>
            </w:r>
          </w:p>
        </w:tc>
        <w:tc>
          <w:tcPr>
            <w:tcW w:w="1488" w:type="dxa"/>
            <w:tcBorders>
              <w:top w:val="nil"/>
              <w:left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1</w:t>
            </w:r>
          </w:p>
        </w:tc>
        <w:tc>
          <w:tcPr>
            <w:tcW w:w="1489" w:type="dxa"/>
            <w:gridSpan w:val="2"/>
            <w:tcBorders>
              <w:top w:val="nil"/>
              <w:left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2</w:t>
            </w:r>
          </w:p>
        </w:tc>
        <w:tc>
          <w:tcPr>
            <w:tcW w:w="1418" w:type="dxa"/>
            <w:tcBorders>
              <w:top w:val="nil"/>
              <w:left w:val="nil"/>
              <w:right w:val="nil"/>
            </w:tcBorders>
            <w:shd w:val="clear" w:color="auto" w:fill="E6E6E6"/>
            <w:noWrap/>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(0.17</w:t>
            </w:r>
            <w:r w:rsidR="00A81AD6" w:rsidRPr="00D53E18">
              <w:rPr>
                <w:rFonts w:ascii="Times New Roman" w:hAnsi="Times New Roman" w:cs="Times New Roman"/>
              </w:rPr>
              <w:t>)</w:t>
            </w:r>
          </w:p>
        </w:tc>
        <w:tc>
          <w:tcPr>
            <w:tcW w:w="1559" w:type="dxa"/>
            <w:gridSpan w:val="2"/>
            <w:tcBorders>
              <w:top w:val="nil"/>
              <w:left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1</w:t>
            </w:r>
          </w:p>
        </w:tc>
        <w:tc>
          <w:tcPr>
            <w:tcW w:w="1489" w:type="dxa"/>
            <w:tcBorders>
              <w:top w:val="nil"/>
              <w:left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2</w:t>
            </w:r>
          </w:p>
        </w:tc>
        <w:tc>
          <w:tcPr>
            <w:tcW w:w="1489" w:type="dxa"/>
            <w:tcBorders>
              <w:top w:val="nil"/>
              <w:left w:val="nil"/>
              <w:right w:val="nil"/>
            </w:tcBorders>
            <w:shd w:val="clear" w:color="auto" w:fill="E6E6E6"/>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(0.17</w:t>
            </w:r>
            <w:r w:rsidR="00A81AD6" w:rsidRPr="00D53E18">
              <w:rPr>
                <w:rFonts w:ascii="Times New Roman" w:hAnsi="Times New Roman" w:cs="Times New Roman"/>
              </w:rPr>
              <w:t>)</w:t>
            </w:r>
          </w:p>
        </w:tc>
      </w:tr>
      <w:tr w:rsidR="00A81AD6" w:rsidRPr="00D53E18">
        <w:trPr>
          <w:trHeight w:val="170"/>
        </w:trPr>
        <w:tc>
          <w:tcPr>
            <w:tcW w:w="2191" w:type="dxa"/>
            <w:tcBorders>
              <w:top w:val="nil"/>
              <w:left w:val="nil"/>
              <w:bottom w:val="nil"/>
              <w:right w:val="nil"/>
            </w:tcBorders>
            <w:shd w:val="clear" w:color="auto" w:fill="E6E6E6"/>
            <w:noWrap/>
          </w:tcPr>
          <w:p w:rsidR="00A81AD6" w:rsidRPr="00D53E18" w:rsidRDefault="00A81AD6" w:rsidP="001A53A5">
            <w:pPr>
              <w:pStyle w:val="NoSpacing"/>
              <w:rPr>
                <w:rFonts w:ascii="Times New Roman" w:hAnsi="Times New Roman" w:cs="Times New Roman"/>
              </w:rPr>
            </w:pPr>
            <w:r w:rsidRPr="00D53E18">
              <w:rPr>
                <w:rFonts w:ascii="Times New Roman" w:hAnsi="Times New Roman" w:cs="Times New Roman"/>
              </w:rPr>
              <w:t>Beneficial</w:t>
            </w:r>
          </w:p>
        </w:tc>
        <w:tc>
          <w:tcPr>
            <w:tcW w:w="148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w:t>
            </w:r>
          </w:p>
        </w:tc>
        <w:tc>
          <w:tcPr>
            <w:tcW w:w="148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w:t>
            </w:r>
          </w:p>
        </w:tc>
        <w:tc>
          <w:tcPr>
            <w:tcW w:w="141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p>
        </w:tc>
        <w:tc>
          <w:tcPr>
            <w:tcW w:w="155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w:t>
            </w: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w:t>
            </w: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r>
      <w:tr w:rsidR="00A81AD6" w:rsidRPr="00D53E18">
        <w:trPr>
          <w:trHeight w:val="170"/>
        </w:trPr>
        <w:tc>
          <w:tcPr>
            <w:tcW w:w="2191" w:type="dxa"/>
            <w:tcBorders>
              <w:top w:val="nil"/>
              <w:left w:val="nil"/>
              <w:bottom w:val="nil"/>
              <w:right w:val="nil"/>
            </w:tcBorders>
            <w:shd w:val="clear" w:color="auto" w:fill="auto"/>
            <w:noWrap/>
          </w:tcPr>
          <w:p w:rsidR="00A81AD6" w:rsidRPr="00CA18E9" w:rsidRDefault="00F559F7" w:rsidP="003F11F7">
            <w:pPr>
              <w:pStyle w:val="NoSpacing"/>
              <w:rPr>
                <w:rFonts w:ascii="Times New Roman" w:hAnsi="Times New Roman" w:cs="Times New Roman"/>
                <w:b/>
                <w:i/>
              </w:rPr>
            </w:pPr>
            <w:r>
              <w:rPr>
                <w:rFonts w:ascii="Times New Roman" w:hAnsi="Times New Roman" w:cs="Times New Roman"/>
                <w:b/>
                <w:i/>
              </w:rPr>
              <w:t>Uncertainty</w:t>
            </w:r>
          </w:p>
        </w:tc>
        <w:tc>
          <w:tcPr>
            <w:tcW w:w="1488" w:type="dxa"/>
            <w:tcBorders>
              <w:top w:val="nil"/>
              <w:left w:val="nil"/>
              <w:bottom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p>
        </w:tc>
        <w:tc>
          <w:tcPr>
            <w:tcW w:w="148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c>
          <w:tcPr>
            <w:tcW w:w="1418" w:type="dxa"/>
            <w:tcBorders>
              <w:top w:val="nil"/>
              <w:left w:val="nil"/>
              <w:bottom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p>
        </w:tc>
        <w:tc>
          <w:tcPr>
            <w:tcW w:w="155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p>
        </w:tc>
      </w:tr>
      <w:tr w:rsidR="00A81AD6" w:rsidRPr="00D53E18">
        <w:trPr>
          <w:trHeight w:val="170"/>
        </w:trPr>
        <w:tc>
          <w:tcPr>
            <w:tcW w:w="2191" w:type="dxa"/>
            <w:tcBorders>
              <w:top w:val="nil"/>
              <w:left w:val="nil"/>
              <w:bottom w:val="nil"/>
              <w:right w:val="nil"/>
            </w:tcBorders>
            <w:shd w:val="clear" w:color="auto" w:fill="auto"/>
            <w:noWrap/>
          </w:tcPr>
          <w:p w:rsidR="00A81AD6" w:rsidRPr="00CA18E9" w:rsidRDefault="00A81AD6" w:rsidP="003F11F7">
            <w:pPr>
              <w:pStyle w:val="NoSpacing"/>
              <w:rPr>
                <w:rFonts w:ascii="Times New Roman" w:hAnsi="Times New Roman" w:cs="Times New Roman"/>
                <w:b/>
              </w:rPr>
            </w:pPr>
            <w:r w:rsidRPr="00CA18E9">
              <w:rPr>
                <w:rFonts w:ascii="Times New Roman" w:hAnsi="Times New Roman" w:cs="Times New Roman"/>
                <w:b/>
              </w:rPr>
              <w:t>Expected</w:t>
            </w:r>
          </w:p>
        </w:tc>
        <w:tc>
          <w:tcPr>
            <w:tcW w:w="1488" w:type="dxa"/>
            <w:tcBorders>
              <w:top w:val="nil"/>
              <w:left w:val="nil"/>
              <w:bottom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4</w:t>
            </w:r>
          </w:p>
        </w:tc>
        <w:tc>
          <w:tcPr>
            <w:tcW w:w="148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0</w:t>
            </w:r>
          </w:p>
        </w:tc>
        <w:tc>
          <w:tcPr>
            <w:tcW w:w="1418" w:type="dxa"/>
            <w:tcBorders>
              <w:top w:val="nil"/>
              <w:left w:val="nil"/>
              <w:bottom w:val="nil"/>
              <w:right w:val="nil"/>
            </w:tcBorders>
            <w:shd w:val="clear" w:color="auto" w:fill="auto"/>
            <w:noWrap/>
          </w:tcPr>
          <w:p w:rsidR="00A81AD6" w:rsidRPr="00CA18E9" w:rsidRDefault="00DB16F1" w:rsidP="004575A0">
            <w:pPr>
              <w:pStyle w:val="NoSpacing"/>
              <w:jc w:val="center"/>
              <w:rPr>
                <w:rFonts w:ascii="Times New Roman" w:hAnsi="Times New Roman" w:cs="Times New Roman"/>
                <w:b/>
              </w:rPr>
            </w:pPr>
            <w:r w:rsidRPr="00CA18E9">
              <w:rPr>
                <w:rFonts w:ascii="Times New Roman" w:hAnsi="Times New Roman" w:cs="Times New Roman"/>
                <w:b/>
              </w:rPr>
              <w:t>6.6</w:t>
            </w:r>
            <w:r w:rsidR="00A81AD6" w:rsidRPr="00CA18E9">
              <w:rPr>
                <w:rFonts w:ascii="Times New Roman" w:hAnsi="Times New Roman" w:cs="Times New Roman"/>
                <w:b/>
              </w:rPr>
              <w:t>7</w:t>
            </w:r>
          </w:p>
        </w:tc>
        <w:tc>
          <w:tcPr>
            <w:tcW w:w="1559" w:type="dxa"/>
            <w:gridSpan w:val="2"/>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3</w:t>
            </w: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0</w:t>
            </w:r>
          </w:p>
        </w:tc>
        <w:tc>
          <w:tcPr>
            <w:tcW w:w="1489" w:type="dxa"/>
            <w:tcBorders>
              <w:top w:val="nil"/>
              <w:left w:val="nil"/>
              <w:bottom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4.80</w:t>
            </w:r>
          </w:p>
        </w:tc>
      </w:tr>
      <w:tr w:rsidR="00A81AD6" w:rsidRPr="00D53E18">
        <w:trPr>
          <w:trHeight w:val="170"/>
        </w:trPr>
        <w:tc>
          <w:tcPr>
            <w:tcW w:w="2191" w:type="dxa"/>
            <w:tcBorders>
              <w:top w:val="nil"/>
              <w:left w:val="nil"/>
              <w:right w:val="nil"/>
            </w:tcBorders>
            <w:shd w:val="clear" w:color="auto" w:fill="auto"/>
            <w:noWrap/>
          </w:tcPr>
          <w:p w:rsidR="00A81AD6" w:rsidRPr="00CA18E9" w:rsidRDefault="00A81AD6" w:rsidP="003F11F7">
            <w:pPr>
              <w:pStyle w:val="NoSpacing"/>
              <w:rPr>
                <w:rFonts w:ascii="Times New Roman" w:hAnsi="Times New Roman" w:cs="Times New Roman"/>
                <w:b/>
              </w:rPr>
            </w:pPr>
            <w:r w:rsidRPr="00CA18E9">
              <w:rPr>
                <w:rFonts w:ascii="Times New Roman" w:hAnsi="Times New Roman" w:cs="Times New Roman"/>
                <w:b/>
              </w:rPr>
              <w:t>Unexpected</w:t>
            </w:r>
          </w:p>
        </w:tc>
        <w:tc>
          <w:tcPr>
            <w:tcW w:w="1488" w:type="dxa"/>
            <w:tcBorders>
              <w:top w:val="nil"/>
              <w:left w:val="nil"/>
              <w:right w:val="nil"/>
            </w:tcBorders>
            <w:shd w:val="clear" w:color="auto" w:fill="auto"/>
            <w:noWrap/>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1</w:t>
            </w:r>
          </w:p>
        </w:tc>
        <w:tc>
          <w:tcPr>
            <w:tcW w:w="1489" w:type="dxa"/>
            <w:gridSpan w:val="2"/>
            <w:tcBorders>
              <w:top w:val="nil"/>
              <w:left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5</w:t>
            </w:r>
          </w:p>
        </w:tc>
        <w:tc>
          <w:tcPr>
            <w:tcW w:w="1418" w:type="dxa"/>
            <w:tcBorders>
              <w:top w:val="nil"/>
              <w:left w:val="nil"/>
              <w:right w:val="nil"/>
            </w:tcBorders>
            <w:shd w:val="clear" w:color="auto" w:fill="auto"/>
            <w:noWrap/>
          </w:tcPr>
          <w:p w:rsidR="00A81AD6" w:rsidRPr="00CA18E9" w:rsidRDefault="00DB16F1" w:rsidP="004575A0">
            <w:pPr>
              <w:pStyle w:val="NoSpacing"/>
              <w:jc w:val="center"/>
              <w:rPr>
                <w:rFonts w:ascii="Times New Roman" w:hAnsi="Times New Roman" w:cs="Times New Roman"/>
                <w:b/>
              </w:rPr>
            </w:pPr>
            <w:r w:rsidRPr="00CA18E9">
              <w:rPr>
                <w:rFonts w:ascii="Times New Roman" w:hAnsi="Times New Roman" w:cs="Times New Roman"/>
                <w:b/>
              </w:rPr>
              <w:t>(0.01</w:t>
            </w:r>
            <w:r w:rsidR="00A81AD6" w:rsidRPr="00CA18E9">
              <w:rPr>
                <w:rFonts w:ascii="Times New Roman" w:hAnsi="Times New Roman" w:cs="Times New Roman"/>
                <w:b/>
              </w:rPr>
              <w:t>)</w:t>
            </w:r>
          </w:p>
        </w:tc>
        <w:tc>
          <w:tcPr>
            <w:tcW w:w="1559" w:type="dxa"/>
            <w:gridSpan w:val="2"/>
            <w:tcBorders>
              <w:top w:val="nil"/>
              <w:left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1</w:t>
            </w:r>
          </w:p>
        </w:tc>
        <w:tc>
          <w:tcPr>
            <w:tcW w:w="1489" w:type="dxa"/>
            <w:tcBorders>
              <w:top w:val="nil"/>
              <w:left w:val="nil"/>
              <w:right w:val="nil"/>
            </w:tcBorders>
          </w:tcPr>
          <w:p w:rsidR="00A81AD6" w:rsidRPr="00CA18E9" w:rsidRDefault="00A81AD6" w:rsidP="004575A0">
            <w:pPr>
              <w:pStyle w:val="NoSpacing"/>
              <w:jc w:val="center"/>
              <w:rPr>
                <w:rFonts w:ascii="Times New Roman" w:hAnsi="Times New Roman" w:cs="Times New Roman"/>
                <w:b/>
              </w:rPr>
            </w:pPr>
            <w:r w:rsidRPr="00CA18E9">
              <w:rPr>
                <w:rFonts w:ascii="Times New Roman" w:hAnsi="Times New Roman" w:cs="Times New Roman"/>
                <w:b/>
              </w:rPr>
              <w:t>4</w:t>
            </w:r>
          </w:p>
        </w:tc>
        <w:tc>
          <w:tcPr>
            <w:tcW w:w="1489" w:type="dxa"/>
            <w:tcBorders>
              <w:top w:val="nil"/>
              <w:left w:val="nil"/>
              <w:right w:val="nil"/>
            </w:tcBorders>
          </w:tcPr>
          <w:p w:rsidR="00A81AD6" w:rsidRPr="00CA18E9" w:rsidRDefault="00DB16F1" w:rsidP="004575A0">
            <w:pPr>
              <w:pStyle w:val="NoSpacing"/>
              <w:jc w:val="center"/>
              <w:rPr>
                <w:rFonts w:ascii="Times New Roman" w:hAnsi="Times New Roman" w:cs="Times New Roman"/>
                <w:b/>
              </w:rPr>
            </w:pPr>
            <w:r w:rsidRPr="00CA18E9">
              <w:rPr>
                <w:rFonts w:ascii="Times New Roman" w:hAnsi="Times New Roman" w:cs="Times New Roman"/>
                <w:b/>
              </w:rPr>
              <w:t>(0.03</w:t>
            </w:r>
            <w:r w:rsidR="00A81AD6" w:rsidRPr="00CA18E9">
              <w:rPr>
                <w:rFonts w:ascii="Times New Roman" w:hAnsi="Times New Roman" w:cs="Times New Roman"/>
                <w:b/>
              </w:rPr>
              <w:t>)</w:t>
            </w:r>
          </w:p>
        </w:tc>
      </w:tr>
      <w:tr w:rsidR="00A81AD6" w:rsidRPr="00D53E18">
        <w:trPr>
          <w:trHeight w:val="170"/>
        </w:trPr>
        <w:tc>
          <w:tcPr>
            <w:tcW w:w="2191" w:type="dxa"/>
            <w:tcBorders>
              <w:top w:val="nil"/>
              <w:left w:val="nil"/>
              <w:bottom w:val="nil"/>
              <w:right w:val="nil"/>
            </w:tcBorders>
            <w:shd w:val="clear" w:color="auto" w:fill="E6E6E6"/>
            <w:noWrap/>
          </w:tcPr>
          <w:p w:rsidR="00A81AD6" w:rsidRPr="00D53E18" w:rsidRDefault="005A6D90" w:rsidP="00500F66">
            <w:pPr>
              <w:pStyle w:val="NoSpacing"/>
              <w:rPr>
                <w:rFonts w:ascii="Times New Roman" w:hAnsi="Times New Roman" w:cs="Times New Roman"/>
                <w:i/>
              </w:rPr>
            </w:pPr>
            <w:r>
              <w:rPr>
                <w:rFonts w:ascii="Times New Roman" w:hAnsi="Times New Roman" w:cs="Times New Roman"/>
                <w:i/>
              </w:rPr>
              <w:t>Responsiveness</w:t>
            </w:r>
          </w:p>
        </w:tc>
        <w:tc>
          <w:tcPr>
            <w:tcW w:w="148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p>
        </w:tc>
        <w:tc>
          <w:tcPr>
            <w:tcW w:w="148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c>
          <w:tcPr>
            <w:tcW w:w="141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p>
        </w:tc>
        <w:tc>
          <w:tcPr>
            <w:tcW w:w="155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p>
        </w:tc>
      </w:tr>
      <w:tr w:rsidR="00A81AD6" w:rsidRPr="00D53E18">
        <w:trPr>
          <w:trHeight w:val="170"/>
        </w:trPr>
        <w:tc>
          <w:tcPr>
            <w:tcW w:w="2191" w:type="dxa"/>
            <w:tcBorders>
              <w:top w:val="nil"/>
              <w:left w:val="nil"/>
              <w:bottom w:val="nil"/>
              <w:right w:val="nil"/>
            </w:tcBorders>
            <w:shd w:val="clear" w:color="auto" w:fill="E6E6E6"/>
            <w:noWrap/>
          </w:tcPr>
          <w:p w:rsidR="00A81AD6" w:rsidRPr="00D53E18" w:rsidRDefault="00A81AD6" w:rsidP="00500F66">
            <w:pPr>
              <w:pStyle w:val="NoSpacing"/>
              <w:rPr>
                <w:rFonts w:ascii="Times New Roman" w:hAnsi="Times New Roman" w:cs="Times New Roman"/>
              </w:rPr>
            </w:pPr>
            <w:r w:rsidRPr="00D53E18">
              <w:rPr>
                <w:rFonts w:ascii="Times New Roman" w:hAnsi="Times New Roman" w:cs="Times New Roman"/>
              </w:rPr>
              <w:t>Dynamic</w:t>
            </w:r>
          </w:p>
        </w:tc>
        <w:tc>
          <w:tcPr>
            <w:tcW w:w="148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11</w:t>
            </w:r>
          </w:p>
        </w:tc>
        <w:tc>
          <w:tcPr>
            <w:tcW w:w="148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10</w:t>
            </w:r>
          </w:p>
        </w:tc>
        <w:tc>
          <w:tcPr>
            <w:tcW w:w="1418" w:type="dxa"/>
            <w:tcBorders>
              <w:top w:val="nil"/>
              <w:left w:val="nil"/>
              <w:bottom w:val="nil"/>
              <w:right w:val="nil"/>
            </w:tcBorders>
            <w:shd w:val="clear" w:color="auto" w:fill="E6E6E6"/>
            <w:noWrap/>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0.01</w:t>
            </w:r>
          </w:p>
        </w:tc>
        <w:tc>
          <w:tcPr>
            <w:tcW w:w="155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8</w:t>
            </w: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8</w:t>
            </w:r>
          </w:p>
        </w:tc>
        <w:tc>
          <w:tcPr>
            <w:tcW w:w="1489" w:type="dxa"/>
            <w:tcBorders>
              <w:top w:val="nil"/>
              <w:left w:val="nil"/>
              <w:bottom w:val="nil"/>
              <w:right w:val="nil"/>
            </w:tcBorders>
            <w:shd w:val="clear" w:color="auto" w:fill="E6E6E6"/>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0.05</w:t>
            </w:r>
          </w:p>
        </w:tc>
      </w:tr>
      <w:tr w:rsidR="00A81AD6" w:rsidRPr="00D53E18">
        <w:trPr>
          <w:trHeight w:val="170"/>
        </w:trPr>
        <w:tc>
          <w:tcPr>
            <w:tcW w:w="2191" w:type="dxa"/>
            <w:tcBorders>
              <w:top w:val="nil"/>
              <w:left w:val="nil"/>
              <w:bottom w:val="nil"/>
              <w:right w:val="nil"/>
            </w:tcBorders>
            <w:shd w:val="clear" w:color="auto" w:fill="E6E6E6"/>
            <w:noWrap/>
          </w:tcPr>
          <w:p w:rsidR="00A81AD6" w:rsidRPr="00D53E18" w:rsidRDefault="00A81AD6" w:rsidP="00500F66">
            <w:pPr>
              <w:pStyle w:val="NoSpacing"/>
              <w:rPr>
                <w:rFonts w:ascii="Times New Roman" w:hAnsi="Times New Roman" w:cs="Times New Roman"/>
              </w:rPr>
            </w:pPr>
            <w:r w:rsidRPr="00D53E18">
              <w:rPr>
                <w:rFonts w:ascii="Times New Roman" w:hAnsi="Times New Roman" w:cs="Times New Roman"/>
              </w:rPr>
              <w:t>Static</w:t>
            </w:r>
          </w:p>
        </w:tc>
        <w:tc>
          <w:tcPr>
            <w:tcW w:w="1488" w:type="dxa"/>
            <w:tcBorders>
              <w:top w:val="nil"/>
              <w:left w:val="nil"/>
              <w:bottom w:val="nil"/>
              <w:right w:val="nil"/>
            </w:tcBorders>
            <w:shd w:val="clear" w:color="auto" w:fill="E6E6E6"/>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6</w:t>
            </w:r>
          </w:p>
        </w:tc>
        <w:tc>
          <w:tcPr>
            <w:tcW w:w="148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5</w:t>
            </w:r>
          </w:p>
        </w:tc>
        <w:tc>
          <w:tcPr>
            <w:tcW w:w="1418" w:type="dxa"/>
            <w:tcBorders>
              <w:top w:val="nil"/>
              <w:left w:val="nil"/>
              <w:bottom w:val="nil"/>
              <w:right w:val="nil"/>
            </w:tcBorders>
            <w:shd w:val="clear" w:color="auto" w:fill="E6E6E6"/>
            <w:noWrap/>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(0.91</w:t>
            </w:r>
            <w:r w:rsidR="00A81AD6" w:rsidRPr="00D53E18">
              <w:rPr>
                <w:rFonts w:ascii="Times New Roman" w:hAnsi="Times New Roman" w:cs="Times New Roman"/>
              </w:rPr>
              <w:t>)</w:t>
            </w:r>
          </w:p>
        </w:tc>
        <w:tc>
          <w:tcPr>
            <w:tcW w:w="1559" w:type="dxa"/>
            <w:gridSpan w:val="2"/>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6</w:t>
            </w:r>
          </w:p>
        </w:tc>
        <w:tc>
          <w:tcPr>
            <w:tcW w:w="1489" w:type="dxa"/>
            <w:tcBorders>
              <w:top w:val="nil"/>
              <w:left w:val="nil"/>
              <w:bottom w:val="nil"/>
              <w:right w:val="nil"/>
            </w:tcBorders>
            <w:shd w:val="clear" w:color="auto" w:fill="E6E6E6"/>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5</w:t>
            </w:r>
          </w:p>
        </w:tc>
        <w:tc>
          <w:tcPr>
            <w:tcW w:w="1489" w:type="dxa"/>
            <w:tcBorders>
              <w:top w:val="nil"/>
              <w:left w:val="nil"/>
              <w:bottom w:val="nil"/>
              <w:right w:val="nil"/>
            </w:tcBorders>
            <w:shd w:val="clear" w:color="auto" w:fill="E6E6E6"/>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(0.82</w:t>
            </w:r>
            <w:r w:rsidR="00A81AD6" w:rsidRPr="00D53E18">
              <w:rPr>
                <w:rFonts w:ascii="Times New Roman" w:hAnsi="Times New Roman" w:cs="Times New Roman"/>
              </w:rPr>
              <w:t>)</w:t>
            </w:r>
          </w:p>
        </w:tc>
      </w:tr>
      <w:tr w:rsidR="005B2F8C" w:rsidRPr="00D53E18">
        <w:trPr>
          <w:trHeight w:val="170"/>
        </w:trPr>
        <w:tc>
          <w:tcPr>
            <w:tcW w:w="3679" w:type="dxa"/>
            <w:gridSpan w:val="2"/>
            <w:tcBorders>
              <w:top w:val="nil"/>
              <w:left w:val="nil"/>
              <w:bottom w:val="nil"/>
              <w:right w:val="nil"/>
            </w:tcBorders>
            <w:shd w:val="clear" w:color="auto" w:fill="auto"/>
            <w:noWrap/>
          </w:tcPr>
          <w:p w:rsidR="005B2F8C" w:rsidRPr="00D53E18" w:rsidRDefault="005B2F8C" w:rsidP="004575A0">
            <w:pPr>
              <w:pStyle w:val="NoSpacing"/>
              <w:rPr>
                <w:rFonts w:ascii="Times New Roman" w:hAnsi="Times New Roman" w:cs="Times New Roman"/>
              </w:rPr>
            </w:pPr>
            <w:r w:rsidRPr="00D53E18">
              <w:rPr>
                <w:rFonts w:ascii="Times New Roman" w:hAnsi="Times New Roman" w:cs="Times New Roman"/>
                <w:i/>
              </w:rPr>
              <w:t>Financial statement impact</w:t>
            </w:r>
          </w:p>
        </w:tc>
        <w:tc>
          <w:tcPr>
            <w:tcW w:w="1489" w:type="dxa"/>
            <w:gridSpan w:val="2"/>
            <w:tcBorders>
              <w:top w:val="nil"/>
              <w:left w:val="nil"/>
              <w:bottom w:val="nil"/>
              <w:right w:val="nil"/>
            </w:tcBorders>
          </w:tcPr>
          <w:p w:rsidR="005B2F8C" w:rsidRPr="00D53E18" w:rsidRDefault="005B2F8C" w:rsidP="004575A0">
            <w:pPr>
              <w:pStyle w:val="NoSpacing"/>
              <w:jc w:val="center"/>
              <w:rPr>
                <w:rFonts w:ascii="Times New Roman" w:hAnsi="Times New Roman" w:cs="Times New Roman"/>
              </w:rPr>
            </w:pPr>
          </w:p>
        </w:tc>
        <w:tc>
          <w:tcPr>
            <w:tcW w:w="1418" w:type="dxa"/>
            <w:tcBorders>
              <w:top w:val="nil"/>
              <w:left w:val="nil"/>
              <w:bottom w:val="nil"/>
              <w:right w:val="nil"/>
            </w:tcBorders>
            <w:shd w:val="clear" w:color="auto" w:fill="auto"/>
            <w:noWrap/>
          </w:tcPr>
          <w:p w:rsidR="005B2F8C" w:rsidRPr="00D53E18" w:rsidRDefault="005B2F8C" w:rsidP="004575A0">
            <w:pPr>
              <w:pStyle w:val="NoSpacing"/>
              <w:jc w:val="center"/>
              <w:rPr>
                <w:rFonts w:ascii="Times New Roman" w:hAnsi="Times New Roman" w:cs="Times New Roman"/>
              </w:rPr>
            </w:pPr>
          </w:p>
        </w:tc>
        <w:tc>
          <w:tcPr>
            <w:tcW w:w="1559" w:type="dxa"/>
            <w:gridSpan w:val="2"/>
            <w:tcBorders>
              <w:top w:val="nil"/>
              <w:left w:val="nil"/>
              <w:bottom w:val="nil"/>
              <w:right w:val="nil"/>
            </w:tcBorders>
          </w:tcPr>
          <w:p w:rsidR="005B2F8C" w:rsidRPr="00D53E18" w:rsidRDefault="005B2F8C" w:rsidP="004575A0">
            <w:pPr>
              <w:pStyle w:val="NoSpacing"/>
              <w:jc w:val="center"/>
              <w:rPr>
                <w:rFonts w:ascii="Times New Roman" w:hAnsi="Times New Roman" w:cs="Times New Roman"/>
              </w:rPr>
            </w:pPr>
          </w:p>
        </w:tc>
        <w:tc>
          <w:tcPr>
            <w:tcW w:w="1489" w:type="dxa"/>
            <w:tcBorders>
              <w:top w:val="nil"/>
              <w:left w:val="nil"/>
              <w:bottom w:val="nil"/>
              <w:right w:val="nil"/>
            </w:tcBorders>
          </w:tcPr>
          <w:p w:rsidR="005B2F8C" w:rsidRPr="00D53E18" w:rsidRDefault="005B2F8C" w:rsidP="004575A0">
            <w:pPr>
              <w:pStyle w:val="NoSpacing"/>
              <w:jc w:val="center"/>
              <w:rPr>
                <w:rFonts w:ascii="Times New Roman" w:hAnsi="Times New Roman" w:cs="Times New Roman"/>
              </w:rPr>
            </w:pPr>
          </w:p>
        </w:tc>
        <w:tc>
          <w:tcPr>
            <w:tcW w:w="1489" w:type="dxa"/>
            <w:tcBorders>
              <w:top w:val="nil"/>
              <w:left w:val="nil"/>
              <w:bottom w:val="nil"/>
              <w:right w:val="nil"/>
            </w:tcBorders>
          </w:tcPr>
          <w:p w:rsidR="005B2F8C" w:rsidRPr="00D53E18" w:rsidRDefault="005B2F8C" w:rsidP="004575A0">
            <w:pPr>
              <w:pStyle w:val="NoSpacing"/>
              <w:jc w:val="center"/>
              <w:rPr>
                <w:rFonts w:ascii="Times New Roman" w:hAnsi="Times New Roman" w:cs="Times New Roman"/>
              </w:rPr>
            </w:pPr>
          </w:p>
        </w:tc>
      </w:tr>
      <w:tr w:rsidR="00A81AD6" w:rsidRPr="00D53E18">
        <w:trPr>
          <w:trHeight w:val="170"/>
        </w:trPr>
        <w:tc>
          <w:tcPr>
            <w:tcW w:w="2191" w:type="dxa"/>
            <w:tcBorders>
              <w:top w:val="nil"/>
              <w:left w:val="nil"/>
              <w:right w:val="nil"/>
            </w:tcBorders>
            <w:shd w:val="clear" w:color="auto" w:fill="auto"/>
            <w:noWrap/>
          </w:tcPr>
          <w:p w:rsidR="00A81AD6" w:rsidRPr="00D53E18" w:rsidRDefault="00A81AD6" w:rsidP="002B6AD1">
            <w:pPr>
              <w:pStyle w:val="NoSpacing"/>
              <w:rPr>
                <w:rFonts w:ascii="Times New Roman" w:hAnsi="Times New Roman" w:cs="Times New Roman"/>
              </w:rPr>
            </w:pPr>
            <w:r w:rsidRPr="00D53E18">
              <w:rPr>
                <w:rFonts w:ascii="Times New Roman" w:hAnsi="Times New Roman" w:cs="Times New Roman"/>
              </w:rPr>
              <w:t>Yes</w:t>
            </w:r>
          </w:p>
        </w:tc>
        <w:tc>
          <w:tcPr>
            <w:tcW w:w="1488" w:type="dxa"/>
            <w:tcBorders>
              <w:top w:val="nil"/>
              <w:left w:val="nil"/>
              <w:right w:val="nil"/>
            </w:tcBorders>
            <w:shd w:val="clear" w:color="auto" w:fill="auto"/>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9</w:t>
            </w:r>
          </w:p>
        </w:tc>
        <w:tc>
          <w:tcPr>
            <w:tcW w:w="1489" w:type="dxa"/>
            <w:gridSpan w:val="2"/>
            <w:tcBorders>
              <w:top w:val="nil"/>
              <w:left w:val="nil"/>
              <w:right w:val="nil"/>
            </w:tcBorders>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6</w:t>
            </w:r>
          </w:p>
        </w:tc>
        <w:tc>
          <w:tcPr>
            <w:tcW w:w="1418" w:type="dxa"/>
            <w:tcBorders>
              <w:top w:val="nil"/>
              <w:left w:val="nil"/>
              <w:right w:val="nil"/>
            </w:tcBorders>
            <w:shd w:val="clear" w:color="auto" w:fill="auto"/>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0.00</w:t>
            </w:r>
          </w:p>
        </w:tc>
        <w:tc>
          <w:tcPr>
            <w:tcW w:w="1559" w:type="dxa"/>
            <w:gridSpan w:val="2"/>
            <w:tcBorders>
              <w:top w:val="nil"/>
              <w:left w:val="nil"/>
              <w:right w:val="nil"/>
            </w:tcBorders>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6</w:t>
            </w:r>
          </w:p>
        </w:tc>
        <w:tc>
          <w:tcPr>
            <w:tcW w:w="1489" w:type="dxa"/>
            <w:tcBorders>
              <w:top w:val="nil"/>
              <w:left w:val="nil"/>
              <w:right w:val="nil"/>
            </w:tcBorders>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6</w:t>
            </w:r>
          </w:p>
        </w:tc>
        <w:tc>
          <w:tcPr>
            <w:tcW w:w="1489" w:type="dxa"/>
            <w:tcBorders>
              <w:top w:val="nil"/>
              <w:left w:val="nil"/>
              <w:right w:val="nil"/>
            </w:tcBorders>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0.0</w:t>
            </w:r>
            <w:r w:rsidR="00DB16F1">
              <w:rPr>
                <w:rFonts w:ascii="Times New Roman" w:hAnsi="Times New Roman" w:cs="Times New Roman"/>
              </w:rPr>
              <w:t>2</w:t>
            </w:r>
          </w:p>
        </w:tc>
      </w:tr>
      <w:tr w:rsidR="00A81AD6" w:rsidRPr="00D53E18">
        <w:trPr>
          <w:trHeight w:val="170"/>
        </w:trPr>
        <w:tc>
          <w:tcPr>
            <w:tcW w:w="2191" w:type="dxa"/>
            <w:tcBorders>
              <w:top w:val="nil"/>
              <w:left w:val="nil"/>
              <w:bottom w:val="single" w:sz="4" w:space="0" w:color="auto"/>
              <w:right w:val="nil"/>
            </w:tcBorders>
            <w:shd w:val="clear" w:color="auto" w:fill="auto"/>
            <w:noWrap/>
          </w:tcPr>
          <w:p w:rsidR="00A81AD6" w:rsidRPr="00D53E18" w:rsidRDefault="00A81AD6" w:rsidP="002B6AD1">
            <w:pPr>
              <w:pStyle w:val="NoSpacing"/>
              <w:rPr>
                <w:rFonts w:ascii="Times New Roman" w:hAnsi="Times New Roman" w:cs="Times New Roman"/>
              </w:rPr>
            </w:pPr>
            <w:r w:rsidRPr="00D53E18">
              <w:rPr>
                <w:rFonts w:ascii="Times New Roman" w:hAnsi="Times New Roman" w:cs="Times New Roman"/>
              </w:rPr>
              <w:t>No</w:t>
            </w:r>
          </w:p>
        </w:tc>
        <w:tc>
          <w:tcPr>
            <w:tcW w:w="1488" w:type="dxa"/>
            <w:tcBorders>
              <w:top w:val="nil"/>
              <w:left w:val="nil"/>
              <w:bottom w:val="single" w:sz="4" w:space="0" w:color="auto"/>
              <w:right w:val="nil"/>
            </w:tcBorders>
            <w:shd w:val="clear" w:color="auto" w:fill="auto"/>
            <w:noWrap/>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21</w:t>
            </w:r>
          </w:p>
        </w:tc>
        <w:tc>
          <w:tcPr>
            <w:tcW w:w="1489" w:type="dxa"/>
            <w:gridSpan w:val="2"/>
            <w:tcBorders>
              <w:top w:val="nil"/>
              <w:left w:val="nil"/>
              <w:bottom w:val="single" w:sz="4" w:space="0" w:color="auto"/>
              <w:right w:val="nil"/>
            </w:tcBorders>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14</w:t>
            </w:r>
          </w:p>
        </w:tc>
        <w:tc>
          <w:tcPr>
            <w:tcW w:w="1418" w:type="dxa"/>
            <w:tcBorders>
              <w:top w:val="nil"/>
              <w:left w:val="nil"/>
              <w:bottom w:val="single" w:sz="4" w:space="0" w:color="auto"/>
              <w:right w:val="nil"/>
            </w:tcBorders>
            <w:shd w:val="clear" w:color="auto" w:fill="auto"/>
            <w:noWrap/>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1.000</w:t>
            </w:r>
          </w:p>
        </w:tc>
        <w:tc>
          <w:tcPr>
            <w:tcW w:w="1559" w:type="dxa"/>
            <w:gridSpan w:val="2"/>
            <w:tcBorders>
              <w:top w:val="nil"/>
              <w:left w:val="nil"/>
              <w:bottom w:val="single" w:sz="4" w:space="0" w:color="auto"/>
              <w:right w:val="nil"/>
            </w:tcBorders>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10</w:t>
            </w:r>
          </w:p>
        </w:tc>
        <w:tc>
          <w:tcPr>
            <w:tcW w:w="1489" w:type="dxa"/>
            <w:tcBorders>
              <w:top w:val="nil"/>
              <w:left w:val="nil"/>
              <w:bottom w:val="single" w:sz="4" w:space="0" w:color="auto"/>
              <w:right w:val="nil"/>
            </w:tcBorders>
          </w:tcPr>
          <w:p w:rsidR="00A81AD6" w:rsidRPr="00D53E18" w:rsidRDefault="00A81AD6" w:rsidP="004575A0">
            <w:pPr>
              <w:pStyle w:val="NoSpacing"/>
              <w:jc w:val="center"/>
              <w:rPr>
                <w:rFonts w:ascii="Times New Roman" w:hAnsi="Times New Roman" w:cs="Times New Roman"/>
              </w:rPr>
            </w:pPr>
            <w:r w:rsidRPr="00D53E18">
              <w:rPr>
                <w:rFonts w:ascii="Times New Roman" w:hAnsi="Times New Roman" w:cs="Times New Roman"/>
              </w:rPr>
              <w:t>11</w:t>
            </w:r>
          </w:p>
        </w:tc>
        <w:tc>
          <w:tcPr>
            <w:tcW w:w="1489" w:type="dxa"/>
            <w:tcBorders>
              <w:top w:val="nil"/>
              <w:left w:val="nil"/>
              <w:bottom w:val="single" w:sz="4" w:space="0" w:color="auto"/>
              <w:right w:val="nil"/>
            </w:tcBorders>
          </w:tcPr>
          <w:p w:rsidR="00A81AD6" w:rsidRPr="00D53E18" w:rsidRDefault="00DB16F1" w:rsidP="004575A0">
            <w:pPr>
              <w:pStyle w:val="NoSpacing"/>
              <w:jc w:val="center"/>
              <w:rPr>
                <w:rFonts w:ascii="Times New Roman" w:hAnsi="Times New Roman" w:cs="Times New Roman"/>
              </w:rPr>
            </w:pPr>
            <w:r>
              <w:rPr>
                <w:rFonts w:ascii="Times New Roman" w:hAnsi="Times New Roman" w:cs="Times New Roman"/>
              </w:rPr>
              <w:t>(0.90</w:t>
            </w:r>
            <w:r w:rsidR="00A81AD6" w:rsidRPr="00D53E18">
              <w:rPr>
                <w:rFonts w:ascii="Times New Roman" w:hAnsi="Times New Roman" w:cs="Times New Roman"/>
              </w:rPr>
              <w:t>)</w:t>
            </w:r>
          </w:p>
        </w:tc>
      </w:tr>
    </w:tbl>
    <w:p w:rsidR="00BB6D9D" w:rsidRDefault="001B5C59" w:rsidP="00A203CD">
      <w:pPr>
        <w:pStyle w:val="NoSpacing"/>
        <w:ind w:left="720"/>
        <w:rPr>
          <w:rFonts w:ascii="Times New Roman" w:hAnsi="Times New Roman" w:cs="Times New Roman"/>
        </w:rPr>
      </w:pPr>
      <w:proofErr w:type="spellStart"/>
      <w:proofErr w:type="gramStart"/>
      <w:r w:rsidRPr="001B5C59">
        <w:rPr>
          <w:rFonts w:ascii="Times New Roman" w:hAnsi="Times New Roman" w:cs="Times New Roman"/>
          <w:vertAlign w:val="superscript"/>
        </w:rPr>
        <w:t>a</w:t>
      </w:r>
      <w:proofErr w:type="spellEnd"/>
      <w:proofErr w:type="gramEnd"/>
      <w:r>
        <w:rPr>
          <w:rFonts w:ascii="Times New Roman" w:hAnsi="Times New Roman" w:cs="Times New Roman"/>
        </w:rPr>
        <w:t xml:space="preserve"> </w:t>
      </w:r>
      <w:r w:rsidR="00BB56F9">
        <w:rPr>
          <w:rFonts w:ascii="Times New Roman" w:hAnsi="Times New Roman" w:cs="Times New Roman"/>
        </w:rPr>
        <w:t xml:space="preserve">The total count includes all </w:t>
      </w:r>
      <w:r>
        <w:rPr>
          <w:rFonts w:ascii="Times New Roman" w:hAnsi="Times New Roman" w:cs="Times New Roman"/>
        </w:rPr>
        <w:t>frequency counts</w:t>
      </w:r>
      <w:r w:rsidR="00BB56F9">
        <w:rPr>
          <w:rFonts w:ascii="Times New Roman" w:hAnsi="Times New Roman" w:cs="Times New Roman"/>
        </w:rPr>
        <w:t xml:space="preserve"> (including multiple responses for the same respondent).</w:t>
      </w:r>
    </w:p>
    <w:p w:rsidR="0061533F" w:rsidRDefault="001B5C59" w:rsidP="00A203CD">
      <w:pPr>
        <w:pStyle w:val="NoSpacing"/>
        <w:ind w:left="720"/>
        <w:rPr>
          <w:rFonts w:ascii="Times New Roman" w:hAnsi="Times New Roman" w:cs="Times New Roman"/>
        </w:rPr>
      </w:pPr>
      <w:proofErr w:type="gramStart"/>
      <w:r w:rsidRPr="001B5C59">
        <w:rPr>
          <w:rFonts w:ascii="Times New Roman" w:hAnsi="Times New Roman" w:cs="Times New Roman"/>
          <w:vertAlign w:val="superscript"/>
        </w:rPr>
        <w:t>b</w:t>
      </w:r>
      <w:proofErr w:type="gramEnd"/>
      <w:r>
        <w:rPr>
          <w:rFonts w:ascii="Times New Roman" w:hAnsi="Times New Roman" w:cs="Times New Roman"/>
        </w:rPr>
        <w:t xml:space="preserve"> The one count per respondent eliminates any bias by a single respondent making multiple responses.</w:t>
      </w:r>
      <w:r w:rsidR="0061533F">
        <w:rPr>
          <w:rFonts w:ascii="Times New Roman" w:hAnsi="Times New Roman" w:cs="Times New Roman"/>
        </w:rPr>
        <w:t xml:space="preserve"> However, a respondent </w:t>
      </w:r>
    </w:p>
    <w:p w:rsidR="001B5C59" w:rsidRDefault="0061533F" w:rsidP="00A203CD">
      <w:pPr>
        <w:pStyle w:val="NoSpacing"/>
        <w:ind w:left="720"/>
        <w:rPr>
          <w:rFonts w:ascii="Times New Roman" w:hAnsi="Times New Roman" w:cs="Times New Roman"/>
        </w:rPr>
      </w:pPr>
      <w:proofErr w:type="gramStart"/>
      <w:r>
        <w:rPr>
          <w:rFonts w:ascii="Times New Roman" w:hAnsi="Times New Roman" w:cs="Times New Roman"/>
        </w:rPr>
        <w:t>can</w:t>
      </w:r>
      <w:proofErr w:type="gramEnd"/>
      <w:r>
        <w:rPr>
          <w:rFonts w:ascii="Times New Roman" w:hAnsi="Times New Roman" w:cs="Times New Roman"/>
        </w:rPr>
        <w:t xml:space="preserve"> make both a positive and a negative comment on a specific theme.</w:t>
      </w:r>
    </w:p>
    <w:p w:rsidR="00C461E0" w:rsidRPr="001B5C59" w:rsidRDefault="00C461E0" w:rsidP="00A203CD">
      <w:pPr>
        <w:pStyle w:val="NoSpacing"/>
        <w:ind w:left="720"/>
        <w:rPr>
          <w:rFonts w:ascii="Times New Roman" w:hAnsi="Times New Roman" w:cs="Times New Roman"/>
        </w:rPr>
      </w:pPr>
      <w:proofErr w:type="gramStart"/>
      <w:r w:rsidRPr="00C461E0">
        <w:rPr>
          <w:rFonts w:ascii="Times New Roman" w:hAnsi="Times New Roman" w:cs="Times New Roman"/>
          <w:vertAlign w:val="superscript"/>
        </w:rPr>
        <w:t>c</w:t>
      </w:r>
      <w:proofErr w:type="gramEnd"/>
      <w:r>
        <w:rPr>
          <w:rFonts w:ascii="Times New Roman" w:hAnsi="Times New Roman" w:cs="Times New Roman"/>
          <w:vertAlign w:val="superscript"/>
        </w:rPr>
        <w:t xml:space="preserve"> </w:t>
      </w:r>
      <w:r w:rsidRPr="00C461E0">
        <w:rPr>
          <w:rFonts w:ascii="Times New Roman" w:hAnsi="Times New Roman" w:cs="Times New Roman"/>
        </w:rPr>
        <w:t>The</w:t>
      </w:r>
      <w:r>
        <w:rPr>
          <w:rFonts w:ascii="Times New Roman" w:hAnsi="Times New Roman" w:cs="Times New Roman"/>
        </w:rPr>
        <w:t>re were 13 early adopter interviews and 13 late adopter interviews.</w:t>
      </w:r>
    </w:p>
    <w:sectPr w:rsidR="00C461E0" w:rsidRPr="001B5C59" w:rsidSect="00AF7B6A">
      <w:endnotePr>
        <w:numFmt w:val="decimal"/>
      </w:endnotePr>
      <w:pgSz w:w="16838" w:h="11906" w:orient="landscape"/>
      <w:pgMar w:top="1440" w:right="1077" w:bottom="1440"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6119" w:rsidRDefault="00E86119" w:rsidP="004F4993">
      <w:r>
        <w:separator/>
      </w:r>
    </w:p>
  </w:endnote>
  <w:endnote w:type="continuationSeparator" w:id="0">
    <w:p w:rsidR="00E86119" w:rsidRDefault="00E86119" w:rsidP="004F49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yriad Pro">
    <w:altName w:val="Myriad Pro"/>
    <w:panose1 w:val="00000000000000000000"/>
    <w:charset w:val="00"/>
    <w:family w:val="swiss"/>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6C1F" w:rsidRDefault="000A6C1F" w:rsidP="004F4993">
    <w:pPr>
      <w:pStyle w:val="Footer"/>
    </w:pPr>
    <w:r>
      <w:t>20</w:t>
    </w:r>
  </w:p>
  <w:p w:rsidR="000A6C1F" w:rsidRDefault="000A6C1F" w:rsidP="004F499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6C1F" w:rsidRDefault="000A6C1F" w:rsidP="0054404D">
    <w:pPr>
      <w:pStyle w:val="Footer"/>
      <w:jc w:val="right"/>
    </w:pPr>
    <w:r>
      <w:fldChar w:fldCharType="begin"/>
    </w:r>
    <w:r>
      <w:instrText xml:space="preserve"> PAGE   \* MERGEFORMAT </w:instrText>
    </w:r>
    <w:r>
      <w:fldChar w:fldCharType="separate"/>
    </w:r>
    <w:r w:rsidR="00DA763B">
      <w:rPr>
        <w:noProof/>
      </w:rPr>
      <w:t>10</w:t>
    </w:r>
    <w:r>
      <w:rPr>
        <w:noProof/>
      </w:rPr>
      <w:fldChar w:fldCharType="end"/>
    </w:r>
  </w:p>
  <w:p w:rsidR="000A6C1F" w:rsidRDefault="000A6C1F" w:rsidP="004F499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6119" w:rsidRDefault="00E86119" w:rsidP="004F4993">
      <w:r>
        <w:separator/>
      </w:r>
    </w:p>
  </w:footnote>
  <w:footnote w:type="continuationSeparator" w:id="0">
    <w:p w:rsidR="00E86119" w:rsidRDefault="00E86119" w:rsidP="004F4993">
      <w:r>
        <w:continuationSeparator/>
      </w:r>
    </w:p>
  </w:footnote>
  <w:footnote w:id="1">
    <w:p w:rsidR="000A6C1F" w:rsidRDefault="000A6C1F" w:rsidP="00FA58D7">
      <w:pPr>
        <w:pStyle w:val="FootnoteText"/>
        <w:spacing w:line="240" w:lineRule="auto"/>
        <w:ind w:firstLine="357"/>
      </w:pPr>
      <w:r>
        <w:rPr>
          <w:rStyle w:val="FootnoteReference"/>
        </w:rPr>
        <w:footnoteRef/>
      </w:r>
      <w:r>
        <w:t xml:space="preserve"> </w:t>
      </w:r>
      <w:r w:rsidRPr="00EC35C9">
        <w:rPr>
          <w:rStyle w:val="FootnoteReference"/>
          <w:rFonts w:ascii="Times New Roman" w:hAnsi="Times New Roman" w:cs="Times New Roman"/>
          <w:szCs w:val="20"/>
          <w:vertAlign w:val="baseline"/>
        </w:rPr>
        <w:t>The terms ‘convergence’, ‘</w:t>
      </w:r>
      <w:r w:rsidRPr="006A4387">
        <w:rPr>
          <w:rStyle w:val="FootnoteReference"/>
          <w:rFonts w:ascii="Times New Roman" w:hAnsi="Times New Roman" w:cs="Times New Roman"/>
          <w:szCs w:val="20"/>
          <w:vertAlign w:val="baseline"/>
        </w:rPr>
        <w:t>harmonisation</w:t>
      </w:r>
      <w:r w:rsidRPr="00EC35C9">
        <w:rPr>
          <w:rStyle w:val="FootnoteReference"/>
          <w:rFonts w:ascii="Times New Roman" w:hAnsi="Times New Roman" w:cs="Times New Roman"/>
          <w:szCs w:val="20"/>
          <w:vertAlign w:val="baseline"/>
        </w:rPr>
        <w:t>’ and ‘adoption’ have similar but slightly different meanings</w:t>
      </w:r>
      <w:r>
        <w:rPr>
          <w:rFonts w:ascii="Times New Roman" w:hAnsi="Times New Roman" w:cs="Times New Roman"/>
          <w:szCs w:val="20"/>
        </w:rPr>
        <w:t xml:space="preserve"> (</w:t>
      </w:r>
      <w:proofErr w:type="spellStart"/>
      <w:r>
        <w:rPr>
          <w:rFonts w:ascii="Times New Roman" w:hAnsi="Times New Roman" w:cs="Times New Roman"/>
          <w:szCs w:val="20"/>
        </w:rPr>
        <w:t>Zeff</w:t>
      </w:r>
      <w:proofErr w:type="spellEnd"/>
      <w:r>
        <w:rPr>
          <w:rFonts w:ascii="Times New Roman" w:hAnsi="Times New Roman" w:cs="Times New Roman"/>
          <w:szCs w:val="20"/>
        </w:rPr>
        <w:t xml:space="preserve"> and </w:t>
      </w:r>
      <w:proofErr w:type="spellStart"/>
      <w:r>
        <w:rPr>
          <w:rFonts w:ascii="Times New Roman" w:hAnsi="Times New Roman" w:cs="Times New Roman"/>
          <w:szCs w:val="20"/>
        </w:rPr>
        <w:t>Nobes</w:t>
      </w:r>
      <w:proofErr w:type="spellEnd"/>
      <w:r>
        <w:rPr>
          <w:rFonts w:ascii="Times New Roman" w:hAnsi="Times New Roman" w:cs="Times New Roman"/>
          <w:szCs w:val="20"/>
        </w:rPr>
        <w:t>, 2010)</w:t>
      </w:r>
      <w:r w:rsidRPr="00EC35C9">
        <w:rPr>
          <w:rStyle w:val="FootnoteReference"/>
          <w:rFonts w:ascii="Times New Roman" w:hAnsi="Times New Roman" w:cs="Times New Roman"/>
          <w:szCs w:val="20"/>
          <w:vertAlign w:val="baseline"/>
        </w:rPr>
        <w:t>. ‘Adoption’ is used in this paper to describe New Zealand’s implementation of IFRS, which involved the introduction of a new set of accounting standards in place of the previous standards.</w:t>
      </w:r>
    </w:p>
  </w:footnote>
  <w:footnote w:id="2">
    <w:p w:rsidR="000A6C1F" w:rsidRPr="00F20CA9" w:rsidRDefault="000A6C1F" w:rsidP="00FA58D7">
      <w:pPr>
        <w:pStyle w:val="FootnoteText"/>
        <w:spacing w:line="240" w:lineRule="auto"/>
        <w:rPr>
          <w:lang w:val="en-NZ"/>
        </w:rPr>
      </w:pPr>
      <w:r>
        <w:rPr>
          <w:rStyle w:val="FootnoteReference"/>
        </w:rPr>
        <w:footnoteRef/>
      </w:r>
      <w:r>
        <w:t xml:space="preserve"> </w:t>
      </w:r>
      <w:r w:rsidRPr="00296D10">
        <w:rPr>
          <w:rFonts w:ascii="Times New Roman" w:hAnsi="Times New Roman" w:cs="Times New Roman"/>
          <w:lang w:val="en-NZ"/>
        </w:rPr>
        <w:t>We refer to these two groups as early and late adopters</w:t>
      </w:r>
      <w:r>
        <w:rPr>
          <w:lang w:val="en-NZ"/>
        </w:rPr>
        <w:t>.</w:t>
      </w:r>
    </w:p>
  </w:footnote>
  <w:footnote w:id="3">
    <w:p w:rsidR="000A6C1F" w:rsidRPr="00FA58D7" w:rsidRDefault="000A6C1F" w:rsidP="00FA58D7">
      <w:pPr>
        <w:pStyle w:val="FootnoteText"/>
        <w:spacing w:line="240" w:lineRule="auto"/>
        <w:rPr>
          <w:lang w:val="en-NZ"/>
        </w:rPr>
      </w:pPr>
      <w:r>
        <w:rPr>
          <w:rStyle w:val="FootnoteReference"/>
        </w:rPr>
        <w:footnoteRef/>
      </w:r>
      <w:r>
        <w:t xml:space="preserve"> </w:t>
      </w:r>
      <w:r w:rsidRPr="00FA58D7">
        <w:rPr>
          <w:rStyle w:val="FootnoteReference"/>
          <w:rFonts w:ascii="Times New Roman" w:hAnsi="Times New Roman" w:cs="Times New Roman"/>
          <w:szCs w:val="20"/>
          <w:vertAlign w:val="baseline"/>
        </w:rPr>
        <w:t>Early adoption refers to the whole of the financial statements, not just the adoption of individual accounting standards</w:t>
      </w:r>
      <w:r>
        <w:rPr>
          <w:rFonts w:ascii="Times New Roman" w:hAnsi="Times New Roman" w:cs="Times New Roman"/>
          <w:szCs w:val="20"/>
        </w:rPr>
        <w:t>.</w:t>
      </w:r>
    </w:p>
  </w:footnote>
  <w:footnote w:id="4">
    <w:p w:rsidR="000A6C1F" w:rsidRPr="00B53B2B" w:rsidRDefault="000A6C1F" w:rsidP="00DC6930">
      <w:pPr>
        <w:pStyle w:val="FootnoteText"/>
        <w:spacing w:line="240" w:lineRule="auto"/>
        <w:rPr>
          <w:rStyle w:val="FootnoteReference"/>
          <w:rFonts w:ascii="Times New Roman" w:hAnsi="Times New Roman" w:cs="Times New Roman"/>
          <w:szCs w:val="20"/>
          <w:vertAlign w:val="baseline"/>
        </w:rPr>
      </w:pPr>
      <w:r>
        <w:rPr>
          <w:rStyle w:val="FootnoteReference"/>
        </w:rPr>
        <w:footnoteRef/>
      </w:r>
      <w:r>
        <w:t xml:space="preserve"> </w:t>
      </w:r>
      <w:r w:rsidRPr="00DC6930">
        <w:rPr>
          <w:rFonts w:ascii="Times New Roman" w:hAnsi="Times New Roman" w:cs="Times New Roman"/>
          <w:szCs w:val="20"/>
        </w:rPr>
        <w:t xml:space="preserve">Fields </w:t>
      </w:r>
      <w:r w:rsidRPr="00107825">
        <w:rPr>
          <w:rFonts w:ascii="Times New Roman" w:hAnsi="Times New Roman" w:cs="Times New Roman"/>
          <w:i/>
          <w:szCs w:val="20"/>
        </w:rPr>
        <w:t>et al</w:t>
      </w:r>
      <w:r w:rsidRPr="00DC6930">
        <w:rPr>
          <w:rFonts w:ascii="Times New Roman" w:hAnsi="Times New Roman" w:cs="Times New Roman"/>
          <w:szCs w:val="20"/>
        </w:rPr>
        <w:t>. (2001) note that prior research mostly focuses on the choice related to a single accounting standard</w:t>
      </w:r>
      <w:r>
        <w:rPr>
          <w:rFonts w:ascii="Times New Roman" w:hAnsi="Times New Roman" w:cs="Times New Roman"/>
          <w:szCs w:val="20"/>
        </w:rPr>
        <w:t>.</w:t>
      </w:r>
      <w:r w:rsidRPr="00DC6930">
        <w:rPr>
          <w:rStyle w:val="FootnoteReference"/>
          <w:rFonts w:ascii="Times New Roman" w:hAnsi="Times New Roman" w:cs="Times New Roman"/>
          <w:szCs w:val="20"/>
          <w:vertAlign w:val="baseline"/>
        </w:rPr>
        <w:t xml:space="preserve"> </w:t>
      </w:r>
      <w:r>
        <w:rPr>
          <w:rFonts w:ascii="Times New Roman" w:hAnsi="Times New Roman" w:cs="Times New Roman"/>
          <w:szCs w:val="20"/>
        </w:rPr>
        <w:t>S</w:t>
      </w:r>
      <w:r w:rsidRPr="00B53B2B">
        <w:rPr>
          <w:rStyle w:val="FootnoteReference"/>
          <w:rFonts w:ascii="Times New Roman" w:hAnsi="Times New Roman" w:cs="Times New Roman"/>
          <w:szCs w:val="20"/>
          <w:vertAlign w:val="baseline"/>
        </w:rPr>
        <w:t xml:space="preserve">ingle accounting choice studies on IFRS include Cairns, </w:t>
      </w:r>
      <w:proofErr w:type="spellStart"/>
      <w:r w:rsidRPr="00B53B2B">
        <w:rPr>
          <w:rStyle w:val="FootnoteReference"/>
          <w:rFonts w:ascii="Times New Roman" w:hAnsi="Times New Roman" w:cs="Times New Roman"/>
          <w:szCs w:val="20"/>
          <w:vertAlign w:val="baseline"/>
        </w:rPr>
        <w:t>Massoudi</w:t>
      </w:r>
      <w:proofErr w:type="spellEnd"/>
      <w:r w:rsidRPr="00B53B2B">
        <w:rPr>
          <w:rStyle w:val="FootnoteReference"/>
          <w:rFonts w:ascii="Times New Roman" w:hAnsi="Times New Roman" w:cs="Times New Roman"/>
          <w:szCs w:val="20"/>
          <w:vertAlign w:val="baseline"/>
        </w:rPr>
        <w:t xml:space="preserve">, </w:t>
      </w:r>
      <w:proofErr w:type="spellStart"/>
      <w:r w:rsidRPr="00B53B2B">
        <w:rPr>
          <w:rStyle w:val="FootnoteReference"/>
          <w:rFonts w:ascii="Times New Roman" w:hAnsi="Times New Roman" w:cs="Times New Roman"/>
          <w:szCs w:val="20"/>
          <w:vertAlign w:val="baseline"/>
        </w:rPr>
        <w:t>Taplin</w:t>
      </w:r>
      <w:proofErr w:type="spellEnd"/>
      <w:r w:rsidRPr="00B53B2B">
        <w:rPr>
          <w:rStyle w:val="FootnoteReference"/>
          <w:rFonts w:ascii="Times New Roman" w:hAnsi="Times New Roman" w:cs="Times New Roman"/>
          <w:szCs w:val="20"/>
          <w:vertAlign w:val="baseline"/>
        </w:rPr>
        <w:t xml:space="preserve"> and </w:t>
      </w:r>
      <w:proofErr w:type="spellStart"/>
      <w:r w:rsidRPr="00B53B2B">
        <w:rPr>
          <w:rStyle w:val="FootnoteReference"/>
          <w:rFonts w:ascii="Times New Roman" w:hAnsi="Times New Roman" w:cs="Times New Roman"/>
          <w:szCs w:val="20"/>
          <w:vertAlign w:val="baseline"/>
        </w:rPr>
        <w:t>Tarca</w:t>
      </w:r>
      <w:proofErr w:type="spellEnd"/>
      <w:r w:rsidRPr="00B53B2B">
        <w:rPr>
          <w:rStyle w:val="FootnoteReference"/>
          <w:rFonts w:ascii="Times New Roman" w:hAnsi="Times New Roman" w:cs="Times New Roman"/>
          <w:szCs w:val="20"/>
          <w:vertAlign w:val="baseline"/>
        </w:rPr>
        <w:t xml:space="preserve"> (2011); </w:t>
      </w:r>
      <w:proofErr w:type="spellStart"/>
      <w:r w:rsidRPr="00B53B2B">
        <w:rPr>
          <w:rStyle w:val="FootnoteReference"/>
          <w:rFonts w:ascii="Times New Roman" w:hAnsi="Times New Roman" w:cs="Times New Roman"/>
          <w:szCs w:val="20"/>
          <w:vertAlign w:val="baseline"/>
        </w:rPr>
        <w:t>Iatrid</w:t>
      </w:r>
      <w:r>
        <w:rPr>
          <w:rFonts w:ascii="Times New Roman" w:hAnsi="Times New Roman" w:cs="Times New Roman"/>
          <w:szCs w:val="20"/>
        </w:rPr>
        <w:t>i</w:t>
      </w:r>
      <w:r w:rsidRPr="00B53B2B">
        <w:rPr>
          <w:rStyle w:val="FootnoteReference"/>
          <w:rFonts w:ascii="Times New Roman" w:hAnsi="Times New Roman" w:cs="Times New Roman"/>
          <w:szCs w:val="20"/>
          <w:vertAlign w:val="baseline"/>
        </w:rPr>
        <w:t>s</w:t>
      </w:r>
      <w:proofErr w:type="spellEnd"/>
      <w:r w:rsidRPr="00B53B2B">
        <w:rPr>
          <w:rStyle w:val="FootnoteReference"/>
          <w:rFonts w:ascii="Times New Roman" w:hAnsi="Times New Roman" w:cs="Times New Roman"/>
          <w:szCs w:val="20"/>
          <w:vertAlign w:val="baseline"/>
        </w:rPr>
        <w:t xml:space="preserve"> (2012); Jones and Finley (2011) and </w:t>
      </w:r>
      <w:proofErr w:type="spellStart"/>
      <w:r w:rsidRPr="00B53B2B">
        <w:rPr>
          <w:rStyle w:val="FootnoteReference"/>
          <w:rFonts w:ascii="Times New Roman" w:hAnsi="Times New Roman" w:cs="Times New Roman"/>
          <w:szCs w:val="20"/>
          <w:vertAlign w:val="baseline"/>
        </w:rPr>
        <w:t>Tsalavouta</w:t>
      </w:r>
      <w:r>
        <w:rPr>
          <w:rFonts w:ascii="Times New Roman" w:hAnsi="Times New Roman" w:cs="Times New Roman"/>
          <w:szCs w:val="20"/>
        </w:rPr>
        <w:t>s</w:t>
      </w:r>
      <w:proofErr w:type="spellEnd"/>
      <w:r>
        <w:rPr>
          <w:rFonts w:ascii="Times New Roman" w:hAnsi="Times New Roman" w:cs="Times New Roman"/>
          <w:szCs w:val="20"/>
        </w:rPr>
        <w:t>, André and Evans</w:t>
      </w:r>
      <w:r>
        <w:rPr>
          <w:rFonts w:ascii="Times New Roman" w:hAnsi="Times New Roman" w:cs="Times New Roman"/>
          <w:i/>
          <w:szCs w:val="20"/>
        </w:rPr>
        <w:t xml:space="preserve"> </w:t>
      </w:r>
      <w:r w:rsidRPr="00B53B2B">
        <w:rPr>
          <w:rStyle w:val="FootnoteReference"/>
          <w:rFonts w:ascii="Times New Roman" w:hAnsi="Times New Roman" w:cs="Times New Roman"/>
          <w:szCs w:val="20"/>
          <w:vertAlign w:val="baseline"/>
        </w:rPr>
        <w:t>(2012).</w:t>
      </w:r>
    </w:p>
  </w:footnote>
  <w:footnote w:id="5">
    <w:p w:rsidR="000A6C1F" w:rsidRPr="00356DE1" w:rsidRDefault="000A6C1F" w:rsidP="00665C8A">
      <w:pPr>
        <w:pStyle w:val="FootnoteText"/>
        <w:spacing w:line="240" w:lineRule="auto"/>
        <w:rPr>
          <w:lang w:val="en-NZ"/>
        </w:rPr>
      </w:pPr>
      <w:r w:rsidRPr="00665C8A">
        <w:rPr>
          <w:rStyle w:val="FootnoteReference"/>
          <w:rFonts w:ascii="Times New Roman" w:hAnsi="Times New Roman" w:cs="Times New Roman"/>
          <w:szCs w:val="20"/>
          <w:vertAlign w:val="baseline"/>
        </w:rPr>
        <w:footnoteRef/>
      </w:r>
      <w:r w:rsidRPr="00665C8A">
        <w:rPr>
          <w:rStyle w:val="FootnoteReference"/>
          <w:rFonts w:ascii="Times New Roman" w:hAnsi="Times New Roman" w:cs="Times New Roman"/>
          <w:szCs w:val="20"/>
          <w:vertAlign w:val="baseline"/>
        </w:rPr>
        <w:t xml:space="preserve"> See Graham, Harvey and </w:t>
      </w:r>
      <w:proofErr w:type="spellStart"/>
      <w:r w:rsidRPr="00665C8A">
        <w:rPr>
          <w:rStyle w:val="FootnoteReference"/>
          <w:rFonts w:ascii="Times New Roman" w:hAnsi="Times New Roman" w:cs="Times New Roman"/>
          <w:szCs w:val="20"/>
          <w:vertAlign w:val="baseline"/>
        </w:rPr>
        <w:t>Rajgopal</w:t>
      </w:r>
      <w:proofErr w:type="spellEnd"/>
      <w:r w:rsidRPr="00665C8A">
        <w:rPr>
          <w:rStyle w:val="FootnoteReference"/>
          <w:rFonts w:ascii="Times New Roman" w:hAnsi="Times New Roman" w:cs="Times New Roman"/>
          <w:szCs w:val="20"/>
          <w:vertAlign w:val="baseline"/>
        </w:rPr>
        <w:t xml:space="preserve"> (2005) for </w:t>
      </w:r>
      <w:r>
        <w:rPr>
          <w:rFonts w:ascii="Times New Roman" w:hAnsi="Times New Roman" w:cs="Times New Roman"/>
          <w:szCs w:val="20"/>
        </w:rPr>
        <w:t xml:space="preserve">a discussion of </w:t>
      </w:r>
      <w:r w:rsidRPr="00665C8A">
        <w:rPr>
          <w:rStyle w:val="FootnoteReference"/>
          <w:rFonts w:ascii="Times New Roman" w:hAnsi="Times New Roman" w:cs="Times New Roman"/>
          <w:szCs w:val="20"/>
          <w:vertAlign w:val="baseline"/>
        </w:rPr>
        <w:t>the comparative advantages of large sample archival studies and survey research.</w:t>
      </w:r>
    </w:p>
  </w:footnote>
  <w:footnote w:id="6">
    <w:p w:rsidR="000A6C1F" w:rsidRPr="00AF7B6A" w:rsidRDefault="000A6C1F" w:rsidP="00AF7B6A">
      <w:pPr>
        <w:pStyle w:val="FootnoteText"/>
        <w:spacing w:line="240" w:lineRule="auto"/>
        <w:rPr>
          <w:lang w:val="en-NZ"/>
        </w:rPr>
      </w:pPr>
      <w:r>
        <w:rPr>
          <w:rStyle w:val="FootnoteReference"/>
        </w:rPr>
        <w:footnoteRef/>
      </w:r>
      <w:r>
        <w:t xml:space="preserve"> </w:t>
      </w:r>
      <w:r w:rsidRPr="00930202">
        <w:rPr>
          <w:rStyle w:val="FootnoteReference"/>
          <w:rFonts w:ascii="Times New Roman" w:hAnsi="Times New Roman" w:cs="Times New Roman"/>
          <w:szCs w:val="20"/>
          <w:vertAlign w:val="baseline"/>
        </w:rPr>
        <w:t xml:space="preserve">New Zealand is an appropriate jurisdiction to examine the voluntary adoption of IFRS because it naturally controls for explanations such as </w:t>
      </w:r>
      <w:r>
        <w:rPr>
          <w:rFonts w:ascii="Times New Roman" w:hAnsi="Times New Roman" w:cs="Times New Roman"/>
          <w:szCs w:val="20"/>
        </w:rPr>
        <w:t xml:space="preserve">low </w:t>
      </w:r>
      <w:r w:rsidRPr="00930202">
        <w:rPr>
          <w:rStyle w:val="FootnoteReference"/>
          <w:rFonts w:ascii="Times New Roman" w:hAnsi="Times New Roman" w:cs="Times New Roman"/>
          <w:szCs w:val="20"/>
          <w:vertAlign w:val="baseline"/>
        </w:rPr>
        <w:t xml:space="preserve">enforcement and </w:t>
      </w:r>
      <w:r>
        <w:rPr>
          <w:rFonts w:ascii="Times New Roman" w:hAnsi="Times New Roman" w:cs="Times New Roman"/>
          <w:szCs w:val="20"/>
        </w:rPr>
        <w:t xml:space="preserve">the primacy of </w:t>
      </w:r>
      <w:r w:rsidRPr="00930202">
        <w:rPr>
          <w:rStyle w:val="FootnoteReference"/>
          <w:rFonts w:ascii="Times New Roman" w:hAnsi="Times New Roman" w:cs="Times New Roman"/>
          <w:szCs w:val="20"/>
          <w:vertAlign w:val="baseline"/>
        </w:rPr>
        <w:t>taxation</w:t>
      </w:r>
      <w:r>
        <w:rPr>
          <w:rFonts w:ascii="Times New Roman" w:hAnsi="Times New Roman" w:cs="Times New Roman"/>
          <w:szCs w:val="20"/>
        </w:rPr>
        <w:t xml:space="preserve"> accounting</w:t>
      </w:r>
      <w:r w:rsidRPr="00930202">
        <w:rPr>
          <w:rStyle w:val="FootnoteReference"/>
          <w:rFonts w:ascii="Times New Roman" w:hAnsi="Times New Roman" w:cs="Times New Roman"/>
          <w:szCs w:val="20"/>
          <w:vertAlign w:val="baseline"/>
        </w:rPr>
        <w:t xml:space="preserve">. That is, New Zealand is a relatively high enforcement jurisdiction where the tax code is separate from </w:t>
      </w:r>
      <w:r>
        <w:rPr>
          <w:rStyle w:val="FootnoteReference"/>
          <w:rFonts w:ascii="Times New Roman" w:hAnsi="Times New Roman" w:cs="Times New Roman"/>
          <w:szCs w:val="20"/>
          <w:vertAlign w:val="baseline"/>
        </w:rPr>
        <w:t>f</w:t>
      </w:r>
      <w:r>
        <w:rPr>
          <w:rFonts w:ascii="Times New Roman" w:hAnsi="Times New Roman" w:cs="Times New Roman"/>
          <w:szCs w:val="20"/>
        </w:rPr>
        <w:t>inancial reporting</w:t>
      </w:r>
      <w:r w:rsidRPr="00930202">
        <w:rPr>
          <w:rStyle w:val="FootnoteReference"/>
          <w:rFonts w:ascii="Times New Roman" w:hAnsi="Times New Roman" w:cs="Times New Roman"/>
          <w:szCs w:val="20"/>
          <w:vertAlign w:val="baseline"/>
        </w:rPr>
        <w:t>.</w:t>
      </w:r>
    </w:p>
  </w:footnote>
  <w:footnote w:id="7">
    <w:p w:rsidR="000A6C1F" w:rsidRPr="000E0793" w:rsidRDefault="000A6C1F" w:rsidP="00A07585">
      <w:pPr>
        <w:pStyle w:val="FootnoteText"/>
        <w:spacing w:line="240" w:lineRule="auto"/>
      </w:pPr>
      <w:r w:rsidRPr="00AF7B6A">
        <w:rPr>
          <w:rStyle w:val="FootnoteReference"/>
          <w:rFonts w:ascii="Times New Roman" w:hAnsi="Times New Roman" w:cs="Times New Roman"/>
          <w:sz w:val="16"/>
          <w:szCs w:val="16"/>
        </w:rPr>
        <w:footnoteRef/>
      </w:r>
      <w:r w:rsidRPr="00AF7B6A">
        <w:rPr>
          <w:rStyle w:val="FootnoteReference"/>
          <w:rFonts w:ascii="Times New Roman" w:hAnsi="Times New Roman" w:cs="Times New Roman"/>
          <w:sz w:val="16"/>
          <w:szCs w:val="16"/>
        </w:rPr>
        <w:t xml:space="preserve"> </w:t>
      </w:r>
      <w:r w:rsidRPr="00164FC9">
        <w:rPr>
          <w:rStyle w:val="FootnoteReference"/>
          <w:rFonts w:ascii="Times New Roman" w:hAnsi="Times New Roman" w:cs="Times New Roman"/>
          <w:szCs w:val="20"/>
          <w:vertAlign w:val="baseline"/>
        </w:rPr>
        <w:t xml:space="preserve">This statement is required in terms of NZ IFRS 1 </w:t>
      </w:r>
      <w:r w:rsidRPr="00706E0E">
        <w:rPr>
          <w:rStyle w:val="FootnoteReference"/>
          <w:rFonts w:ascii="Times New Roman" w:hAnsi="Times New Roman" w:cs="Times New Roman"/>
          <w:i/>
          <w:szCs w:val="20"/>
          <w:vertAlign w:val="baseline"/>
        </w:rPr>
        <w:t>First Time Adoption of New Zealand Equivalents to International Financial Reporting Standards</w:t>
      </w:r>
      <w:r w:rsidRPr="00164FC9">
        <w:rPr>
          <w:rStyle w:val="FootnoteReference"/>
          <w:rFonts w:ascii="Times New Roman" w:hAnsi="Times New Roman" w:cs="Times New Roman"/>
          <w:szCs w:val="20"/>
          <w:vertAlign w:val="baseline"/>
        </w:rPr>
        <w:t>.</w:t>
      </w:r>
    </w:p>
  </w:footnote>
  <w:footnote w:id="8">
    <w:p w:rsidR="000A6C1F" w:rsidRPr="00BC2291" w:rsidRDefault="000A6C1F" w:rsidP="00A07585">
      <w:pPr>
        <w:pStyle w:val="FootnoteText"/>
        <w:spacing w:line="240" w:lineRule="auto"/>
        <w:rPr>
          <w:rStyle w:val="FootnoteReference"/>
          <w:rFonts w:ascii="Times New Roman" w:hAnsi="Times New Roman" w:cs="Times New Roman"/>
          <w:szCs w:val="20"/>
          <w:vertAlign w:val="baseline"/>
        </w:rPr>
      </w:pPr>
      <w:r w:rsidRPr="00AF7B6A">
        <w:rPr>
          <w:rStyle w:val="FootnoteReference"/>
          <w:rFonts w:ascii="Times New Roman" w:hAnsi="Times New Roman" w:cs="Times New Roman"/>
          <w:sz w:val="16"/>
          <w:szCs w:val="16"/>
        </w:rPr>
        <w:footnoteRef/>
      </w:r>
      <w:r w:rsidRPr="00AF7B6A">
        <w:rPr>
          <w:rStyle w:val="FootnoteReference"/>
          <w:rFonts w:ascii="Times New Roman" w:hAnsi="Times New Roman" w:cs="Times New Roman"/>
          <w:sz w:val="16"/>
          <w:szCs w:val="16"/>
        </w:rPr>
        <w:t xml:space="preserve"> </w:t>
      </w:r>
      <w:proofErr w:type="spellStart"/>
      <w:r w:rsidRPr="00BC2291">
        <w:rPr>
          <w:rStyle w:val="FootnoteReference"/>
          <w:rFonts w:ascii="Times New Roman" w:hAnsi="Times New Roman" w:cs="Times New Roman"/>
          <w:szCs w:val="20"/>
          <w:vertAlign w:val="baseline"/>
        </w:rPr>
        <w:t>Boesso</w:t>
      </w:r>
      <w:proofErr w:type="spellEnd"/>
      <w:r w:rsidRPr="00BC2291">
        <w:rPr>
          <w:rStyle w:val="FootnoteReference"/>
          <w:rFonts w:ascii="Times New Roman" w:hAnsi="Times New Roman" w:cs="Times New Roman"/>
          <w:szCs w:val="20"/>
          <w:vertAlign w:val="baseline"/>
        </w:rPr>
        <w:t xml:space="preserve"> and Kumar (2007) suggest that a relatively small sample size is fairly common in studies using content analysis and refer to a number of studies with samples of 33 and fewer subjects. They note that the richness of data collected makes it a labour-intensive and time consuming methodology</w:t>
      </w:r>
      <w:r w:rsidRPr="00BC2291">
        <w:rPr>
          <w:rStyle w:val="FootnoteReference"/>
          <w:vertAlign w:val="baseline"/>
        </w:rPr>
        <w:t>.</w:t>
      </w:r>
    </w:p>
  </w:footnote>
  <w:footnote w:id="9">
    <w:p w:rsidR="000A6C1F" w:rsidRPr="00164FC9" w:rsidRDefault="000A6C1F" w:rsidP="00984D7F">
      <w:pPr>
        <w:pStyle w:val="FootnoteText"/>
        <w:spacing w:line="240" w:lineRule="auto"/>
        <w:rPr>
          <w:rFonts w:ascii="Times New Roman" w:hAnsi="Times New Roman" w:cs="Times New Roman"/>
          <w:szCs w:val="20"/>
        </w:rPr>
      </w:pPr>
      <w:r w:rsidRPr="00164FC9">
        <w:rPr>
          <w:rStyle w:val="FootnoteReference"/>
          <w:rFonts w:ascii="Times New Roman" w:hAnsi="Times New Roman" w:cs="Times New Roman"/>
          <w:szCs w:val="20"/>
        </w:rPr>
        <w:footnoteRef/>
      </w:r>
      <w:r w:rsidRPr="00164FC9">
        <w:rPr>
          <w:rStyle w:val="FootnoteReference"/>
          <w:rFonts w:ascii="Times New Roman" w:hAnsi="Times New Roman" w:cs="Times New Roman"/>
          <w:szCs w:val="20"/>
        </w:rPr>
        <w:t xml:space="preserve"> </w:t>
      </w:r>
      <w:r w:rsidRPr="00164FC9">
        <w:rPr>
          <w:rStyle w:val="FootnoteReference"/>
          <w:rFonts w:ascii="Times New Roman" w:hAnsi="Times New Roman" w:cs="Times New Roman"/>
          <w:szCs w:val="20"/>
          <w:vertAlign w:val="baseline"/>
        </w:rPr>
        <w:t xml:space="preserve">Face-to-face interviews were preferred, but telephone interviews were used where respondents were in remote locations or where this improved the likelihood of securing an interview. </w:t>
      </w:r>
    </w:p>
  </w:footnote>
  <w:footnote w:id="10">
    <w:p w:rsidR="000A6C1F" w:rsidRPr="009914BE" w:rsidRDefault="000A6C1F" w:rsidP="00984D7F">
      <w:pPr>
        <w:pStyle w:val="FootnoteText"/>
        <w:rPr>
          <w:rStyle w:val="FootnoteReference"/>
          <w:rFonts w:ascii="Times New Roman" w:hAnsi="Times New Roman" w:cs="Times New Roman"/>
          <w:szCs w:val="20"/>
          <w:vertAlign w:val="baseline"/>
        </w:rPr>
      </w:pPr>
      <w:r w:rsidRPr="009914BE">
        <w:rPr>
          <w:rStyle w:val="FootnoteReference"/>
          <w:rFonts w:ascii="Times New Roman" w:hAnsi="Times New Roman" w:cs="Times New Roman"/>
          <w:szCs w:val="20"/>
        </w:rPr>
        <w:footnoteRef/>
      </w:r>
      <w:r w:rsidRPr="009914BE">
        <w:rPr>
          <w:rStyle w:val="FootnoteReference"/>
          <w:rFonts w:ascii="Times New Roman" w:hAnsi="Times New Roman" w:cs="Times New Roman"/>
          <w:szCs w:val="20"/>
        </w:rPr>
        <w:t xml:space="preserve"> </w:t>
      </w:r>
      <w:r w:rsidRPr="009914BE">
        <w:rPr>
          <w:rStyle w:val="FootnoteReference"/>
          <w:rFonts w:ascii="Times New Roman" w:hAnsi="Times New Roman" w:cs="Times New Roman"/>
          <w:szCs w:val="20"/>
          <w:vertAlign w:val="baseline"/>
        </w:rPr>
        <w:t xml:space="preserve">The questionnaire may be viewed at </w:t>
      </w:r>
      <w:hyperlink r:id="rId1" w:history="1">
        <w:r w:rsidR="00586982">
          <w:rPr>
            <w:rStyle w:val="Hyperlink"/>
            <w:rFonts w:ascii="Arial" w:hAnsi="Arial" w:cs="Arial"/>
            <w:sz w:val="18"/>
            <w:szCs w:val="18"/>
          </w:rPr>
          <w:t>http://ifrssurvey.massey.ac.nz</w:t>
        </w:r>
      </w:hyperlink>
      <w:r w:rsidRPr="009914BE">
        <w:rPr>
          <w:rStyle w:val="FootnoteReference"/>
          <w:rFonts w:ascii="Times New Roman" w:hAnsi="Times New Roman" w:cs="Times New Roman"/>
          <w:szCs w:val="20"/>
          <w:vertAlign w:val="baseline"/>
        </w:rPr>
        <w:t xml:space="preserve"> </w:t>
      </w:r>
    </w:p>
  </w:footnote>
  <w:footnote w:id="11">
    <w:p w:rsidR="000A6C1F" w:rsidRPr="00AF7B6A" w:rsidRDefault="000A6C1F" w:rsidP="00A936F0">
      <w:pPr>
        <w:pStyle w:val="FootnoteText"/>
        <w:spacing w:line="240" w:lineRule="auto"/>
        <w:rPr>
          <w:rFonts w:ascii="Times New Roman" w:hAnsi="Times New Roman" w:cs="Times New Roman"/>
          <w:lang w:val="en-NZ"/>
        </w:rPr>
      </w:pPr>
      <w:r w:rsidRPr="00AF7B6A">
        <w:rPr>
          <w:rStyle w:val="FootnoteReference"/>
          <w:rFonts w:ascii="Times New Roman" w:hAnsi="Times New Roman" w:cs="Times New Roman"/>
        </w:rPr>
        <w:footnoteRef/>
      </w:r>
      <w:r w:rsidRPr="00AF7B6A">
        <w:rPr>
          <w:rFonts w:ascii="Times New Roman" w:hAnsi="Times New Roman" w:cs="Times New Roman"/>
        </w:rPr>
        <w:t xml:space="preserve"> </w:t>
      </w:r>
      <w:r w:rsidRPr="00AF7B6A">
        <w:rPr>
          <w:rFonts w:ascii="Times New Roman" w:hAnsi="Times New Roman" w:cs="Times New Roman"/>
          <w:lang w:val="en-NZ"/>
        </w:rPr>
        <w:t>The timing of IFRS adoption meant that the data collection for late adopters was approximately two and a half years later that for early adopter.  It is possible that the results could be affected by time-related changes (e.g. changes to IFRS standards that have been ongoing since 2005; changes in personnel responsible for IFRS implementation</w:t>
      </w:r>
      <w:r>
        <w:rPr>
          <w:rFonts w:ascii="Times New Roman" w:hAnsi="Times New Roman" w:cs="Times New Roman"/>
          <w:lang w:val="en-NZ"/>
        </w:rPr>
        <w:t>)</w:t>
      </w:r>
      <w:r w:rsidRPr="00AF7B6A">
        <w:rPr>
          <w:rFonts w:ascii="Times New Roman" w:hAnsi="Times New Roman" w:cs="Times New Roman"/>
          <w:lang w:val="en-NZ"/>
        </w:rPr>
        <w:t>.  The timing of data collection is recognised as a potential limitation of the study.</w:t>
      </w:r>
    </w:p>
  </w:footnote>
  <w:footnote w:id="12">
    <w:p w:rsidR="000A6C1F" w:rsidRPr="00AF7B6A" w:rsidRDefault="000A6C1F" w:rsidP="00A447EB">
      <w:pPr>
        <w:pStyle w:val="FootnoteText"/>
        <w:spacing w:line="240" w:lineRule="auto"/>
        <w:rPr>
          <w:rFonts w:ascii="Times New Roman" w:hAnsi="Times New Roman" w:cs="Times New Roman"/>
        </w:rPr>
      </w:pPr>
      <w:r w:rsidRPr="00AF7B6A">
        <w:rPr>
          <w:rStyle w:val="FootnoteReference"/>
          <w:rFonts w:ascii="Times New Roman" w:hAnsi="Times New Roman" w:cs="Times New Roman"/>
        </w:rPr>
        <w:footnoteRef/>
      </w:r>
      <w:r w:rsidRPr="00AF7B6A">
        <w:rPr>
          <w:rFonts w:ascii="Times New Roman" w:hAnsi="Times New Roman" w:cs="Times New Roman"/>
        </w:rPr>
        <w:t xml:space="preserve"> </w:t>
      </w:r>
      <w:r w:rsidRPr="00F948B2">
        <w:rPr>
          <w:rStyle w:val="FootnoteReference"/>
          <w:rFonts w:ascii="Times New Roman" w:hAnsi="Times New Roman" w:cs="Times New Roman"/>
          <w:szCs w:val="20"/>
          <w:vertAlign w:val="baseline"/>
        </w:rPr>
        <w:t xml:space="preserve">Coding decision rules were developed by two independent researchers and then clearly defined using the tools available within </w:t>
      </w:r>
      <w:proofErr w:type="spellStart"/>
      <w:r w:rsidRPr="00F948B2">
        <w:rPr>
          <w:rStyle w:val="FootnoteReference"/>
          <w:rFonts w:ascii="Times New Roman" w:hAnsi="Times New Roman" w:cs="Times New Roman"/>
          <w:szCs w:val="20"/>
          <w:vertAlign w:val="baseline"/>
        </w:rPr>
        <w:t>NVivo</w:t>
      </w:r>
      <w:proofErr w:type="spellEnd"/>
      <w:r w:rsidRPr="00F948B2">
        <w:rPr>
          <w:rStyle w:val="FootnoteReference"/>
          <w:rFonts w:ascii="Times New Roman" w:hAnsi="Times New Roman" w:cs="Times New Roman"/>
          <w:szCs w:val="20"/>
          <w:vertAlign w:val="baseline"/>
        </w:rPr>
        <w:t xml:space="preserve">. All coding was then performed by one researcher in accordance with these decision rules. Coding by this researcher was test checked by the second researcher to confirm accuracy and consistency of coding. </w:t>
      </w:r>
      <w:r w:rsidRPr="00F948B2">
        <w:rPr>
          <w:rFonts w:ascii="Times New Roman" w:hAnsi="Times New Roman" w:cs="Times New Roman"/>
          <w:szCs w:val="20"/>
        </w:rPr>
        <w:t>Any discrepancies were resolved by agreement of the two researchers.</w:t>
      </w:r>
    </w:p>
  </w:footnote>
  <w:footnote w:id="13">
    <w:p w:rsidR="000A6C1F" w:rsidRPr="00AF7B6A" w:rsidRDefault="000A6C1F" w:rsidP="00A447EB">
      <w:pPr>
        <w:pStyle w:val="FootnoteText"/>
        <w:spacing w:line="240" w:lineRule="auto"/>
        <w:ind w:firstLine="357"/>
        <w:rPr>
          <w:rFonts w:ascii="Times New Roman" w:hAnsi="Times New Roman" w:cs="Times New Roman"/>
        </w:rPr>
      </w:pPr>
      <w:r w:rsidRPr="00AF7B6A">
        <w:rPr>
          <w:rStyle w:val="FootnoteReference"/>
          <w:rFonts w:ascii="Times New Roman" w:hAnsi="Times New Roman" w:cs="Times New Roman"/>
        </w:rPr>
        <w:footnoteRef/>
      </w:r>
      <w:r w:rsidRPr="00AF7B6A">
        <w:rPr>
          <w:rStyle w:val="FootnoteReference"/>
          <w:rFonts w:ascii="Times New Roman" w:hAnsi="Times New Roman" w:cs="Times New Roman"/>
        </w:rPr>
        <w:t xml:space="preserve"> </w:t>
      </w:r>
      <w:r w:rsidRPr="00F948B2">
        <w:rPr>
          <w:rStyle w:val="FootnoteReference"/>
          <w:rFonts w:ascii="Times New Roman" w:hAnsi="Times New Roman" w:cs="Times New Roman"/>
          <w:szCs w:val="20"/>
          <w:vertAlign w:val="baseline"/>
        </w:rPr>
        <w:t xml:space="preserve">The Smith and </w:t>
      </w:r>
      <w:proofErr w:type="spellStart"/>
      <w:r w:rsidRPr="00F948B2">
        <w:rPr>
          <w:rStyle w:val="FootnoteReference"/>
          <w:rFonts w:ascii="Times New Roman" w:hAnsi="Times New Roman" w:cs="Times New Roman"/>
          <w:szCs w:val="20"/>
          <w:vertAlign w:val="baseline"/>
        </w:rPr>
        <w:t>Taffler</w:t>
      </w:r>
      <w:proofErr w:type="spellEnd"/>
      <w:r w:rsidRPr="00F948B2">
        <w:rPr>
          <w:rStyle w:val="FootnoteReference"/>
          <w:rFonts w:ascii="Times New Roman" w:hAnsi="Times New Roman" w:cs="Times New Roman"/>
          <w:szCs w:val="20"/>
          <w:vertAlign w:val="baseline"/>
        </w:rPr>
        <w:t xml:space="preserve"> (2000) framework is drawn from Osgood, </w:t>
      </w:r>
      <w:proofErr w:type="spellStart"/>
      <w:r w:rsidRPr="00F948B2">
        <w:rPr>
          <w:rStyle w:val="FootnoteReference"/>
          <w:rFonts w:ascii="Times New Roman" w:hAnsi="Times New Roman" w:cs="Times New Roman"/>
          <w:szCs w:val="20"/>
          <w:vertAlign w:val="baseline"/>
        </w:rPr>
        <w:t>Suci</w:t>
      </w:r>
      <w:proofErr w:type="spellEnd"/>
      <w:r w:rsidRPr="00F948B2">
        <w:rPr>
          <w:rStyle w:val="FootnoteReference"/>
          <w:rFonts w:ascii="Times New Roman" w:hAnsi="Times New Roman" w:cs="Times New Roman"/>
          <w:szCs w:val="20"/>
          <w:vertAlign w:val="baseline"/>
        </w:rPr>
        <w:t xml:space="preserve"> and </w:t>
      </w:r>
      <w:proofErr w:type="spellStart"/>
      <w:r w:rsidRPr="00F948B2">
        <w:rPr>
          <w:rStyle w:val="FootnoteReference"/>
          <w:rFonts w:ascii="Times New Roman" w:hAnsi="Times New Roman" w:cs="Times New Roman"/>
          <w:szCs w:val="20"/>
          <w:vertAlign w:val="baseline"/>
        </w:rPr>
        <w:t>Tannenbaum</w:t>
      </w:r>
      <w:proofErr w:type="spellEnd"/>
      <w:r w:rsidRPr="00F948B2">
        <w:rPr>
          <w:rStyle w:val="FootnoteReference"/>
          <w:rFonts w:ascii="Times New Roman" w:hAnsi="Times New Roman" w:cs="Times New Roman"/>
          <w:szCs w:val="20"/>
          <w:vertAlign w:val="baseline"/>
        </w:rPr>
        <w:t xml:space="preserve"> (1957) and Houghton (1988)</w:t>
      </w:r>
      <w:r w:rsidRPr="00176725">
        <w:rPr>
          <w:rFonts w:ascii="Times New Roman" w:hAnsi="Times New Roman" w:cs="Times New Roman"/>
          <w:szCs w:val="20"/>
        </w:rPr>
        <w:t>.</w:t>
      </w:r>
    </w:p>
  </w:footnote>
  <w:footnote w:id="14">
    <w:p w:rsidR="000A6C1F" w:rsidRPr="00164FC9" w:rsidRDefault="000A6C1F" w:rsidP="00A447EB">
      <w:pPr>
        <w:pStyle w:val="FootnoteText"/>
        <w:spacing w:line="240" w:lineRule="auto"/>
      </w:pPr>
      <w:r w:rsidRPr="003E741E">
        <w:rPr>
          <w:rStyle w:val="FootnoteReference"/>
        </w:rPr>
        <w:footnoteRef/>
      </w:r>
      <w:r w:rsidRPr="00164FC9">
        <w:rPr>
          <w:rStyle w:val="FootnoteReference"/>
          <w:rFonts w:ascii="Times New Roman" w:hAnsi="Times New Roman" w:cs="Times New Roman"/>
          <w:szCs w:val="20"/>
          <w:vertAlign w:val="baseline"/>
        </w:rPr>
        <w:t xml:space="preserve"> The</w:t>
      </w:r>
      <w:r>
        <w:rPr>
          <w:rFonts w:ascii="Times New Roman" w:hAnsi="Times New Roman" w:cs="Times New Roman"/>
          <w:szCs w:val="20"/>
        </w:rPr>
        <w:t xml:space="preserve"> coding of the</w:t>
      </w:r>
      <w:r w:rsidRPr="00164FC9">
        <w:rPr>
          <w:rStyle w:val="FootnoteReference"/>
          <w:rFonts w:ascii="Times New Roman" w:hAnsi="Times New Roman" w:cs="Times New Roman"/>
          <w:szCs w:val="20"/>
          <w:vertAlign w:val="baseline"/>
        </w:rPr>
        <w:t xml:space="preserve"> </w:t>
      </w:r>
      <w:r>
        <w:rPr>
          <w:rFonts w:ascii="Times New Roman" w:hAnsi="Times New Roman" w:cs="Times New Roman"/>
          <w:szCs w:val="20"/>
        </w:rPr>
        <w:t>responsiveness</w:t>
      </w:r>
      <w:r w:rsidRPr="00164FC9">
        <w:rPr>
          <w:rStyle w:val="FootnoteReference"/>
          <w:rFonts w:ascii="Times New Roman" w:hAnsi="Times New Roman" w:cs="Times New Roman"/>
          <w:szCs w:val="20"/>
          <w:vertAlign w:val="baseline"/>
        </w:rPr>
        <w:t xml:space="preserve"> </w:t>
      </w:r>
      <w:r>
        <w:rPr>
          <w:rFonts w:ascii="Times New Roman" w:hAnsi="Times New Roman" w:cs="Times New Roman"/>
          <w:szCs w:val="20"/>
        </w:rPr>
        <w:t xml:space="preserve">theme </w:t>
      </w:r>
      <w:r w:rsidRPr="00164FC9">
        <w:rPr>
          <w:rStyle w:val="FootnoteReference"/>
          <w:rFonts w:ascii="Times New Roman" w:hAnsi="Times New Roman" w:cs="Times New Roman"/>
          <w:szCs w:val="20"/>
          <w:vertAlign w:val="baseline"/>
        </w:rPr>
        <w:t xml:space="preserve">was not based solely on the decision to early adopt. For example, early adoption </w:t>
      </w:r>
      <w:r>
        <w:rPr>
          <w:rStyle w:val="FootnoteReference"/>
          <w:rFonts w:ascii="Times New Roman" w:hAnsi="Times New Roman" w:cs="Times New Roman"/>
          <w:szCs w:val="20"/>
          <w:vertAlign w:val="baseline"/>
        </w:rPr>
        <w:t>i</w:t>
      </w:r>
      <w:r>
        <w:rPr>
          <w:rFonts w:ascii="Times New Roman" w:hAnsi="Times New Roman" w:cs="Times New Roman"/>
          <w:szCs w:val="20"/>
        </w:rPr>
        <w:t>mposed on</w:t>
      </w:r>
      <w:r w:rsidRPr="00164FC9">
        <w:rPr>
          <w:rStyle w:val="FootnoteReference"/>
          <w:rFonts w:ascii="Times New Roman" w:hAnsi="Times New Roman" w:cs="Times New Roman"/>
          <w:szCs w:val="20"/>
          <w:vertAlign w:val="baseline"/>
        </w:rPr>
        <w:t xml:space="preserve"> a firm simply due to the requirements of an Australian parent is classified as ‘static’.</w:t>
      </w:r>
    </w:p>
  </w:footnote>
  <w:footnote w:id="15">
    <w:p w:rsidR="004A66E9" w:rsidRPr="004A66E9" w:rsidRDefault="004A66E9" w:rsidP="004A66E9">
      <w:pPr>
        <w:pStyle w:val="FootnoteText"/>
        <w:spacing w:line="240" w:lineRule="auto"/>
        <w:rPr>
          <w:rFonts w:ascii="Times New Roman" w:hAnsi="Times New Roman" w:cs="Times New Roman"/>
          <w:lang w:val="en-NZ"/>
        </w:rPr>
      </w:pPr>
      <w:r>
        <w:rPr>
          <w:rStyle w:val="FootnoteReference"/>
        </w:rPr>
        <w:footnoteRef/>
      </w:r>
      <w:r>
        <w:t xml:space="preserve"> </w:t>
      </w:r>
      <w:r w:rsidRPr="004A66E9">
        <w:rPr>
          <w:rFonts w:ascii="Times New Roman" w:hAnsi="Times New Roman" w:cs="Times New Roman"/>
          <w:lang w:val="en-NZ"/>
        </w:rPr>
        <w:t>Although the survey instrument asked respondents to rank the listed benefits of IFRS adoption (most important to least important)</w:t>
      </w:r>
      <w:r>
        <w:rPr>
          <w:rFonts w:ascii="Times New Roman" w:hAnsi="Times New Roman" w:cs="Times New Roman"/>
          <w:lang w:val="en-NZ"/>
        </w:rPr>
        <w:t xml:space="preserve">, respondents provided comments, but </w:t>
      </w:r>
      <w:r w:rsidR="00592EE0">
        <w:rPr>
          <w:rFonts w:ascii="Times New Roman" w:hAnsi="Times New Roman" w:cs="Times New Roman"/>
          <w:lang w:val="en-NZ"/>
        </w:rPr>
        <w:t xml:space="preserve">was considered unreliable because a significant number </w:t>
      </w:r>
      <w:proofErr w:type="gramStart"/>
      <w:r w:rsidR="00592EE0">
        <w:rPr>
          <w:rFonts w:ascii="Times New Roman" w:hAnsi="Times New Roman" w:cs="Times New Roman"/>
          <w:lang w:val="en-NZ"/>
        </w:rPr>
        <w:t xml:space="preserve">of </w:t>
      </w:r>
      <w:r>
        <w:rPr>
          <w:rFonts w:ascii="Times New Roman" w:hAnsi="Times New Roman" w:cs="Times New Roman"/>
          <w:lang w:val="en-NZ"/>
        </w:rPr>
        <w:t xml:space="preserve"> rankings</w:t>
      </w:r>
      <w:proofErr w:type="gramEnd"/>
      <w:r w:rsidR="00592EE0">
        <w:rPr>
          <w:rFonts w:ascii="Times New Roman" w:hAnsi="Times New Roman" w:cs="Times New Roman"/>
          <w:lang w:val="en-NZ"/>
        </w:rPr>
        <w:t xml:space="preserve"> were omitted</w:t>
      </w:r>
      <w:r>
        <w:rPr>
          <w:rFonts w:ascii="Times New Roman" w:hAnsi="Times New Roman" w:cs="Times New Roman"/>
          <w:lang w:val="en-NZ"/>
        </w:rPr>
        <w:t>.</w:t>
      </w:r>
    </w:p>
  </w:footnote>
  <w:footnote w:id="16">
    <w:p w:rsidR="000A6C1F" w:rsidRPr="00DE598B" w:rsidRDefault="000A6C1F" w:rsidP="003E468D">
      <w:pPr>
        <w:pStyle w:val="FootnoteText"/>
        <w:spacing w:line="240" w:lineRule="auto"/>
        <w:rPr>
          <w:rFonts w:ascii="Times New Roman" w:hAnsi="Times New Roman" w:cs="Times New Roman"/>
          <w:lang w:val="en-NZ"/>
        </w:rPr>
      </w:pPr>
      <w:r w:rsidRPr="00AF7B6A">
        <w:rPr>
          <w:rStyle w:val="FootnoteReference"/>
          <w:rFonts w:ascii="Times New Roman" w:hAnsi="Times New Roman" w:cs="Times New Roman"/>
        </w:rPr>
        <w:footnoteRef/>
      </w:r>
      <w:r w:rsidRPr="00AF7B6A">
        <w:rPr>
          <w:rFonts w:ascii="Times New Roman" w:hAnsi="Times New Roman" w:cs="Times New Roman"/>
        </w:rPr>
        <w:t xml:space="preserve"> </w:t>
      </w:r>
      <w:r w:rsidRPr="00DE598B">
        <w:rPr>
          <w:rFonts w:ascii="Times New Roman" w:hAnsi="Times New Roman" w:cs="Times New Roman"/>
        </w:rPr>
        <w:t xml:space="preserve">We use EAQ and </w:t>
      </w:r>
      <w:r w:rsidRPr="00DE598B">
        <w:rPr>
          <w:rFonts w:ascii="Times New Roman" w:hAnsi="Times New Roman" w:cs="Times New Roman"/>
          <w:lang w:val="en-NZ"/>
        </w:rPr>
        <w:t>LAQ reference numbers to identify early and late adopter questionnaires respectively. Similarly we use EAI and LAI reference numbers to anonymously identify early and late adopter interview transcripts.</w:t>
      </w:r>
    </w:p>
  </w:footnote>
  <w:footnote w:id="17">
    <w:p w:rsidR="000A6C1F" w:rsidRPr="00273A62" w:rsidRDefault="000A6C1F" w:rsidP="009B5ADC">
      <w:pPr>
        <w:pStyle w:val="FootnoteText"/>
        <w:spacing w:line="240" w:lineRule="auto"/>
      </w:pPr>
      <w:r w:rsidRPr="00AF7B6A">
        <w:rPr>
          <w:rStyle w:val="FootnoteReference"/>
          <w:rFonts w:ascii="Times New Roman" w:hAnsi="Times New Roman" w:cs="Times New Roman"/>
          <w:sz w:val="16"/>
          <w:szCs w:val="16"/>
        </w:rPr>
        <w:footnoteRef/>
      </w:r>
      <w:r w:rsidRPr="00AF197F">
        <w:rPr>
          <w:rStyle w:val="FootnoteReference"/>
          <w:rFonts w:ascii="Times New Roman" w:hAnsi="Times New Roman" w:cs="Times New Roman"/>
          <w:szCs w:val="20"/>
          <w:vertAlign w:val="baseline"/>
        </w:rPr>
        <w:t xml:space="preserve"> ‘Y2K’ is a reference to concerns prior to the year 2000, that there would be widespread computer malfunctions due to time-dependent computer coding which had not taken into account the potential effects of zeros in dates after the end of 1999. These concerns resulted in significant cost and effort to test and upgrade computer systems prior to 2000 to ensure that they continued working, rather than necessarily resulting in improved performance. </w:t>
      </w:r>
    </w:p>
  </w:footnote>
  <w:footnote w:id="18">
    <w:p w:rsidR="000A6C1F" w:rsidRPr="008804E4" w:rsidRDefault="000A6C1F" w:rsidP="00385562">
      <w:pPr>
        <w:pStyle w:val="FootnoteText"/>
        <w:spacing w:line="240" w:lineRule="auto"/>
      </w:pPr>
      <w:r w:rsidRPr="00AF7B6A">
        <w:rPr>
          <w:rStyle w:val="FootnoteReference"/>
          <w:rFonts w:ascii="Times New Roman" w:hAnsi="Times New Roman" w:cs="Times New Roman"/>
          <w:sz w:val="16"/>
          <w:szCs w:val="16"/>
        </w:rPr>
        <w:footnoteRef/>
      </w:r>
      <w:r w:rsidRPr="00AF197F">
        <w:rPr>
          <w:rStyle w:val="FootnoteReference"/>
          <w:rFonts w:ascii="Times New Roman" w:hAnsi="Times New Roman" w:cs="Times New Roman"/>
          <w:szCs w:val="20"/>
          <w:vertAlign w:val="baseline"/>
        </w:rPr>
        <w:t xml:space="preserve"> We tested the sensitivity by scaling </w:t>
      </w:r>
      <w:r>
        <w:rPr>
          <w:rStyle w:val="FootnoteReference"/>
          <w:rFonts w:ascii="Times New Roman" w:hAnsi="Times New Roman" w:cs="Times New Roman"/>
          <w:szCs w:val="20"/>
          <w:vertAlign w:val="baseline"/>
        </w:rPr>
        <w:t>w</w:t>
      </w:r>
      <w:proofErr w:type="gramStart"/>
      <w:r>
        <w:rPr>
          <w:rFonts w:ascii="Times New Roman" w:hAnsi="Times New Roman" w:cs="Times New Roman"/>
          <w:szCs w:val="20"/>
        </w:rPr>
        <w:t>ith</w:t>
      </w:r>
      <w:proofErr w:type="gramEnd"/>
      <w:r w:rsidRPr="00AF197F">
        <w:rPr>
          <w:rStyle w:val="FootnoteReference"/>
          <w:rFonts w:ascii="Times New Roman" w:hAnsi="Times New Roman" w:cs="Times New Roman"/>
          <w:szCs w:val="20"/>
          <w:vertAlign w:val="baseline"/>
        </w:rPr>
        <w:t xml:space="preserve"> total assets and average annual costs of preparing financial accounts. The results of alternative scaling measures are similar. We prefer scaling by </w:t>
      </w:r>
      <w:r>
        <w:rPr>
          <w:rFonts w:ascii="Times New Roman" w:hAnsi="Times New Roman" w:cs="Times New Roman"/>
          <w:szCs w:val="20"/>
        </w:rPr>
        <w:t xml:space="preserve">the </w:t>
      </w:r>
      <w:r w:rsidRPr="00AF197F">
        <w:rPr>
          <w:rStyle w:val="FootnoteReference"/>
          <w:rFonts w:ascii="Times New Roman" w:hAnsi="Times New Roman" w:cs="Times New Roman"/>
          <w:szCs w:val="20"/>
          <w:vertAlign w:val="baseline"/>
        </w:rPr>
        <w:t xml:space="preserve">audit fee </w:t>
      </w:r>
      <w:r>
        <w:rPr>
          <w:rFonts w:ascii="Times New Roman" w:hAnsi="Times New Roman" w:cs="Times New Roman"/>
          <w:szCs w:val="20"/>
        </w:rPr>
        <w:t xml:space="preserve">reported in the year of IFRS adoption, </w:t>
      </w:r>
      <w:r w:rsidRPr="00AF197F">
        <w:rPr>
          <w:rStyle w:val="FootnoteReference"/>
          <w:rFonts w:ascii="Times New Roman" w:hAnsi="Times New Roman" w:cs="Times New Roman"/>
          <w:szCs w:val="20"/>
          <w:vertAlign w:val="baseline"/>
        </w:rPr>
        <w:t>as it is</w:t>
      </w:r>
      <w:r>
        <w:rPr>
          <w:rFonts w:ascii="Times New Roman" w:hAnsi="Times New Roman" w:cs="Times New Roman"/>
          <w:szCs w:val="20"/>
        </w:rPr>
        <w:t xml:space="preserve"> a</w:t>
      </w:r>
      <w:r w:rsidRPr="00AF197F">
        <w:rPr>
          <w:rStyle w:val="FootnoteReference"/>
          <w:rFonts w:ascii="Times New Roman" w:hAnsi="Times New Roman" w:cs="Times New Roman"/>
          <w:szCs w:val="20"/>
          <w:vertAlign w:val="baseline"/>
        </w:rPr>
        <w:t xml:space="preserve"> verifiable figure</w:t>
      </w:r>
      <w:r>
        <w:rPr>
          <w:rFonts w:ascii="Times New Roman" w:hAnsi="Times New Roman" w:cs="Times New Roman"/>
          <w:szCs w:val="20"/>
        </w:rPr>
        <w:t>.</w:t>
      </w:r>
    </w:p>
  </w:footnote>
  <w:footnote w:id="19">
    <w:p w:rsidR="000A6C1F" w:rsidRPr="00164FC9" w:rsidRDefault="000A6C1F" w:rsidP="00164FC9">
      <w:pPr>
        <w:pStyle w:val="FootnoteText"/>
        <w:spacing w:line="240" w:lineRule="auto"/>
        <w:rPr>
          <w:rStyle w:val="FootnoteReference"/>
          <w:sz w:val="22"/>
        </w:rPr>
      </w:pPr>
      <w:r w:rsidRPr="00AF7B6A">
        <w:rPr>
          <w:rStyle w:val="FootnoteReference"/>
          <w:rFonts w:ascii="Times New Roman" w:hAnsi="Times New Roman" w:cs="Times New Roman"/>
          <w:sz w:val="16"/>
          <w:szCs w:val="16"/>
        </w:rPr>
        <w:footnoteRef/>
      </w:r>
      <w:r w:rsidRPr="00AF7B6A">
        <w:rPr>
          <w:rStyle w:val="FootnoteReference"/>
          <w:rFonts w:ascii="Times New Roman" w:hAnsi="Times New Roman" w:cs="Times New Roman"/>
          <w:sz w:val="16"/>
          <w:szCs w:val="16"/>
        </w:rPr>
        <w:t xml:space="preserve"> </w:t>
      </w:r>
      <w:r w:rsidRPr="00164FC9">
        <w:rPr>
          <w:rStyle w:val="FootnoteReference"/>
          <w:rFonts w:ascii="Times New Roman" w:hAnsi="Times New Roman" w:cs="Times New Roman"/>
          <w:szCs w:val="20"/>
          <w:vertAlign w:val="baseline"/>
        </w:rPr>
        <w:t>We also collected the number of staff initially appointed to manage the implementation of IFRS. However, there was little difference between this measure and the maximum. Hence, the results of the initial team are not tabulated.</w:t>
      </w:r>
    </w:p>
  </w:footnote>
  <w:footnote w:id="20">
    <w:p w:rsidR="000A6C1F" w:rsidRDefault="000A6C1F" w:rsidP="00164FC9">
      <w:pPr>
        <w:pStyle w:val="FootnoteText"/>
        <w:spacing w:line="240" w:lineRule="auto"/>
      </w:pPr>
      <w:r w:rsidRPr="00AF7B6A">
        <w:rPr>
          <w:rStyle w:val="FootnoteReference"/>
          <w:rFonts w:ascii="Times New Roman" w:hAnsi="Times New Roman" w:cs="Times New Roman"/>
          <w:sz w:val="16"/>
          <w:szCs w:val="16"/>
        </w:rPr>
        <w:footnoteRef/>
      </w:r>
      <w:r w:rsidRPr="00AF7B6A">
        <w:rPr>
          <w:rStyle w:val="FootnoteReference"/>
          <w:rFonts w:ascii="Times New Roman" w:hAnsi="Times New Roman" w:cs="Times New Roman"/>
          <w:sz w:val="16"/>
          <w:szCs w:val="16"/>
        </w:rPr>
        <w:t xml:space="preserve"> </w:t>
      </w:r>
      <w:r>
        <w:rPr>
          <w:rFonts w:ascii="Times New Roman" w:hAnsi="Times New Roman" w:cs="Times New Roman"/>
          <w:szCs w:val="20"/>
        </w:rPr>
        <w:t>‘</w:t>
      </w:r>
      <w:r w:rsidRPr="00164FC9">
        <w:rPr>
          <w:rStyle w:val="FootnoteReference"/>
          <w:rFonts w:ascii="Times New Roman" w:hAnsi="Times New Roman" w:cs="Times New Roman"/>
          <w:szCs w:val="20"/>
          <w:vertAlign w:val="baseline"/>
        </w:rPr>
        <w:t>Accounting team’ information was obtained from responses to the survey question: “what is the size of your entire financial accounting team (i.e., persons involved in preparation of financial accounts as opposed to routine data capture/administration tasks)?”.</w:t>
      </w:r>
    </w:p>
  </w:footnote>
  <w:footnote w:id="21">
    <w:p w:rsidR="000A6C1F" w:rsidRPr="00AF197F" w:rsidRDefault="000A6C1F" w:rsidP="00164FC9">
      <w:pPr>
        <w:pStyle w:val="FootnoteText"/>
        <w:spacing w:line="240" w:lineRule="auto"/>
        <w:rPr>
          <w:rStyle w:val="FootnoteReference"/>
          <w:sz w:val="22"/>
        </w:rPr>
      </w:pPr>
      <w:r w:rsidRPr="00AF7B6A">
        <w:rPr>
          <w:rStyle w:val="FootnoteReference"/>
          <w:rFonts w:ascii="Times New Roman" w:hAnsi="Times New Roman" w:cs="Times New Roman"/>
          <w:sz w:val="16"/>
          <w:szCs w:val="16"/>
        </w:rPr>
        <w:footnoteRef/>
      </w:r>
      <w:r w:rsidRPr="00AF7B6A">
        <w:rPr>
          <w:rStyle w:val="FootnoteReference"/>
          <w:rFonts w:ascii="Times New Roman" w:hAnsi="Times New Roman" w:cs="Times New Roman"/>
          <w:sz w:val="16"/>
          <w:szCs w:val="16"/>
        </w:rPr>
        <w:t xml:space="preserve"> </w:t>
      </w:r>
      <w:r w:rsidRPr="00AF197F">
        <w:rPr>
          <w:rStyle w:val="FootnoteReference"/>
          <w:rFonts w:ascii="Times New Roman" w:hAnsi="Times New Roman" w:cs="Times New Roman"/>
          <w:szCs w:val="20"/>
          <w:vertAlign w:val="baseline"/>
        </w:rPr>
        <w:t>‘Hours implementing’ reflects responses to the question: “how many person hours (to nearest hundred) do you estimate were spent on the implementation of IFRS?” The following guidance was provided: “1800 hours = one person working full time for one year (assumes 40 hour working week less 4 weeks leave, all public holidays,</w:t>
      </w:r>
      <w:r>
        <w:rPr>
          <w:rFonts w:ascii="Times New Roman" w:hAnsi="Times New Roman" w:cs="Times New Roman"/>
          <w:szCs w:val="20"/>
        </w:rPr>
        <w:t xml:space="preserve"> </w:t>
      </w:r>
      <w:r w:rsidRPr="00AF197F">
        <w:rPr>
          <w:rStyle w:val="FootnoteReference"/>
          <w:rFonts w:ascii="Times New Roman" w:hAnsi="Times New Roman" w:cs="Times New Roman"/>
          <w:szCs w:val="20"/>
          <w:vertAlign w:val="baseline"/>
        </w:rPr>
        <w:t>3 days sick leave)”.</w:t>
      </w:r>
    </w:p>
  </w:footnote>
  <w:footnote w:id="22">
    <w:p w:rsidR="000A6C1F" w:rsidRPr="00DD4FE1" w:rsidRDefault="000A6C1F" w:rsidP="00AF197F">
      <w:pPr>
        <w:pStyle w:val="FootnoteText"/>
        <w:spacing w:line="240" w:lineRule="auto"/>
        <w:rPr>
          <w:rFonts w:ascii="Times New Roman" w:hAnsi="Times New Roman" w:cs="Times New Roman"/>
        </w:rPr>
      </w:pPr>
      <w:r w:rsidRPr="00DD4FE1">
        <w:rPr>
          <w:vertAlign w:val="superscript"/>
        </w:rPr>
        <w:footnoteRef/>
      </w:r>
      <w:r w:rsidRPr="00DD4FE1">
        <w:t xml:space="preserve"> </w:t>
      </w:r>
      <w:r w:rsidRPr="00A56274">
        <w:rPr>
          <w:rStyle w:val="FootnoteReference"/>
          <w:rFonts w:ascii="Times New Roman" w:hAnsi="Times New Roman" w:cs="Times New Roman"/>
          <w:szCs w:val="20"/>
          <w:vertAlign w:val="baseline"/>
        </w:rPr>
        <w:t>Fewer</w:t>
      </w:r>
      <w:r w:rsidRPr="00184552">
        <w:rPr>
          <w:rStyle w:val="FootnoteReference"/>
          <w:rFonts w:ascii="Times New Roman" w:hAnsi="Times New Roman" w:cs="Times New Roman"/>
          <w:szCs w:val="20"/>
          <w:vertAlign w:val="baseline"/>
        </w:rPr>
        <w:t xml:space="preserve"> than 50 percent of respondents indicated </w:t>
      </w:r>
      <w:proofErr w:type="gramStart"/>
      <w:r w:rsidRPr="00184552">
        <w:rPr>
          <w:rFonts w:ascii="Times New Roman" w:hAnsi="Times New Roman" w:cs="Times New Roman"/>
          <w:szCs w:val="20"/>
        </w:rPr>
        <w:t>importance</w:t>
      </w:r>
      <w:proofErr w:type="gramEnd"/>
      <w:r w:rsidRPr="00184552">
        <w:rPr>
          <w:rFonts w:ascii="Times New Roman" w:hAnsi="Times New Roman" w:cs="Times New Roman"/>
          <w:szCs w:val="20"/>
        </w:rPr>
        <w:t xml:space="preserve"> </w:t>
      </w:r>
      <w:r w:rsidRPr="00184552">
        <w:rPr>
          <w:rStyle w:val="FootnoteReference"/>
          <w:rFonts w:ascii="Times New Roman" w:hAnsi="Times New Roman" w:cs="Times New Roman"/>
          <w:szCs w:val="20"/>
          <w:vertAlign w:val="baseline"/>
        </w:rPr>
        <w:t>rankings i</w:t>
      </w:r>
      <w:r w:rsidRPr="00184552">
        <w:rPr>
          <w:rFonts w:ascii="Times New Roman" w:hAnsi="Times New Roman" w:cs="Times New Roman"/>
          <w:szCs w:val="20"/>
        </w:rPr>
        <w:t>n terms of</w:t>
      </w:r>
      <w:r w:rsidRPr="00184552">
        <w:rPr>
          <w:rStyle w:val="FootnoteReference"/>
          <w:rFonts w:ascii="Times New Roman" w:hAnsi="Times New Roman" w:cs="Times New Roman"/>
          <w:szCs w:val="20"/>
          <w:vertAlign w:val="baseline"/>
        </w:rPr>
        <w:t xml:space="preserve"> monetary values of the contract categories.</w:t>
      </w:r>
      <w:r w:rsidRPr="00184552">
        <w:rPr>
          <w:rFonts w:ascii="Times New Roman" w:hAnsi="Times New Roman" w:cs="Times New Roman"/>
          <w:szCs w:val="20"/>
        </w:rPr>
        <w:t xml:space="preserve"> </w:t>
      </w:r>
      <w:r w:rsidRPr="00184552">
        <w:rPr>
          <w:rStyle w:val="FootnoteReference"/>
          <w:rFonts w:ascii="Times New Roman" w:hAnsi="Times New Roman" w:cs="Times New Roman"/>
          <w:szCs w:val="20"/>
          <w:vertAlign w:val="baseline"/>
        </w:rPr>
        <w:t xml:space="preserve">The maximum </w:t>
      </w:r>
      <w:r w:rsidRPr="00184552">
        <w:rPr>
          <w:rFonts w:ascii="Times New Roman" w:hAnsi="Times New Roman" w:cs="Times New Roman"/>
          <w:szCs w:val="20"/>
        </w:rPr>
        <w:t xml:space="preserve">impact </w:t>
      </w:r>
      <w:r w:rsidRPr="00184552">
        <w:rPr>
          <w:rStyle w:val="FootnoteReference"/>
          <w:rFonts w:ascii="Times New Roman" w:hAnsi="Times New Roman" w:cs="Times New Roman"/>
          <w:szCs w:val="20"/>
          <w:vertAlign w:val="baseline"/>
        </w:rPr>
        <w:t xml:space="preserve">value was 2 and </w:t>
      </w:r>
      <w:r w:rsidRPr="00184552">
        <w:rPr>
          <w:rFonts w:ascii="Times New Roman" w:hAnsi="Times New Roman" w:cs="Times New Roman"/>
          <w:szCs w:val="20"/>
        </w:rPr>
        <w:t xml:space="preserve">the </w:t>
      </w:r>
      <w:r w:rsidRPr="00184552">
        <w:rPr>
          <w:rStyle w:val="FootnoteReference"/>
          <w:rFonts w:ascii="Times New Roman" w:hAnsi="Times New Roman" w:cs="Times New Roman"/>
          <w:szCs w:val="20"/>
          <w:vertAlign w:val="baseline"/>
        </w:rPr>
        <w:t>median was 1 for all contract categories. The difference between e</w:t>
      </w:r>
      <w:r w:rsidRPr="00184552">
        <w:rPr>
          <w:rFonts w:ascii="Times New Roman" w:hAnsi="Times New Roman" w:cs="Times New Roman"/>
          <w:szCs w:val="20"/>
        </w:rPr>
        <w:t>arly</w:t>
      </w:r>
      <w:r w:rsidRPr="00184552">
        <w:rPr>
          <w:rStyle w:val="FootnoteReference"/>
          <w:rFonts w:ascii="Times New Roman" w:hAnsi="Times New Roman" w:cs="Times New Roman"/>
          <w:szCs w:val="20"/>
          <w:vertAlign w:val="baseline"/>
        </w:rPr>
        <w:t xml:space="preserve"> adopters and l</w:t>
      </w:r>
      <w:r w:rsidRPr="00184552">
        <w:rPr>
          <w:rFonts w:ascii="Times New Roman" w:hAnsi="Times New Roman" w:cs="Times New Roman"/>
          <w:szCs w:val="20"/>
        </w:rPr>
        <w:t>ate</w:t>
      </w:r>
      <w:r w:rsidRPr="00184552">
        <w:rPr>
          <w:rStyle w:val="FootnoteReference"/>
          <w:rFonts w:ascii="Times New Roman" w:hAnsi="Times New Roman" w:cs="Times New Roman"/>
          <w:szCs w:val="20"/>
          <w:vertAlign w:val="baseline"/>
        </w:rPr>
        <w:t xml:space="preserve"> adopters</w:t>
      </w:r>
      <w:r w:rsidRPr="00184552">
        <w:rPr>
          <w:rFonts w:ascii="Times New Roman" w:hAnsi="Times New Roman" w:cs="Times New Roman"/>
          <w:szCs w:val="20"/>
        </w:rPr>
        <w:t xml:space="preserve"> was not statistically significant.</w:t>
      </w:r>
    </w:p>
  </w:footnote>
  <w:footnote w:id="23">
    <w:p w:rsidR="000A6C1F" w:rsidRPr="00164FC9" w:rsidRDefault="000A6C1F" w:rsidP="00E048E1">
      <w:pPr>
        <w:pStyle w:val="FootnoteText"/>
        <w:rPr>
          <w:rFonts w:ascii="Times New Roman" w:hAnsi="Times New Roman" w:cs="Times New Roman"/>
          <w:szCs w:val="20"/>
        </w:rPr>
      </w:pPr>
      <w:r w:rsidRPr="00164FC9">
        <w:rPr>
          <w:rStyle w:val="FootnoteReference"/>
          <w:rFonts w:ascii="Times New Roman" w:hAnsi="Times New Roman" w:cs="Times New Roman"/>
          <w:szCs w:val="20"/>
        </w:rPr>
        <w:footnoteRef/>
      </w:r>
      <w:r w:rsidRPr="00164FC9">
        <w:rPr>
          <w:rFonts w:ascii="Times New Roman" w:hAnsi="Times New Roman" w:cs="Times New Roman"/>
          <w:szCs w:val="20"/>
        </w:rPr>
        <w:t xml:space="preserve"> </w:t>
      </w:r>
      <w:r>
        <w:rPr>
          <w:rFonts w:ascii="Times New Roman" w:hAnsi="Times New Roman" w:cs="Times New Roman"/>
          <w:szCs w:val="20"/>
        </w:rPr>
        <w:t>No</w:t>
      </w:r>
      <w:r w:rsidRPr="00164FC9">
        <w:rPr>
          <w:rFonts w:ascii="Times New Roman" w:hAnsi="Times New Roman" w:cs="Times New Roman"/>
          <w:szCs w:val="20"/>
        </w:rPr>
        <w:t xml:space="preserve"> firm</w:t>
      </w:r>
      <w:r>
        <w:rPr>
          <w:rFonts w:ascii="Times New Roman" w:hAnsi="Times New Roman" w:cs="Times New Roman"/>
          <w:szCs w:val="20"/>
        </w:rPr>
        <w:t>s</w:t>
      </w:r>
      <w:r w:rsidRPr="00164FC9">
        <w:rPr>
          <w:rFonts w:ascii="Times New Roman" w:hAnsi="Times New Roman" w:cs="Times New Roman"/>
          <w:szCs w:val="20"/>
        </w:rPr>
        <w:t xml:space="preserve"> </w:t>
      </w:r>
      <w:r>
        <w:rPr>
          <w:rFonts w:ascii="Times New Roman" w:hAnsi="Times New Roman" w:cs="Times New Roman"/>
          <w:szCs w:val="20"/>
        </w:rPr>
        <w:t xml:space="preserve">claimed that the </w:t>
      </w:r>
      <w:r w:rsidRPr="00164FC9">
        <w:rPr>
          <w:rFonts w:ascii="Times New Roman" w:hAnsi="Times New Roman" w:cs="Times New Roman"/>
          <w:szCs w:val="20"/>
        </w:rPr>
        <w:t>reporting quality</w:t>
      </w:r>
      <w:r>
        <w:rPr>
          <w:rFonts w:ascii="Times New Roman" w:hAnsi="Times New Roman" w:cs="Times New Roman"/>
          <w:szCs w:val="20"/>
        </w:rPr>
        <w:t xml:space="preserve"> of IFRS</w:t>
      </w:r>
      <w:r w:rsidRPr="00164FC9">
        <w:rPr>
          <w:rFonts w:ascii="Times New Roman" w:hAnsi="Times New Roman" w:cs="Times New Roman"/>
          <w:szCs w:val="20"/>
        </w:rPr>
        <w:t xml:space="preserve"> </w:t>
      </w:r>
      <w:r>
        <w:rPr>
          <w:rFonts w:ascii="Times New Roman" w:hAnsi="Times New Roman" w:cs="Times New Roman"/>
          <w:szCs w:val="20"/>
        </w:rPr>
        <w:t>would</w:t>
      </w:r>
      <w:r w:rsidRPr="00164FC9">
        <w:rPr>
          <w:rFonts w:ascii="Times New Roman" w:hAnsi="Times New Roman" w:cs="Times New Roman"/>
          <w:szCs w:val="20"/>
        </w:rPr>
        <w:t xml:space="preserve"> </w:t>
      </w:r>
      <w:r>
        <w:rPr>
          <w:rFonts w:ascii="Times New Roman" w:hAnsi="Times New Roman" w:cs="Times New Roman"/>
          <w:szCs w:val="20"/>
        </w:rPr>
        <w:t>lower</w:t>
      </w:r>
      <w:r w:rsidRPr="009050D6">
        <w:rPr>
          <w:rFonts w:ascii="Times New Roman" w:hAnsi="Times New Roman" w:cs="Times New Roman"/>
          <w:szCs w:val="20"/>
        </w:rPr>
        <w:t xml:space="preserve"> </w:t>
      </w:r>
      <w:r w:rsidRPr="00164FC9">
        <w:rPr>
          <w:rFonts w:ascii="Times New Roman" w:hAnsi="Times New Roman" w:cs="Times New Roman"/>
          <w:szCs w:val="20"/>
        </w:rPr>
        <w:t xml:space="preserve">agency costs </w:t>
      </w:r>
      <w:r>
        <w:rPr>
          <w:rFonts w:ascii="Times New Roman" w:hAnsi="Times New Roman" w:cs="Times New Roman"/>
          <w:szCs w:val="20"/>
        </w:rPr>
        <w:t>or the</w:t>
      </w:r>
      <w:r w:rsidRPr="00164FC9">
        <w:rPr>
          <w:rFonts w:ascii="Times New Roman" w:hAnsi="Times New Roman" w:cs="Times New Roman"/>
          <w:szCs w:val="20"/>
        </w:rPr>
        <w:t xml:space="preserve"> </w:t>
      </w:r>
      <w:r>
        <w:rPr>
          <w:rFonts w:ascii="Times New Roman" w:hAnsi="Times New Roman" w:cs="Times New Roman"/>
          <w:szCs w:val="20"/>
        </w:rPr>
        <w:t>cost of capital</w:t>
      </w:r>
      <w:r w:rsidRPr="00164FC9">
        <w:rPr>
          <w:rFonts w:ascii="Times New Roman" w:hAnsi="Times New Roman" w:cs="Times New Roman"/>
          <w:szCs w:val="20"/>
        </w:rPr>
        <w:t>.</w:t>
      </w:r>
    </w:p>
  </w:footnote>
  <w:footnote w:id="24">
    <w:p w:rsidR="000A6C1F" w:rsidRDefault="000A6C1F">
      <w:pPr>
        <w:pStyle w:val="FootnoteText"/>
        <w:spacing w:line="240" w:lineRule="auto"/>
        <w:rPr>
          <w:rFonts w:ascii="Times New Roman" w:hAnsi="Times New Roman" w:cs="Times New Roman"/>
          <w:lang w:val="en-NZ"/>
        </w:rPr>
      </w:pPr>
      <w:r w:rsidRPr="00706E0E">
        <w:rPr>
          <w:rStyle w:val="FootnoteReference"/>
          <w:rFonts w:ascii="Times New Roman" w:hAnsi="Times New Roman" w:cs="Times New Roman"/>
        </w:rPr>
        <w:footnoteRef/>
      </w:r>
      <w:r w:rsidRPr="00706E0E">
        <w:rPr>
          <w:rFonts w:ascii="Times New Roman" w:hAnsi="Times New Roman" w:cs="Times New Roman"/>
        </w:rPr>
        <w:t xml:space="preserve"> Although there are three potential outco</w:t>
      </w:r>
      <w:r>
        <w:rPr>
          <w:rFonts w:ascii="Times New Roman" w:hAnsi="Times New Roman" w:cs="Times New Roman"/>
        </w:rPr>
        <w:t>mes for the ‘consequences’ theme,</w:t>
      </w:r>
      <w:r w:rsidRPr="00706E0E">
        <w:rPr>
          <w:rFonts w:ascii="Times New Roman" w:hAnsi="Times New Roman" w:cs="Times New Roman"/>
          <w:lang w:val="en-NZ"/>
        </w:rPr>
        <w:t xml:space="preserve"> </w:t>
      </w:r>
      <w:r>
        <w:rPr>
          <w:rFonts w:ascii="Times New Roman" w:hAnsi="Times New Roman" w:cs="Times New Roman"/>
          <w:lang w:val="en-NZ"/>
        </w:rPr>
        <w:t>only ‘ne</w:t>
      </w:r>
      <w:r w:rsidRPr="00706E0E">
        <w:rPr>
          <w:rFonts w:ascii="Times New Roman" w:hAnsi="Times New Roman" w:cs="Times New Roman"/>
          <w:lang w:val="en-NZ"/>
        </w:rPr>
        <w:t>g</w:t>
      </w:r>
      <w:r>
        <w:rPr>
          <w:rFonts w:ascii="Times New Roman" w:hAnsi="Times New Roman" w:cs="Times New Roman"/>
          <w:lang w:val="en-NZ"/>
        </w:rPr>
        <w:t>ative’ and ‘neutral’ responses were received.</w:t>
      </w:r>
    </w:p>
  </w:footnote>
  <w:footnote w:id="25">
    <w:p w:rsidR="000A6C1F" w:rsidRDefault="000A6C1F" w:rsidP="0045010E">
      <w:pPr>
        <w:pStyle w:val="FootnoteText"/>
        <w:spacing w:line="240" w:lineRule="auto"/>
        <w:rPr>
          <w:lang w:val="en-NZ"/>
        </w:rPr>
      </w:pPr>
      <w:r w:rsidRPr="0007445C">
        <w:rPr>
          <w:rStyle w:val="FootnoteReference"/>
          <w:rFonts w:ascii="Times New Roman" w:hAnsi="Times New Roman" w:cs="Times New Roman"/>
          <w:szCs w:val="20"/>
        </w:rPr>
        <w:footnoteRef/>
      </w:r>
      <w:r>
        <w:rPr>
          <w:rFonts w:ascii="Times New Roman" w:hAnsi="Times New Roman" w:cs="Times New Roman"/>
          <w:szCs w:val="20"/>
        </w:rPr>
        <w:t>We consider it unlikely</w:t>
      </w:r>
      <w:r w:rsidRPr="00F00D23">
        <w:rPr>
          <w:rStyle w:val="FootnoteReference"/>
          <w:rFonts w:ascii="Times New Roman" w:hAnsi="Times New Roman" w:cs="Times New Roman"/>
          <w:szCs w:val="20"/>
          <w:vertAlign w:val="baseline"/>
        </w:rPr>
        <w:t xml:space="preserve"> that compensation committees would be ‘fooled’ by the early or late adoption of IFRS.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B5B47"/>
    <w:multiLevelType w:val="hybridMultilevel"/>
    <w:tmpl w:val="15CA260A"/>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2">
    <w:nsid w:val="058B44BA"/>
    <w:multiLevelType w:val="hybridMultilevel"/>
    <w:tmpl w:val="C5DC149A"/>
    <w:lvl w:ilvl="0" w:tplc="983EF522">
      <w:start w:val="3"/>
      <w:numFmt w:val="decimal"/>
      <w:lvlText w:val="%1"/>
      <w:lvlJc w:val="left"/>
      <w:pPr>
        <w:tabs>
          <w:tab w:val="num" w:pos="1080"/>
        </w:tabs>
        <w:ind w:left="1080" w:hanging="720"/>
      </w:pPr>
      <w:rPr>
        <w:rFonts w:hint="default"/>
      </w:rPr>
    </w:lvl>
    <w:lvl w:ilvl="1" w:tplc="14090019">
      <w:start w:val="1"/>
      <w:numFmt w:val="lowerLetter"/>
      <w:lvlText w:val="%2."/>
      <w:lvlJc w:val="left"/>
      <w:pPr>
        <w:tabs>
          <w:tab w:val="num" w:pos="1440"/>
        </w:tabs>
        <w:ind w:left="1440" w:hanging="360"/>
      </w:p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3">
    <w:nsid w:val="0A691258"/>
    <w:multiLevelType w:val="multilevel"/>
    <w:tmpl w:val="0368F166"/>
    <w:lvl w:ilvl="0">
      <w:start w:val="1"/>
      <w:numFmt w:val="decimal"/>
      <w:pStyle w:val="Heading1"/>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C265072"/>
    <w:multiLevelType w:val="hybridMultilevel"/>
    <w:tmpl w:val="E3105B3C"/>
    <w:lvl w:ilvl="0" w:tplc="14090001">
      <w:start w:val="1"/>
      <w:numFmt w:val="bullet"/>
      <w:lvlText w:val=""/>
      <w:lvlJc w:val="left"/>
      <w:pPr>
        <w:tabs>
          <w:tab w:val="num" w:pos="1080"/>
        </w:tabs>
        <w:ind w:left="1080" w:hanging="360"/>
      </w:pPr>
      <w:rPr>
        <w:rFonts w:ascii="Symbol" w:hAnsi="Symbol" w:hint="default"/>
      </w:rPr>
    </w:lvl>
    <w:lvl w:ilvl="1" w:tplc="14090003" w:tentative="1">
      <w:start w:val="1"/>
      <w:numFmt w:val="bullet"/>
      <w:lvlText w:val="o"/>
      <w:lvlJc w:val="left"/>
      <w:pPr>
        <w:tabs>
          <w:tab w:val="num" w:pos="1800"/>
        </w:tabs>
        <w:ind w:left="1800" w:hanging="360"/>
      </w:pPr>
      <w:rPr>
        <w:rFonts w:ascii="Courier New" w:hAnsi="Courier New" w:cs="Courier New" w:hint="default"/>
      </w:rPr>
    </w:lvl>
    <w:lvl w:ilvl="2" w:tplc="14090005" w:tentative="1">
      <w:start w:val="1"/>
      <w:numFmt w:val="bullet"/>
      <w:lvlText w:val=""/>
      <w:lvlJc w:val="left"/>
      <w:pPr>
        <w:tabs>
          <w:tab w:val="num" w:pos="2520"/>
        </w:tabs>
        <w:ind w:left="2520" w:hanging="360"/>
      </w:pPr>
      <w:rPr>
        <w:rFonts w:ascii="Wingdings" w:hAnsi="Wingdings" w:hint="default"/>
      </w:rPr>
    </w:lvl>
    <w:lvl w:ilvl="3" w:tplc="14090001" w:tentative="1">
      <w:start w:val="1"/>
      <w:numFmt w:val="bullet"/>
      <w:lvlText w:val=""/>
      <w:lvlJc w:val="left"/>
      <w:pPr>
        <w:tabs>
          <w:tab w:val="num" w:pos="3240"/>
        </w:tabs>
        <w:ind w:left="3240" w:hanging="360"/>
      </w:pPr>
      <w:rPr>
        <w:rFonts w:ascii="Symbol" w:hAnsi="Symbol" w:hint="default"/>
      </w:rPr>
    </w:lvl>
    <w:lvl w:ilvl="4" w:tplc="14090003" w:tentative="1">
      <w:start w:val="1"/>
      <w:numFmt w:val="bullet"/>
      <w:lvlText w:val="o"/>
      <w:lvlJc w:val="left"/>
      <w:pPr>
        <w:tabs>
          <w:tab w:val="num" w:pos="3960"/>
        </w:tabs>
        <w:ind w:left="3960" w:hanging="360"/>
      </w:pPr>
      <w:rPr>
        <w:rFonts w:ascii="Courier New" w:hAnsi="Courier New" w:cs="Courier New" w:hint="default"/>
      </w:rPr>
    </w:lvl>
    <w:lvl w:ilvl="5" w:tplc="14090005" w:tentative="1">
      <w:start w:val="1"/>
      <w:numFmt w:val="bullet"/>
      <w:lvlText w:val=""/>
      <w:lvlJc w:val="left"/>
      <w:pPr>
        <w:tabs>
          <w:tab w:val="num" w:pos="4680"/>
        </w:tabs>
        <w:ind w:left="4680" w:hanging="360"/>
      </w:pPr>
      <w:rPr>
        <w:rFonts w:ascii="Wingdings" w:hAnsi="Wingdings" w:hint="default"/>
      </w:rPr>
    </w:lvl>
    <w:lvl w:ilvl="6" w:tplc="14090001" w:tentative="1">
      <w:start w:val="1"/>
      <w:numFmt w:val="bullet"/>
      <w:lvlText w:val=""/>
      <w:lvlJc w:val="left"/>
      <w:pPr>
        <w:tabs>
          <w:tab w:val="num" w:pos="5400"/>
        </w:tabs>
        <w:ind w:left="5400" w:hanging="360"/>
      </w:pPr>
      <w:rPr>
        <w:rFonts w:ascii="Symbol" w:hAnsi="Symbol" w:hint="default"/>
      </w:rPr>
    </w:lvl>
    <w:lvl w:ilvl="7" w:tplc="14090003" w:tentative="1">
      <w:start w:val="1"/>
      <w:numFmt w:val="bullet"/>
      <w:lvlText w:val="o"/>
      <w:lvlJc w:val="left"/>
      <w:pPr>
        <w:tabs>
          <w:tab w:val="num" w:pos="6120"/>
        </w:tabs>
        <w:ind w:left="6120" w:hanging="360"/>
      </w:pPr>
      <w:rPr>
        <w:rFonts w:ascii="Courier New" w:hAnsi="Courier New" w:cs="Courier New" w:hint="default"/>
      </w:rPr>
    </w:lvl>
    <w:lvl w:ilvl="8" w:tplc="14090005" w:tentative="1">
      <w:start w:val="1"/>
      <w:numFmt w:val="bullet"/>
      <w:lvlText w:val=""/>
      <w:lvlJc w:val="left"/>
      <w:pPr>
        <w:tabs>
          <w:tab w:val="num" w:pos="6840"/>
        </w:tabs>
        <w:ind w:left="6840" w:hanging="360"/>
      </w:pPr>
      <w:rPr>
        <w:rFonts w:ascii="Wingdings" w:hAnsi="Wingdings" w:hint="default"/>
      </w:rPr>
    </w:lvl>
  </w:abstractNum>
  <w:abstractNum w:abstractNumId="5">
    <w:nsid w:val="0DD14A0D"/>
    <w:multiLevelType w:val="hybridMultilevel"/>
    <w:tmpl w:val="3EC47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DE1458"/>
    <w:multiLevelType w:val="multilevel"/>
    <w:tmpl w:val="5784C358"/>
    <w:lvl w:ilvl="0">
      <w:start w:val="1"/>
      <w:numFmt w:val="decimal"/>
      <w:pStyle w:val="StyleHeading1LeftBefore12ptAfter3ptKernat16pt"/>
      <w:lvlText w:val="CHAPTER %1: "/>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nsid w:val="0F7E14EF"/>
    <w:multiLevelType w:val="hybridMultilevel"/>
    <w:tmpl w:val="EE62BDBA"/>
    <w:lvl w:ilvl="0" w:tplc="7C0074F2">
      <w:start w:val="1"/>
      <w:numFmt w:val="upperLetter"/>
      <w:lvlText w:val="%1)"/>
      <w:lvlJc w:val="left"/>
      <w:pPr>
        <w:tabs>
          <w:tab w:val="num" w:pos="1080"/>
        </w:tabs>
        <w:ind w:left="1080" w:hanging="720"/>
      </w:pPr>
      <w:rPr>
        <w:rFonts w:hint="default"/>
      </w:rPr>
    </w:lvl>
    <w:lvl w:ilvl="1" w:tplc="1242B116">
      <w:start w:val="51"/>
      <w:numFmt w:val="bullet"/>
      <w:lvlText w:val=""/>
      <w:lvlJc w:val="left"/>
      <w:pPr>
        <w:tabs>
          <w:tab w:val="num" w:pos="1440"/>
        </w:tabs>
        <w:ind w:left="1440" w:hanging="360"/>
      </w:pPr>
      <w:rPr>
        <w:rFonts w:ascii="Symbol" w:eastAsia="Times New Roman" w:hAnsi="Symbol" w:cs="Arial" w:hint="default"/>
      </w:r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8">
    <w:nsid w:val="10C17643"/>
    <w:multiLevelType w:val="hybridMultilevel"/>
    <w:tmpl w:val="7DBC1B0C"/>
    <w:lvl w:ilvl="0" w:tplc="14090001">
      <w:start w:val="1"/>
      <w:numFmt w:val="bullet"/>
      <w:lvlText w:val=""/>
      <w:lvlJc w:val="left"/>
      <w:pPr>
        <w:ind w:left="720" w:hanging="360"/>
      </w:pPr>
      <w:rPr>
        <w:rFonts w:ascii="Symbol" w:hAnsi="Symbol"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9">
    <w:nsid w:val="10D4506F"/>
    <w:multiLevelType w:val="hybridMultilevel"/>
    <w:tmpl w:val="EC446A4A"/>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10">
    <w:nsid w:val="12F5067A"/>
    <w:multiLevelType w:val="multilevel"/>
    <w:tmpl w:val="3C5CF0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8C56721"/>
    <w:multiLevelType w:val="hybridMultilevel"/>
    <w:tmpl w:val="DE027548"/>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2">
    <w:nsid w:val="299B5DDB"/>
    <w:multiLevelType w:val="hybridMultilevel"/>
    <w:tmpl w:val="AA2028E8"/>
    <w:lvl w:ilvl="0" w:tplc="0809000F">
      <w:start w:val="1"/>
      <w:numFmt w:val="decimal"/>
      <w:lvlText w:val="%1."/>
      <w:lvlJc w:val="left"/>
      <w:pPr>
        <w:tabs>
          <w:tab w:val="num" w:pos="800"/>
        </w:tabs>
        <w:ind w:left="800" w:hanging="360"/>
      </w:pPr>
    </w:lvl>
    <w:lvl w:ilvl="1" w:tplc="14090019">
      <w:start w:val="1"/>
      <w:numFmt w:val="lowerLetter"/>
      <w:lvlText w:val="%2."/>
      <w:lvlJc w:val="left"/>
      <w:pPr>
        <w:tabs>
          <w:tab w:val="num" w:pos="1440"/>
        </w:tabs>
        <w:ind w:left="1440" w:hanging="360"/>
      </w:p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13">
    <w:nsid w:val="30491A15"/>
    <w:multiLevelType w:val="hybridMultilevel"/>
    <w:tmpl w:val="76DA1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7A634A"/>
    <w:multiLevelType w:val="hybridMultilevel"/>
    <w:tmpl w:val="BF1E55DA"/>
    <w:lvl w:ilvl="0" w:tplc="146845CE">
      <w:start w:val="1"/>
      <w:numFmt w:val="decimal"/>
      <w:lvlText w:val="%1."/>
      <w:lvlJc w:val="left"/>
      <w:pPr>
        <w:ind w:left="720" w:hanging="360"/>
      </w:pPr>
      <w:rPr>
        <w:rFonts w:hint="default"/>
        <w:b/>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5">
    <w:nsid w:val="32DD0274"/>
    <w:multiLevelType w:val="hybridMultilevel"/>
    <w:tmpl w:val="AA4CA76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6">
    <w:nsid w:val="381532FB"/>
    <w:multiLevelType w:val="hybridMultilevel"/>
    <w:tmpl w:val="93AE0B66"/>
    <w:lvl w:ilvl="0" w:tplc="7D000E30">
      <w:start w:val="1"/>
      <w:numFmt w:val="decimal"/>
      <w:lvlText w:val="%1."/>
      <w:lvlJc w:val="left"/>
      <w:pPr>
        <w:tabs>
          <w:tab w:val="num" w:pos="800"/>
        </w:tabs>
        <w:ind w:left="800" w:hanging="360"/>
      </w:pPr>
    </w:lvl>
    <w:lvl w:ilvl="1" w:tplc="14090019">
      <w:start w:val="1"/>
      <w:numFmt w:val="lowerLetter"/>
      <w:lvlText w:val="%2."/>
      <w:lvlJc w:val="left"/>
      <w:pPr>
        <w:tabs>
          <w:tab w:val="num" w:pos="1440"/>
        </w:tabs>
        <w:ind w:left="1440" w:hanging="360"/>
      </w:p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17">
    <w:nsid w:val="39C57E28"/>
    <w:multiLevelType w:val="hybridMultilevel"/>
    <w:tmpl w:val="EF54FA9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8">
    <w:nsid w:val="3A2A186B"/>
    <w:multiLevelType w:val="hybridMultilevel"/>
    <w:tmpl w:val="30C0A74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9">
    <w:nsid w:val="3EF50626"/>
    <w:multiLevelType w:val="multilevel"/>
    <w:tmpl w:val="38849E6C"/>
    <w:lvl w:ilvl="0">
      <w:start w:val="1"/>
      <w:numFmt w:val="decimal"/>
      <w:lvlText w:val="%1."/>
      <w:lvlJc w:val="left"/>
      <w:pPr>
        <w:ind w:left="1080" w:hanging="360"/>
      </w:pPr>
      <w:rPr>
        <w:rFonts w:hint="default"/>
      </w:rPr>
    </w:lvl>
    <w:lvl w:ilvl="1">
      <w:start w:val="1"/>
      <w:numFmt w:val="decimal"/>
      <w:lvlText w:val="%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nsid w:val="4C9237A6"/>
    <w:multiLevelType w:val="hybridMultilevel"/>
    <w:tmpl w:val="1D6287C4"/>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21">
    <w:nsid w:val="4E350BB1"/>
    <w:multiLevelType w:val="multilevel"/>
    <w:tmpl w:val="6610FE72"/>
    <w:lvl w:ilvl="0">
      <w:start w:val="1"/>
      <w:numFmt w:val="lowerLetter"/>
      <w:lvlText w:val="%1)"/>
      <w:lvlJc w:val="left"/>
      <w:pPr>
        <w:ind w:left="1080" w:hanging="360"/>
      </w:pPr>
    </w:lvl>
    <w:lvl w:ilvl="1">
      <w:start w:val="1"/>
      <w:numFmt w:val="decimal"/>
      <w:isLgl/>
      <w:lvlText w:val="%1.%2"/>
      <w:lvlJc w:val="left"/>
      <w:pPr>
        <w:ind w:left="1275" w:hanging="55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nsid w:val="58585E80"/>
    <w:multiLevelType w:val="hybridMultilevel"/>
    <w:tmpl w:val="62FE14B2"/>
    <w:lvl w:ilvl="0" w:tplc="A92EC034">
      <w:start w:val="1"/>
      <w:numFmt w:val="decimal"/>
      <w:lvlText w:val="%1."/>
      <w:lvlJc w:val="left"/>
      <w:pPr>
        <w:tabs>
          <w:tab w:val="num" w:pos="1080"/>
        </w:tabs>
        <w:ind w:left="1080" w:hanging="720"/>
      </w:pPr>
      <w:rPr>
        <w:rFonts w:hint="default"/>
        <w:b/>
      </w:rPr>
    </w:lvl>
    <w:lvl w:ilvl="1" w:tplc="8EAE30EE">
      <w:start w:val="1"/>
      <w:numFmt w:val="lowerLetter"/>
      <w:lvlText w:val="%2."/>
      <w:lvlJc w:val="left"/>
      <w:pPr>
        <w:tabs>
          <w:tab w:val="num" w:pos="1440"/>
        </w:tabs>
        <w:ind w:left="1440" w:hanging="360"/>
      </w:pPr>
      <w:rPr>
        <w:b/>
      </w:r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23">
    <w:nsid w:val="61885BAE"/>
    <w:multiLevelType w:val="hybridMultilevel"/>
    <w:tmpl w:val="D6FE687C"/>
    <w:lvl w:ilvl="0" w:tplc="3FE835B6">
      <w:start w:val="1"/>
      <w:numFmt w:val="decimal"/>
      <w:lvlText w:val="%1."/>
      <w:lvlJc w:val="left"/>
      <w:pPr>
        <w:tabs>
          <w:tab w:val="num" w:pos="800"/>
        </w:tabs>
        <w:ind w:left="800" w:hanging="360"/>
      </w:pPr>
    </w:lvl>
    <w:lvl w:ilvl="1" w:tplc="14090019">
      <w:start w:val="1"/>
      <w:numFmt w:val="lowerLetter"/>
      <w:lvlText w:val="%2."/>
      <w:lvlJc w:val="left"/>
      <w:pPr>
        <w:tabs>
          <w:tab w:val="num" w:pos="1440"/>
        </w:tabs>
        <w:ind w:left="1440" w:hanging="360"/>
      </w:p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24">
    <w:nsid w:val="618D179B"/>
    <w:multiLevelType w:val="hybridMultilevel"/>
    <w:tmpl w:val="2826878A"/>
    <w:lvl w:ilvl="0" w:tplc="D7488CA6">
      <w:start w:val="1"/>
      <w:numFmt w:val="decimal"/>
      <w:lvlText w:val="%1."/>
      <w:lvlJc w:val="left"/>
      <w:pPr>
        <w:tabs>
          <w:tab w:val="num" w:pos="800"/>
        </w:tabs>
        <w:ind w:left="800" w:hanging="360"/>
      </w:pPr>
    </w:lvl>
    <w:lvl w:ilvl="1" w:tplc="14090019">
      <w:start w:val="1"/>
      <w:numFmt w:val="lowerLetter"/>
      <w:lvlText w:val="%2."/>
      <w:lvlJc w:val="left"/>
      <w:pPr>
        <w:tabs>
          <w:tab w:val="num" w:pos="1440"/>
        </w:tabs>
        <w:ind w:left="1440" w:hanging="360"/>
      </w:p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25">
    <w:nsid w:val="62CB46A2"/>
    <w:multiLevelType w:val="multilevel"/>
    <w:tmpl w:val="C9E62050"/>
    <w:lvl w:ilvl="0">
      <w:start w:val="5"/>
      <w:numFmt w:val="decimal"/>
      <w:lvlText w:val="%1."/>
      <w:lvlJc w:val="left"/>
      <w:pPr>
        <w:ind w:left="1080" w:hanging="360"/>
      </w:pPr>
      <w:rPr>
        <w:rFonts w:hint="default"/>
        <w:b/>
      </w:rPr>
    </w:lvl>
    <w:lvl w:ilvl="1">
      <w:start w:val="1"/>
      <w:numFmt w:val="decimal"/>
      <w:lvlText w:val="%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nsid w:val="661335BA"/>
    <w:multiLevelType w:val="hybridMultilevel"/>
    <w:tmpl w:val="1936A1FE"/>
    <w:lvl w:ilvl="0" w:tplc="D0EA3858">
      <w:numFmt w:val="bullet"/>
      <w:lvlText w:val=""/>
      <w:lvlJc w:val="left"/>
      <w:pPr>
        <w:ind w:left="1080" w:hanging="360"/>
      </w:pPr>
      <w:rPr>
        <w:rFonts w:ascii="Symbol" w:eastAsiaTheme="minorEastAsia" w:hAnsi="Symbol" w:cs="Times New Roman"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27">
    <w:nsid w:val="69676572"/>
    <w:multiLevelType w:val="hybridMultilevel"/>
    <w:tmpl w:val="4AA29902"/>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28">
    <w:nsid w:val="6F7D6AC7"/>
    <w:multiLevelType w:val="hybridMultilevel"/>
    <w:tmpl w:val="2E80504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9">
    <w:nsid w:val="75EE6C41"/>
    <w:multiLevelType w:val="multilevel"/>
    <w:tmpl w:val="38849E6C"/>
    <w:lvl w:ilvl="0">
      <w:start w:val="1"/>
      <w:numFmt w:val="decimal"/>
      <w:lvlText w:val="%1."/>
      <w:lvlJc w:val="left"/>
      <w:pPr>
        <w:ind w:left="1080" w:hanging="360"/>
      </w:pPr>
      <w:rPr>
        <w:rFonts w:hint="default"/>
      </w:rPr>
    </w:lvl>
    <w:lvl w:ilvl="1">
      <w:start w:val="1"/>
      <w:numFmt w:val="decimal"/>
      <w:lvlText w:val="%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nsid w:val="76FC7FF4"/>
    <w:multiLevelType w:val="hybridMultilevel"/>
    <w:tmpl w:val="F8A20F88"/>
    <w:lvl w:ilvl="0" w:tplc="14090001">
      <w:start w:val="1"/>
      <w:numFmt w:val="bullet"/>
      <w:lvlText w:val=""/>
      <w:lvlJc w:val="left"/>
      <w:pPr>
        <w:tabs>
          <w:tab w:val="num" w:pos="1080"/>
        </w:tabs>
        <w:ind w:left="1080" w:hanging="360"/>
      </w:pPr>
      <w:rPr>
        <w:rFonts w:ascii="Symbol" w:hAnsi="Symbol" w:hint="default"/>
      </w:rPr>
    </w:lvl>
    <w:lvl w:ilvl="1" w:tplc="14090003" w:tentative="1">
      <w:start w:val="1"/>
      <w:numFmt w:val="bullet"/>
      <w:lvlText w:val="o"/>
      <w:lvlJc w:val="left"/>
      <w:pPr>
        <w:tabs>
          <w:tab w:val="num" w:pos="1800"/>
        </w:tabs>
        <w:ind w:left="1800" w:hanging="360"/>
      </w:pPr>
      <w:rPr>
        <w:rFonts w:ascii="Courier New" w:hAnsi="Courier New" w:cs="Courier New" w:hint="default"/>
      </w:rPr>
    </w:lvl>
    <w:lvl w:ilvl="2" w:tplc="14090005" w:tentative="1">
      <w:start w:val="1"/>
      <w:numFmt w:val="bullet"/>
      <w:lvlText w:val=""/>
      <w:lvlJc w:val="left"/>
      <w:pPr>
        <w:tabs>
          <w:tab w:val="num" w:pos="2520"/>
        </w:tabs>
        <w:ind w:left="2520" w:hanging="360"/>
      </w:pPr>
      <w:rPr>
        <w:rFonts w:ascii="Wingdings" w:hAnsi="Wingdings" w:hint="default"/>
      </w:rPr>
    </w:lvl>
    <w:lvl w:ilvl="3" w:tplc="14090001" w:tentative="1">
      <w:start w:val="1"/>
      <w:numFmt w:val="bullet"/>
      <w:lvlText w:val=""/>
      <w:lvlJc w:val="left"/>
      <w:pPr>
        <w:tabs>
          <w:tab w:val="num" w:pos="3240"/>
        </w:tabs>
        <w:ind w:left="3240" w:hanging="360"/>
      </w:pPr>
      <w:rPr>
        <w:rFonts w:ascii="Symbol" w:hAnsi="Symbol" w:hint="default"/>
      </w:rPr>
    </w:lvl>
    <w:lvl w:ilvl="4" w:tplc="14090003" w:tentative="1">
      <w:start w:val="1"/>
      <w:numFmt w:val="bullet"/>
      <w:lvlText w:val="o"/>
      <w:lvlJc w:val="left"/>
      <w:pPr>
        <w:tabs>
          <w:tab w:val="num" w:pos="3960"/>
        </w:tabs>
        <w:ind w:left="3960" w:hanging="360"/>
      </w:pPr>
      <w:rPr>
        <w:rFonts w:ascii="Courier New" w:hAnsi="Courier New" w:cs="Courier New" w:hint="default"/>
      </w:rPr>
    </w:lvl>
    <w:lvl w:ilvl="5" w:tplc="14090005" w:tentative="1">
      <w:start w:val="1"/>
      <w:numFmt w:val="bullet"/>
      <w:lvlText w:val=""/>
      <w:lvlJc w:val="left"/>
      <w:pPr>
        <w:tabs>
          <w:tab w:val="num" w:pos="4680"/>
        </w:tabs>
        <w:ind w:left="4680" w:hanging="360"/>
      </w:pPr>
      <w:rPr>
        <w:rFonts w:ascii="Wingdings" w:hAnsi="Wingdings" w:hint="default"/>
      </w:rPr>
    </w:lvl>
    <w:lvl w:ilvl="6" w:tplc="14090001" w:tentative="1">
      <w:start w:val="1"/>
      <w:numFmt w:val="bullet"/>
      <w:lvlText w:val=""/>
      <w:lvlJc w:val="left"/>
      <w:pPr>
        <w:tabs>
          <w:tab w:val="num" w:pos="5400"/>
        </w:tabs>
        <w:ind w:left="5400" w:hanging="360"/>
      </w:pPr>
      <w:rPr>
        <w:rFonts w:ascii="Symbol" w:hAnsi="Symbol" w:hint="default"/>
      </w:rPr>
    </w:lvl>
    <w:lvl w:ilvl="7" w:tplc="14090003" w:tentative="1">
      <w:start w:val="1"/>
      <w:numFmt w:val="bullet"/>
      <w:lvlText w:val="o"/>
      <w:lvlJc w:val="left"/>
      <w:pPr>
        <w:tabs>
          <w:tab w:val="num" w:pos="6120"/>
        </w:tabs>
        <w:ind w:left="6120" w:hanging="360"/>
      </w:pPr>
      <w:rPr>
        <w:rFonts w:ascii="Courier New" w:hAnsi="Courier New" w:cs="Courier New" w:hint="default"/>
      </w:rPr>
    </w:lvl>
    <w:lvl w:ilvl="8" w:tplc="14090005" w:tentative="1">
      <w:start w:val="1"/>
      <w:numFmt w:val="bullet"/>
      <w:lvlText w:val=""/>
      <w:lvlJc w:val="left"/>
      <w:pPr>
        <w:tabs>
          <w:tab w:val="num" w:pos="6840"/>
        </w:tabs>
        <w:ind w:left="6840" w:hanging="360"/>
      </w:pPr>
      <w:rPr>
        <w:rFonts w:ascii="Wingdings" w:hAnsi="Wingdings" w:hint="default"/>
      </w:rPr>
    </w:lvl>
  </w:abstractNum>
  <w:abstractNum w:abstractNumId="31">
    <w:nsid w:val="77CE6F4A"/>
    <w:multiLevelType w:val="hybridMultilevel"/>
    <w:tmpl w:val="8514D1F6"/>
    <w:lvl w:ilvl="0" w:tplc="14090001">
      <w:start w:val="1"/>
      <w:numFmt w:val="bullet"/>
      <w:lvlText w:val=""/>
      <w:lvlJc w:val="left"/>
      <w:pPr>
        <w:tabs>
          <w:tab w:val="num" w:pos="1440"/>
        </w:tabs>
        <w:ind w:left="1440" w:hanging="360"/>
      </w:pPr>
      <w:rPr>
        <w:rFonts w:ascii="Symbol" w:hAnsi="Symbol" w:hint="default"/>
      </w:rPr>
    </w:lvl>
    <w:lvl w:ilvl="1" w:tplc="14090003" w:tentative="1">
      <w:start w:val="1"/>
      <w:numFmt w:val="bullet"/>
      <w:lvlText w:val="o"/>
      <w:lvlJc w:val="left"/>
      <w:pPr>
        <w:tabs>
          <w:tab w:val="num" w:pos="2160"/>
        </w:tabs>
        <w:ind w:left="2160" w:hanging="360"/>
      </w:pPr>
      <w:rPr>
        <w:rFonts w:ascii="Courier New" w:hAnsi="Courier New" w:cs="Courier New" w:hint="default"/>
      </w:rPr>
    </w:lvl>
    <w:lvl w:ilvl="2" w:tplc="14090005" w:tentative="1">
      <w:start w:val="1"/>
      <w:numFmt w:val="bullet"/>
      <w:lvlText w:val=""/>
      <w:lvlJc w:val="left"/>
      <w:pPr>
        <w:tabs>
          <w:tab w:val="num" w:pos="2880"/>
        </w:tabs>
        <w:ind w:left="2880" w:hanging="360"/>
      </w:pPr>
      <w:rPr>
        <w:rFonts w:ascii="Wingdings" w:hAnsi="Wingdings" w:hint="default"/>
      </w:rPr>
    </w:lvl>
    <w:lvl w:ilvl="3" w:tplc="14090001" w:tentative="1">
      <w:start w:val="1"/>
      <w:numFmt w:val="bullet"/>
      <w:lvlText w:val=""/>
      <w:lvlJc w:val="left"/>
      <w:pPr>
        <w:tabs>
          <w:tab w:val="num" w:pos="3600"/>
        </w:tabs>
        <w:ind w:left="3600" w:hanging="360"/>
      </w:pPr>
      <w:rPr>
        <w:rFonts w:ascii="Symbol" w:hAnsi="Symbol" w:hint="default"/>
      </w:rPr>
    </w:lvl>
    <w:lvl w:ilvl="4" w:tplc="14090003" w:tentative="1">
      <w:start w:val="1"/>
      <w:numFmt w:val="bullet"/>
      <w:lvlText w:val="o"/>
      <w:lvlJc w:val="left"/>
      <w:pPr>
        <w:tabs>
          <w:tab w:val="num" w:pos="4320"/>
        </w:tabs>
        <w:ind w:left="4320" w:hanging="360"/>
      </w:pPr>
      <w:rPr>
        <w:rFonts w:ascii="Courier New" w:hAnsi="Courier New" w:cs="Courier New" w:hint="default"/>
      </w:rPr>
    </w:lvl>
    <w:lvl w:ilvl="5" w:tplc="14090005" w:tentative="1">
      <w:start w:val="1"/>
      <w:numFmt w:val="bullet"/>
      <w:lvlText w:val=""/>
      <w:lvlJc w:val="left"/>
      <w:pPr>
        <w:tabs>
          <w:tab w:val="num" w:pos="5040"/>
        </w:tabs>
        <w:ind w:left="5040" w:hanging="360"/>
      </w:pPr>
      <w:rPr>
        <w:rFonts w:ascii="Wingdings" w:hAnsi="Wingdings" w:hint="default"/>
      </w:rPr>
    </w:lvl>
    <w:lvl w:ilvl="6" w:tplc="14090001" w:tentative="1">
      <w:start w:val="1"/>
      <w:numFmt w:val="bullet"/>
      <w:lvlText w:val=""/>
      <w:lvlJc w:val="left"/>
      <w:pPr>
        <w:tabs>
          <w:tab w:val="num" w:pos="5760"/>
        </w:tabs>
        <w:ind w:left="5760" w:hanging="360"/>
      </w:pPr>
      <w:rPr>
        <w:rFonts w:ascii="Symbol" w:hAnsi="Symbol" w:hint="default"/>
      </w:rPr>
    </w:lvl>
    <w:lvl w:ilvl="7" w:tplc="14090003" w:tentative="1">
      <w:start w:val="1"/>
      <w:numFmt w:val="bullet"/>
      <w:lvlText w:val="o"/>
      <w:lvlJc w:val="left"/>
      <w:pPr>
        <w:tabs>
          <w:tab w:val="num" w:pos="6480"/>
        </w:tabs>
        <w:ind w:left="6480" w:hanging="360"/>
      </w:pPr>
      <w:rPr>
        <w:rFonts w:ascii="Courier New" w:hAnsi="Courier New" w:cs="Courier New" w:hint="default"/>
      </w:rPr>
    </w:lvl>
    <w:lvl w:ilvl="8" w:tplc="14090005" w:tentative="1">
      <w:start w:val="1"/>
      <w:numFmt w:val="bullet"/>
      <w:lvlText w:val=""/>
      <w:lvlJc w:val="left"/>
      <w:pPr>
        <w:tabs>
          <w:tab w:val="num" w:pos="7200"/>
        </w:tabs>
        <w:ind w:left="7200" w:hanging="360"/>
      </w:pPr>
      <w:rPr>
        <w:rFonts w:ascii="Wingdings" w:hAnsi="Wingdings" w:hint="default"/>
      </w:rPr>
    </w:lvl>
  </w:abstractNum>
  <w:abstractNum w:abstractNumId="32">
    <w:nsid w:val="780B7DC9"/>
    <w:multiLevelType w:val="multilevel"/>
    <w:tmpl w:val="000A01E2"/>
    <w:lvl w:ilvl="0">
      <w:start w:val="1"/>
      <w:numFmt w:val="decimal"/>
      <w:pStyle w:val="PhDHeading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64"/>
        </w:tabs>
        <w:ind w:left="1464" w:hanging="504"/>
      </w:pPr>
      <w:rPr>
        <w:rFonts w:hint="default"/>
      </w:rPr>
    </w:lvl>
    <w:lvl w:ilvl="3">
      <w:start w:val="1"/>
      <w:numFmt w:val="lowerLetter"/>
      <w:lvlText w:val="(%4)"/>
      <w:lvlJc w:val="left"/>
      <w:pPr>
        <w:tabs>
          <w:tab w:val="num" w:pos="1800"/>
        </w:tabs>
        <w:ind w:left="180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AAE4165"/>
    <w:multiLevelType w:val="hybridMultilevel"/>
    <w:tmpl w:val="12BE3F68"/>
    <w:lvl w:ilvl="0" w:tplc="1409000B">
      <w:start w:val="1"/>
      <w:numFmt w:val="bullet"/>
      <w:lvlText w:val=""/>
      <w:lvlJc w:val="left"/>
      <w:pPr>
        <w:tabs>
          <w:tab w:val="num" w:pos="720"/>
        </w:tabs>
        <w:ind w:left="720" w:hanging="360"/>
      </w:pPr>
      <w:rPr>
        <w:rFonts w:ascii="Wingdings" w:hAnsi="Wingdings" w:hint="default"/>
      </w:rPr>
    </w:lvl>
    <w:lvl w:ilvl="1" w:tplc="14090003" w:tentative="1">
      <w:start w:val="1"/>
      <w:numFmt w:val="bullet"/>
      <w:lvlText w:val="o"/>
      <w:lvlJc w:val="left"/>
      <w:pPr>
        <w:tabs>
          <w:tab w:val="num" w:pos="1440"/>
        </w:tabs>
        <w:ind w:left="1440" w:hanging="360"/>
      </w:pPr>
      <w:rPr>
        <w:rFonts w:ascii="Courier New" w:hAnsi="Courier New" w:cs="Courier New" w:hint="default"/>
      </w:rPr>
    </w:lvl>
    <w:lvl w:ilvl="2" w:tplc="14090005" w:tentative="1">
      <w:start w:val="1"/>
      <w:numFmt w:val="bullet"/>
      <w:lvlText w:val=""/>
      <w:lvlJc w:val="left"/>
      <w:pPr>
        <w:tabs>
          <w:tab w:val="num" w:pos="2160"/>
        </w:tabs>
        <w:ind w:left="2160" w:hanging="360"/>
      </w:pPr>
      <w:rPr>
        <w:rFonts w:ascii="Wingdings" w:hAnsi="Wingdings" w:hint="default"/>
      </w:rPr>
    </w:lvl>
    <w:lvl w:ilvl="3" w:tplc="14090001" w:tentative="1">
      <w:start w:val="1"/>
      <w:numFmt w:val="bullet"/>
      <w:lvlText w:val=""/>
      <w:lvlJc w:val="left"/>
      <w:pPr>
        <w:tabs>
          <w:tab w:val="num" w:pos="2880"/>
        </w:tabs>
        <w:ind w:left="2880" w:hanging="360"/>
      </w:pPr>
      <w:rPr>
        <w:rFonts w:ascii="Symbol" w:hAnsi="Symbol" w:hint="default"/>
      </w:rPr>
    </w:lvl>
    <w:lvl w:ilvl="4" w:tplc="14090003" w:tentative="1">
      <w:start w:val="1"/>
      <w:numFmt w:val="bullet"/>
      <w:lvlText w:val="o"/>
      <w:lvlJc w:val="left"/>
      <w:pPr>
        <w:tabs>
          <w:tab w:val="num" w:pos="3600"/>
        </w:tabs>
        <w:ind w:left="3600" w:hanging="360"/>
      </w:pPr>
      <w:rPr>
        <w:rFonts w:ascii="Courier New" w:hAnsi="Courier New" w:cs="Courier New" w:hint="default"/>
      </w:rPr>
    </w:lvl>
    <w:lvl w:ilvl="5" w:tplc="14090005" w:tentative="1">
      <w:start w:val="1"/>
      <w:numFmt w:val="bullet"/>
      <w:lvlText w:val=""/>
      <w:lvlJc w:val="left"/>
      <w:pPr>
        <w:tabs>
          <w:tab w:val="num" w:pos="4320"/>
        </w:tabs>
        <w:ind w:left="4320" w:hanging="360"/>
      </w:pPr>
      <w:rPr>
        <w:rFonts w:ascii="Wingdings" w:hAnsi="Wingdings" w:hint="default"/>
      </w:rPr>
    </w:lvl>
    <w:lvl w:ilvl="6" w:tplc="14090001" w:tentative="1">
      <w:start w:val="1"/>
      <w:numFmt w:val="bullet"/>
      <w:lvlText w:val=""/>
      <w:lvlJc w:val="left"/>
      <w:pPr>
        <w:tabs>
          <w:tab w:val="num" w:pos="5040"/>
        </w:tabs>
        <w:ind w:left="5040" w:hanging="360"/>
      </w:pPr>
      <w:rPr>
        <w:rFonts w:ascii="Symbol" w:hAnsi="Symbol" w:hint="default"/>
      </w:rPr>
    </w:lvl>
    <w:lvl w:ilvl="7" w:tplc="14090003" w:tentative="1">
      <w:start w:val="1"/>
      <w:numFmt w:val="bullet"/>
      <w:lvlText w:val="o"/>
      <w:lvlJc w:val="left"/>
      <w:pPr>
        <w:tabs>
          <w:tab w:val="num" w:pos="5760"/>
        </w:tabs>
        <w:ind w:left="5760" w:hanging="360"/>
      </w:pPr>
      <w:rPr>
        <w:rFonts w:ascii="Courier New" w:hAnsi="Courier New" w:cs="Courier New" w:hint="default"/>
      </w:rPr>
    </w:lvl>
    <w:lvl w:ilvl="8" w:tplc="14090005" w:tentative="1">
      <w:start w:val="1"/>
      <w:numFmt w:val="bullet"/>
      <w:lvlText w:val=""/>
      <w:lvlJc w:val="left"/>
      <w:pPr>
        <w:tabs>
          <w:tab w:val="num" w:pos="6480"/>
        </w:tabs>
        <w:ind w:left="6480" w:hanging="360"/>
      </w:pPr>
      <w:rPr>
        <w:rFonts w:ascii="Wingdings" w:hAnsi="Wingdings" w:hint="default"/>
      </w:rPr>
    </w:lvl>
  </w:abstractNum>
  <w:abstractNum w:abstractNumId="34">
    <w:nsid w:val="7BD201EC"/>
    <w:multiLevelType w:val="hybridMultilevel"/>
    <w:tmpl w:val="FAEA70C4"/>
    <w:lvl w:ilvl="0" w:tplc="8E0E39B6">
      <w:start w:val="1"/>
      <w:numFmt w:val="lowerLetter"/>
      <w:lvlText w:val="%1."/>
      <w:lvlJc w:val="left"/>
      <w:pPr>
        <w:tabs>
          <w:tab w:val="num" w:pos="360"/>
        </w:tabs>
        <w:ind w:left="360" w:hanging="360"/>
      </w:pPr>
      <w:rPr>
        <w:rFonts w:hint="default"/>
      </w:rPr>
    </w:lvl>
    <w:lvl w:ilvl="1" w:tplc="14090019" w:tentative="1">
      <w:start w:val="1"/>
      <w:numFmt w:val="lowerLetter"/>
      <w:lvlText w:val="%2."/>
      <w:lvlJc w:val="left"/>
      <w:pPr>
        <w:tabs>
          <w:tab w:val="num" w:pos="1440"/>
        </w:tabs>
        <w:ind w:left="1440" w:hanging="360"/>
      </w:pPr>
    </w:lvl>
    <w:lvl w:ilvl="2" w:tplc="1409001B" w:tentative="1">
      <w:start w:val="1"/>
      <w:numFmt w:val="lowerRoman"/>
      <w:lvlText w:val="%3."/>
      <w:lvlJc w:val="right"/>
      <w:pPr>
        <w:tabs>
          <w:tab w:val="num" w:pos="2160"/>
        </w:tabs>
        <w:ind w:left="2160" w:hanging="180"/>
      </w:pPr>
    </w:lvl>
    <w:lvl w:ilvl="3" w:tplc="1409000F" w:tentative="1">
      <w:start w:val="1"/>
      <w:numFmt w:val="decimal"/>
      <w:lvlText w:val="%4."/>
      <w:lvlJc w:val="left"/>
      <w:pPr>
        <w:tabs>
          <w:tab w:val="num" w:pos="2880"/>
        </w:tabs>
        <w:ind w:left="2880" w:hanging="360"/>
      </w:pPr>
    </w:lvl>
    <w:lvl w:ilvl="4" w:tplc="14090019" w:tentative="1">
      <w:start w:val="1"/>
      <w:numFmt w:val="lowerLetter"/>
      <w:lvlText w:val="%5."/>
      <w:lvlJc w:val="left"/>
      <w:pPr>
        <w:tabs>
          <w:tab w:val="num" w:pos="3600"/>
        </w:tabs>
        <w:ind w:left="3600" w:hanging="360"/>
      </w:pPr>
    </w:lvl>
    <w:lvl w:ilvl="5" w:tplc="1409001B" w:tentative="1">
      <w:start w:val="1"/>
      <w:numFmt w:val="lowerRoman"/>
      <w:lvlText w:val="%6."/>
      <w:lvlJc w:val="right"/>
      <w:pPr>
        <w:tabs>
          <w:tab w:val="num" w:pos="4320"/>
        </w:tabs>
        <w:ind w:left="4320" w:hanging="180"/>
      </w:pPr>
    </w:lvl>
    <w:lvl w:ilvl="6" w:tplc="1409000F" w:tentative="1">
      <w:start w:val="1"/>
      <w:numFmt w:val="decimal"/>
      <w:lvlText w:val="%7."/>
      <w:lvlJc w:val="left"/>
      <w:pPr>
        <w:tabs>
          <w:tab w:val="num" w:pos="5040"/>
        </w:tabs>
        <w:ind w:left="5040" w:hanging="360"/>
      </w:pPr>
    </w:lvl>
    <w:lvl w:ilvl="7" w:tplc="14090019" w:tentative="1">
      <w:start w:val="1"/>
      <w:numFmt w:val="lowerLetter"/>
      <w:lvlText w:val="%8."/>
      <w:lvlJc w:val="left"/>
      <w:pPr>
        <w:tabs>
          <w:tab w:val="num" w:pos="5760"/>
        </w:tabs>
        <w:ind w:left="5760" w:hanging="360"/>
      </w:pPr>
    </w:lvl>
    <w:lvl w:ilvl="8" w:tplc="1409001B" w:tentative="1">
      <w:start w:val="1"/>
      <w:numFmt w:val="lowerRoman"/>
      <w:lvlText w:val="%9."/>
      <w:lvlJc w:val="right"/>
      <w:pPr>
        <w:tabs>
          <w:tab w:val="num" w:pos="6480"/>
        </w:tabs>
        <w:ind w:left="6480" w:hanging="180"/>
      </w:pPr>
    </w:lvl>
  </w:abstractNum>
  <w:abstractNum w:abstractNumId="35">
    <w:nsid w:val="7FE4120F"/>
    <w:multiLevelType w:val="multilevel"/>
    <w:tmpl w:val="674A108A"/>
    <w:lvl w:ilvl="0">
      <w:start w:val="1"/>
      <w:numFmt w:val="decimal"/>
      <w:lvlText w:val="%1."/>
      <w:lvlJc w:val="left"/>
      <w:pPr>
        <w:ind w:left="108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6"/>
  </w:num>
  <w:num w:numId="2">
    <w:abstractNumId w:val="35"/>
  </w:num>
  <w:num w:numId="3">
    <w:abstractNumId w:val="1"/>
  </w:num>
  <w:num w:numId="4">
    <w:abstractNumId w:val="20"/>
  </w:num>
  <w:num w:numId="5">
    <w:abstractNumId w:val="32"/>
  </w:num>
  <w:num w:numId="6">
    <w:abstractNumId w:val="8"/>
  </w:num>
  <w:num w:numId="7">
    <w:abstractNumId w:val="9"/>
  </w:num>
  <w:num w:numId="8">
    <w:abstractNumId w:val="27"/>
  </w:num>
  <w:num w:numId="9">
    <w:abstractNumId w:val="21"/>
  </w:num>
  <w:num w:numId="10">
    <w:abstractNumId w:val="16"/>
  </w:num>
  <w:num w:numId="11">
    <w:abstractNumId w:val="12"/>
  </w:num>
  <w:num w:numId="12">
    <w:abstractNumId w:val="23"/>
  </w:num>
  <w:num w:numId="13">
    <w:abstractNumId w:val="31"/>
  </w:num>
  <w:num w:numId="14">
    <w:abstractNumId w:val="4"/>
  </w:num>
  <w:num w:numId="15">
    <w:abstractNumId w:val="30"/>
  </w:num>
  <w:num w:numId="16">
    <w:abstractNumId w:val="24"/>
  </w:num>
  <w:num w:numId="17">
    <w:abstractNumId w:val="19"/>
  </w:num>
  <w:num w:numId="18">
    <w:abstractNumId w:val="29"/>
  </w:num>
  <w:num w:numId="19">
    <w:abstractNumId w:val="25"/>
  </w:num>
  <w:num w:numId="20">
    <w:abstractNumId w:val="22"/>
  </w:num>
  <w:num w:numId="21">
    <w:abstractNumId w:val="7"/>
  </w:num>
  <w:num w:numId="22">
    <w:abstractNumId w:val="34"/>
  </w:num>
  <w:num w:numId="23">
    <w:abstractNumId w:val="2"/>
  </w:num>
  <w:num w:numId="24">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25">
    <w:abstractNumId w:val="33"/>
  </w:num>
  <w:num w:numId="26">
    <w:abstractNumId w:val="17"/>
  </w:num>
  <w:num w:numId="27">
    <w:abstractNumId w:val="18"/>
  </w:num>
  <w:num w:numId="28">
    <w:abstractNumId w:val="3"/>
  </w:num>
  <w:num w:numId="29">
    <w:abstractNumId w:val="26"/>
  </w:num>
  <w:num w:numId="30">
    <w:abstractNumId w:val="15"/>
  </w:num>
  <w:num w:numId="31">
    <w:abstractNumId w:val="11"/>
  </w:num>
  <w:num w:numId="32">
    <w:abstractNumId w:val="28"/>
  </w:num>
  <w:num w:numId="33">
    <w:abstractNumId w:val="10"/>
  </w:num>
  <w:num w:numId="34">
    <w:abstractNumId w:val="5"/>
  </w:num>
  <w:num w:numId="35">
    <w:abstractNumId w:val="13"/>
  </w:num>
  <w:num w:numId="36">
    <w:abstractNumId w:val="3"/>
    <w:lvlOverride w:ilvl="0">
      <w:startOverride w:val="6"/>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 w:name="EN.Libraries" w:val="&lt;ENLibraries&gt;&lt;Libraries&gt;&lt;item&gt;IFRS Impact-Converted.enl&lt;/item&gt;&lt;/Libraries&gt;&lt;/ENLibraries&gt;"/>
  </w:docVars>
  <w:rsids>
    <w:rsidRoot w:val="00D203CF"/>
    <w:rsid w:val="000011DB"/>
    <w:rsid w:val="0000497E"/>
    <w:rsid w:val="00004A04"/>
    <w:rsid w:val="00006149"/>
    <w:rsid w:val="00007645"/>
    <w:rsid w:val="00007EDD"/>
    <w:rsid w:val="00012C79"/>
    <w:rsid w:val="00013CD2"/>
    <w:rsid w:val="000160FE"/>
    <w:rsid w:val="00016EF9"/>
    <w:rsid w:val="00016FE9"/>
    <w:rsid w:val="0001708F"/>
    <w:rsid w:val="000219A4"/>
    <w:rsid w:val="00022B0C"/>
    <w:rsid w:val="00022FEC"/>
    <w:rsid w:val="0002500C"/>
    <w:rsid w:val="00027371"/>
    <w:rsid w:val="00027785"/>
    <w:rsid w:val="000326E9"/>
    <w:rsid w:val="00043C38"/>
    <w:rsid w:val="00045370"/>
    <w:rsid w:val="000470E9"/>
    <w:rsid w:val="00047E95"/>
    <w:rsid w:val="0005034B"/>
    <w:rsid w:val="0005037F"/>
    <w:rsid w:val="00050650"/>
    <w:rsid w:val="00050852"/>
    <w:rsid w:val="0005318D"/>
    <w:rsid w:val="00053220"/>
    <w:rsid w:val="000534B0"/>
    <w:rsid w:val="00053871"/>
    <w:rsid w:val="0005573E"/>
    <w:rsid w:val="00060D77"/>
    <w:rsid w:val="00062F5D"/>
    <w:rsid w:val="00064D6A"/>
    <w:rsid w:val="000665B3"/>
    <w:rsid w:val="000726B0"/>
    <w:rsid w:val="000726B8"/>
    <w:rsid w:val="0007295E"/>
    <w:rsid w:val="0007445C"/>
    <w:rsid w:val="0007453E"/>
    <w:rsid w:val="000768CE"/>
    <w:rsid w:val="00077A07"/>
    <w:rsid w:val="0008100B"/>
    <w:rsid w:val="00082BD8"/>
    <w:rsid w:val="00083367"/>
    <w:rsid w:val="00083553"/>
    <w:rsid w:val="0009062A"/>
    <w:rsid w:val="00092240"/>
    <w:rsid w:val="000926CE"/>
    <w:rsid w:val="00094FED"/>
    <w:rsid w:val="00095030"/>
    <w:rsid w:val="00097A9C"/>
    <w:rsid w:val="000A101A"/>
    <w:rsid w:val="000A282F"/>
    <w:rsid w:val="000A35F0"/>
    <w:rsid w:val="000A3C34"/>
    <w:rsid w:val="000A4CCE"/>
    <w:rsid w:val="000A503D"/>
    <w:rsid w:val="000A5085"/>
    <w:rsid w:val="000A55C7"/>
    <w:rsid w:val="000A6429"/>
    <w:rsid w:val="000A6C1F"/>
    <w:rsid w:val="000B2BC2"/>
    <w:rsid w:val="000B3AA1"/>
    <w:rsid w:val="000B575C"/>
    <w:rsid w:val="000B6357"/>
    <w:rsid w:val="000B67CC"/>
    <w:rsid w:val="000B6DF5"/>
    <w:rsid w:val="000B78B6"/>
    <w:rsid w:val="000C740F"/>
    <w:rsid w:val="000D0575"/>
    <w:rsid w:val="000D1214"/>
    <w:rsid w:val="000D34FA"/>
    <w:rsid w:val="000D360F"/>
    <w:rsid w:val="000D4995"/>
    <w:rsid w:val="000D54A8"/>
    <w:rsid w:val="000D5A08"/>
    <w:rsid w:val="000D6776"/>
    <w:rsid w:val="000E0A1A"/>
    <w:rsid w:val="000E0AD7"/>
    <w:rsid w:val="000E3413"/>
    <w:rsid w:val="000E3B01"/>
    <w:rsid w:val="000E3B58"/>
    <w:rsid w:val="000E617B"/>
    <w:rsid w:val="000F286D"/>
    <w:rsid w:val="000F29D8"/>
    <w:rsid w:val="000F41C0"/>
    <w:rsid w:val="000F46DB"/>
    <w:rsid w:val="000F6880"/>
    <w:rsid w:val="000F7F51"/>
    <w:rsid w:val="0010154C"/>
    <w:rsid w:val="00102B13"/>
    <w:rsid w:val="00102CD6"/>
    <w:rsid w:val="00106A7F"/>
    <w:rsid w:val="001072ED"/>
    <w:rsid w:val="00107302"/>
    <w:rsid w:val="00107825"/>
    <w:rsid w:val="00107D1B"/>
    <w:rsid w:val="00110E2F"/>
    <w:rsid w:val="00114271"/>
    <w:rsid w:val="00114382"/>
    <w:rsid w:val="0011526A"/>
    <w:rsid w:val="001158D2"/>
    <w:rsid w:val="00116BE6"/>
    <w:rsid w:val="00117771"/>
    <w:rsid w:val="0012038C"/>
    <w:rsid w:val="0012060D"/>
    <w:rsid w:val="00121173"/>
    <w:rsid w:val="001215F0"/>
    <w:rsid w:val="001227F2"/>
    <w:rsid w:val="00123B1A"/>
    <w:rsid w:val="00124520"/>
    <w:rsid w:val="00126482"/>
    <w:rsid w:val="00126E20"/>
    <w:rsid w:val="00130642"/>
    <w:rsid w:val="00130788"/>
    <w:rsid w:val="00132EC5"/>
    <w:rsid w:val="00134FE8"/>
    <w:rsid w:val="00135271"/>
    <w:rsid w:val="00135E6C"/>
    <w:rsid w:val="001407C5"/>
    <w:rsid w:val="001449B4"/>
    <w:rsid w:val="00144EDE"/>
    <w:rsid w:val="00144F6C"/>
    <w:rsid w:val="00145DAD"/>
    <w:rsid w:val="00146096"/>
    <w:rsid w:val="00147EB6"/>
    <w:rsid w:val="001517C9"/>
    <w:rsid w:val="00153605"/>
    <w:rsid w:val="00160EDA"/>
    <w:rsid w:val="00164FC8"/>
    <w:rsid w:val="00164FC9"/>
    <w:rsid w:val="00172280"/>
    <w:rsid w:val="00172A67"/>
    <w:rsid w:val="00173A9E"/>
    <w:rsid w:val="001743DE"/>
    <w:rsid w:val="00176725"/>
    <w:rsid w:val="00176ED7"/>
    <w:rsid w:val="00184552"/>
    <w:rsid w:val="00184D1F"/>
    <w:rsid w:val="0018550D"/>
    <w:rsid w:val="0018679A"/>
    <w:rsid w:val="00191848"/>
    <w:rsid w:val="001931CE"/>
    <w:rsid w:val="0019557E"/>
    <w:rsid w:val="00195CD5"/>
    <w:rsid w:val="00197758"/>
    <w:rsid w:val="001A1115"/>
    <w:rsid w:val="001A12E9"/>
    <w:rsid w:val="001A2202"/>
    <w:rsid w:val="001A2749"/>
    <w:rsid w:val="001A393D"/>
    <w:rsid w:val="001A3F29"/>
    <w:rsid w:val="001A53A5"/>
    <w:rsid w:val="001A748B"/>
    <w:rsid w:val="001A791F"/>
    <w:rsid w:val="001B258C"/>
    <w:rsid w:val="001B2903"/>
    <w:rsid w:val="001B5C59"/>
    <w:rsid w:val="001B66B9"/>
    <w:rsid w:val="001C20BC"/>
    <w:rsid w:val="001C32E2"/>
    <w:rsid w:val="001C33A6"/>
    <w:rsid w:val="001C4430"/>
    <w:rsid w:val="001C44C2"/>
    <w:rsid w:val="001C4E55"/>
    <w:rsid w:val="001C560B"/>
    <w:rsid w:val="001C75EF"/>
    <w:rsid w:val="001D0070"/>
    <w:rsid w:val="001D0617"/>
    <w:rsid w:val="001D0656"/>
    <w:rsid w:val="001D0B95"/>
    <w:rsid w:val="001D0C4D"/>
    <w:rsid w:val="001D1254"/>
    <w:rsid w:val="001D4164"/>
    <w:rsid w:val="001D6414"/>
    <w:rsid w:val="001E23BC"/>
    <w:rsid w:val="001E2765"/>
    <w:rsid w:val="001E3E48"/>
    <w:rsid w:val="001E49A1"/>
    <w:rsid w:val="001E4F63"/>
    <w:rsid w:val="001E5EAD"/>
    <w:rsid w:val="001E604A"/>
    <w:rsid w:val="001E6749"/>
    <w:rsid w:val="001E6FD2"/>
    <w:rsid w:val="001E7B3B"/>
    <w:rsid w:val="001F0BFB"/>
    <w:rsid w:val="001F195B"/>
    <w:rsid w:val="001F4AC4"/>
    <w:rsid w:val="001F5A64"/>
    <w:rsid w:val="001F6C0C"/>
    <w:rsid w:val="001F7211"/>
    <w:rsid w:val="001F7271"/>
    <w:rsid w:val="001F755C"/>
    <w:rsid w:val="00202C08"/>
    <w:rsid w:val="00203B9A"/>
    <w:rsid w:val="002061D2"/>
    <w:rsid w:val="00206907"/>
    <w:rsid w:val="00211492"/>
    <w:rsid w:val="00213A53"/>
    <w:rsid w:val="00216CAA"/>
    <w:rsid w:val="002178B6"/>
    <w:rsid w:val="00220429"/>
    <w:rsid w:val="00225141"/>
    <w:rsid w:val="002258BF"/>
    <w:rsid w:val="00227C0D"/>
    <w:rsid w:val="00227DEB"/>
    <w:rsid w:val="002335C2"/>
    <w:rsid w:val="00234C72"/>
    <w:rsid w:val="00234CF9"/>
    <w:rsid w:val="00235B8E"/>
    <w:rsid w:val="00235C19"/>
    <w:rsid w:val="00236E2E"/>
    <w:rsid w:val="00237CA3"/>
    <w:rsid w:val="002416E3"/>
    <w:rsid w:val="002434F9"/>
    <w:rsid w:val="0024435B"/>
    <w:rsid w:val="002453B2"/>
    <w:rsid w:val="00247205"/>
    <w:rsid w:val="00247871"/>
    <w:rsid w:val="00247952"/>
    <w:rsid w:val="00247C5B"/>
    <w:rsid w:val="002518DC"/>
    <w:rsid w:val="00251C0E"/>
    <w:rsid w:val="0025215E"/>
    <w:rsid w:val="002529C7"/>
    <w:rsid w:val="00252B5C"/>
    <w:rsid w:val="00252D39"/>
    <w:rsid w:val="0025370A"/>
    <w:rsid w:val="00257AAE"/>
    <w:rsid w:val="00261728"/>
    <w:rsid w:val="0026191D"/>
    <w:rsid w:val="00262B94"/>
    <w:rsid w:val="00263C82"/>
    <w:rsid w:val="002645CA"/>
    <w:rsid w:val="00266F84"/>
    <w:rsid w:val="00267E72"/>
    <w:rsid w:val="0027092E"/>
    <w:rsid w:val="002718A2"/>
    <w:rsid w:val="0027444C"/>
    <w:rsid w:val="002766DA"/>
    <w:rsid w:val="00281332"/>
    <w:rsid w:val="00281D86"/>
    <w:rsid w:val="0028369F"/>
    <w:rsid w:val="00285E7F"/>
    <w:rsid w:val="00293677"/>
    <w:rsid w:val="00294204"/>
    <w:rsid w:val="002951DA"/>
    <w:rsid w:val="00296D10"/>
    <w:rsid w:val="002973E1"/>
    <w:rsid w:val="002974C5"/>
    <w:rsid w:val="002A04D3"/>
    <w:rsid w:val="002A0BE5"/>
    <w:rsid w:val="002A186B"/>
    <w:rsid w:val="002A224F"/>
    <w:rsid w:val="002A3651"/>
    <w:rsid w:val="002A3EC1"/>
    <w:rsid w:val="002A4A20"/>
    <w:rsid w:val="002A4CB2"/>
    <w:rsid w:val="002A5D1A"/>
    <w:rsid w:val="002A623E"/>
    <w:rsid w:val="002A6BB9"/>
    <w:rsid w:val="002A6E66"/>
    <w:rsid w:val="002A7AB1"/>
    <w:rsid w:val="002B30DD"/>
    <w:rsid w:val="002B504B"/>
    <w:rsid w:val="002B6AD1"/>
    <w:rsid w:val="002B7F8E"/>
    <w:rsid w:val="002C01AE"/>
    <w:rsid w:val="002C0A2D"/>
    <w:rsid w:val="002C235E"/>
    <w:rsid w:val="002C3818"/>
    <w:rsid w:val="002C4323"/>
    <w:rsid w:val="002C629F"/>
    <w:rsid w:val="002C6EB1"/>
    <w:rsid w:val="002D0F7A"/>
    <w:rsid w:val="002D3835"/>
    <w:rsid w:val="002D63FC"/>
    <w:rsid w:val="002D7B90"/>
    <w:rsid w:val="002E047B"/>
    <w:rsid w:val="002E2065"/>
    <w:rsid w:val="002E248F"/>
    <w:rsid w:val="002E3CB7"/>
    <w:rsid w:val="002E3EC8"/>
    <w:rsid w:val="002E5334"/>
    <w:rsid w:val="002E55B8"/>
    <w:rsid w:val="002E7169"/>
    <w:rsid w:val="002E76B5"/>
    <w:rsid w:val="002F04DE"/>
    <w:rsid w:val="002F0FE0"/>
    <w:rsid w:val="002F1942"/>
    <w:rsid w:val="002F5BA8"/>
    <w:rsid w:val="002F78D3"/>
    <w:rsid w:val="00302106"/>
    <w:rsid w:val="003035A1"/>
    <w:rsid w:val="003043D7"/>
    <w:rsid w:val="00305AE0"/>
    <w:rsid w:val="00305E53"/>
    <w:rsid w:val="003076D9"/>
    <w:rsid w:val="00310C48"/>
    <w:rsid w:val="00311E14"/>
    <w:rsid w:val="00314089"/>
    <w:rsid w:val="00314EF9"/>
    <w:rsid w:val="003176A5"/>
    <w:rsid w:val="00317943"/>
    <w:rsid w:val="003210CF"/>
    <w:rsid w:val="0032158D"/>
    <w:rsid w:val="00322EFA"/>
    <w:rsid w:val="00325A15"/>
    <w:rsid w:val="00327C3F"/>
    <w:rsid w:val="00327FB1"/>
    <w:rsid w:val="00330136"/>
    <w:rsid w:val="003303FF"/>
    <w:rsid w:val="00330637"/>
    <w:rsid w:val="00330708"/>
    <w:rsid w:val="00331E26"/>
    <w:rsid w:val="00331E2D"/>
    <w:rsid w:val="0033221F"/>
    <w:rsid w:val="0033261C"/>
    <w:rsid w:val="00337C72"/>
    <w:rsid w:val="003405E2"/>
    <w:rsid w:val="00340B6A"/>
    <w:rsid w:val="00341141"/>
    <w:rsid w:val="003422DE"/>
    <w:rsid w:val="003468F5"/>
    <w:rsid w:val="00350FFE"/>
    <w:rsid w:val="00351216"/>
    <w:rsid w:val="0035135B"/>
    <w:rsid w:val="0035709C"/>
    <w:rsid w:val="00360058"/>
    <w:rsid w:val="003623BA"/>
    <w:rsid w:val="0036370F"/>
    <w:rsid w:val="00363E71"/>
    <w:rsid w:val="0036448E"/>
    <w:rsid w:val="003648F8"/>
    <w:rsid w:val="0036534F"/>
    <w:rsid w:val="003657DC"/>
    <w:rsid w:val="003658A1"/>
    <w:rsid w:val="00365DDA"/>
    <w:rsid w:val="00367F1F"/>
    <w:rsid w:val="00374FC5"/>
    <w:rsid w:val="00377A8E"/>
    <w:rsid w:val="003803D8"/>
    <w:rsid w:val="00382637"/>
    <w:rsid w:val="00382FA0"/>
    <w:rsid w:val="00383E8F"/>
    <w:rsid w:val="003843EE"/>
    <w:rsid w:val="003851D9"/>
    <w:rsid w:val="00385562"/>
    <w:rsid w:val="0038653B"/>
    <w:rsid w:val="00386C89"/>
    <w:rsid w:val="00391B17"/>
    <w:rsid w:val="00392E26"/>
    <w:rsid w:val="00394875"/>
    <w:rsid w:val="00395E60"/>
    <w:rsid w:val="003962CD"/>
    <w:rsid w:val="00396CB1"/>
    <w:rsid w:val="0039756A"/>
    <w:rsid w:val="00397A9D"/>
    <w:rsid w:val="00397F86"/>
    <w:rsid w:val="003A5119"/>
    <w:rsid w:val="003A7615"/>
    <w:rsid w:val="003B041A"/>
    <w:rsid w:val="003B1784"/>
    <w:rsid w:val="003B2B5B"/>
    <w:rsid w:val="003B36A4"/>
    <w:rsid w:val="003B3744"/>
    <w:rsid w:val="003B5FB1"/>
    <w:rsid w:val="003B73F0"/>
    <w:rsid w:val="003C05C8"/>
    <w:rsid w:val="003C212D"/>
    <w:rsid w:val="003C2282"/>
    <w:rsid w:val="003C4347"/>
    <w:rsid w:val="003C4C53"/>
    <w:rsid w:val="003C6E51"/>
    <w:rsid w:val="003C6F78"/>
    <w:rsid w:val="003C723B"/>
    <w:rsid w:val="003D024A"/>
    <w:rsid w:val="003E12C6"/>
    <w:rsid w:val="003E3C6D"/>
    <w:rsid w:val="003E3D9A"/>
    <w:rsid w:val="003E468D"/>
    <w:rsid w:val="003E5431"/>
    <w:rsid w:val="003E7322"/>
    <w:rsid w:val="003E741E"/>
    <w:rsid w:val="003F11F7"/>
    <w:rsid w:val="003F3266"/>
    <w:rsid w:val="003F3829"/>
    <w:rsid w:val="003F4B86"/>
    <w:rsid w:val="0040164C"/>
    <w:rsid w:val="00401D12"/>
    <w:rsid w:val="00403104"/>
    <w:rsid w:val="004054B1"/>
    <w:rsid w:val="00407A26"/>
    <w:rsid w:val="004104B9"/>
    <w:rsid w:val="004120F7"/>
    <w:rsid w:val="00413785"/>
    <w:rsid w:val="004138C0"/>
    <w:rsid w:val="0041405E"/>
    <w:rsid w:val="004148E4"/>
    <w:rsid w:val="00414EDE"/>
    <w:rsid w:val="00416432"/>
    <w:rsid w:val="004167BB"/>
    <w:rsid w:val="00416FB7"/>
    <w:rsid w:val="00420507"/>
    <w:rsid w:val="00423047"/>
    <w:rsid w:val="004244A9"/>
    <w:rsid w:val="00424914"/>
    <w:rsid w:val="00424B71"/>
    <w:rsid w:val="0042551B"/>
    <w:rsid w:val="00425DA5"/>
    <w:rsid w:val="00430A9F"/>
    <w:rsid w:val="00431CEA"/>
    <w:rsid w:val="00432217"/>
    <w:rsid w:val="0043341E"/>
    <w:rsid w:val="00434481"/>
    <w:rsid w:val="0043497F"/>
    <w:rsid w:val="0043793F"/>
    <w:rsid w:val="00437E42"/>
    <w:rsid w:val="00437EBE"/>
    <w:rsid w:val="004403ED"/>
    <w:rsid w:val="00440EBB"/>
    <w:rsid w:val="00441B5F"/>
    <w:rsid w:val="004456A7"/>
    <w:rsid w:val="00445F90"/>
    <w:rsid w:val="004469AC"/>
    <w:rsid w:val="00446D30"/>
    <w:rsid w:val="00446D8A"/>
    <w:rsid w:val="0045010E"/>
    <w:rsid w:val="00453822"/>
    <w:rsid w:val="00453F16"/>
    <w:rsid w:val="004575A0"/>
    <w:rsid w:val="0046011D"/>
    <w:rsid w:val="00460EA0"/>
    <w:rsid w:val="004610FB"/>
    <w:rsid w:val="00462031"/>
    <w:rsid w:val="00462C63"/>
    <w:rsid w:val="00462EC6"/>
    <w:rsid w:val="00465C44"/>
    <w:rsid w:val="00466374"/>
    <w:rsid w:val="004678C8"/>
    <w:rsid w:val="00470EE8"/>
    <w:rsid w:val="004722EA"/>
    <w:rsid w:val="00473097"/>
    <w:rsid w:val="00474159"/>
    <w:rsid w:val="00474690"/>
    <w:rsid w:val="0047582D"/>
    <w:rsid w:val="00477561"/>
    <w:rsid w:val="00481F81"/>
    <w:rsid w:val="00482C0C"/>
    <w:rsid w:val="00483D63"/>
    <w:rsid w:val="00485287"/>
    <w:rsid w:val="004862DE"/>
    <w:rsid w:val="00486318"/>
    <w:rsid w:val="004875D4"/>
    <w:rsid w:val="00491ED9"/>
    <w:rsid w:val="004928F4"/>
    <w:rsid w:val="0049296D"/>
    <w:rsid w:val="00493F0F"/>
    <w:rsid w:val="00494365"/>
    <w:rsid w:val="0049656A"/>
    <w:rsid w:val="004972B8"/>
    <w:rsid w:val="004A07EA"/>
    <w:rsid w:val="004A4090"/>
    <w:rsid w:val="004A59FB"/>
    <w:rsid w:val="004A61F6"/>
    <w:rsid w:val="004A66E9"/>
    <w:rsid w:val="004A742D"/>
    <w:rsid w:val="004A77B7"/>
    <w:rsid w:val="004B2738"/>
    <w:rsid w:val="004B28B3"/>
    <w:rsid w:val="004B33FF"/>
    <w:rsid w:val="004B4AF8"/>
    <w:rsid w:val="004B5F9A"/>
    <w:rsid w:val="004C1B1B"/>
    <w:rsid w:val="004C248C"/>
    <w:rsid w:val="004C250F"/>
    <w:rsid w:val="004C4402"/>
    <w:rsid w:val="004C4AE2"/>
    <w:rsid w:val="004C5FB5"/>
    <w:rsid w:val="004C70C9"/>
    <w:rsid w:val="004D0782"/>
    <w:rsid w:val="004D460B"/>
    <w:rsid w:val="004D4FB0"/>
    <w:rsid w:val="004D587C"/>
    <w:rsid w:val="004D68ED"/>
    <w:rsid w:val="004D75F9"/>
    <w:rsid w:val="004D79A0"/>
    <w:rsid w:val="004E00D3"/>
    <w:rsid w:val="004E1D27"/>
    <w:rsid w:val="004E2647"/>
    <w:rsid w:val="004F18E1"/>
    <w:rsid w:val="004F1F86"/>
    <w:rsid w:val="004F4993"/>
    <w:rsid w:val="004F5489"/>
    <w:rsid w:val="004F634D"/>
    <w:rsid w:val="004F6785"/>
    <w:rsid w:val="00500061"/>
    <w:rsid w:val="005002F8"/>
    <w:rsid w:val="005004AB"/>
    <w:rsid w:val="005005ED"/>
    <w:rsid w:val="00500F66"/>
    <w:rsid w:val="005023CF"/>
    <w:rsid w:val="005068AF"/>
    <w:rsid w:val="00513758"/>
    <w:rsid w:val="005146E1"/>
    <w:rsid w:val="00514841"/>
    <w:rsid w:val="00514E67"/>
    <w:rsid w:val="00517F85"/>
    <w:rsid w:val="00522228"/>
    <w:rsid w:val="005236F0"/>
    <w:rsid w:val="00523A35"/>
    <w:rsid w:val="00523B2C"/>
    <w:rsid w:val="00524E1C"/>
    <w:rsid w:val="005258FA"/>
    <w:rsid w:val="005271BD"/>
    <w:rsid w:val="005279D4"/>
    <w:rsid w:val="00530414"/>
    <w:rsid w:val="00531234"/>
    <w:rsid w:val="00531930"/>
    <w:rsid w:val="0053322C"/>
    <w:rsid w:val="005356FD"/>
    <w:rsid w:val="00535A9C"/>
    <w:rsid w:val="0053601B"/>
    <w:rsid w:val="00536E87"/>
    <w:rsid w:val="00537091"/>
    <w:rsid w:val="005371B8"/>
    <w:rsid w:val="0053727E"/>
    <w:rsid w:val="0053795D"/>
    <w:rsid w:val="0054319C"/>
    <w:rsid w:val="0054404D"/>
    <w:rsid w:val="00544426"/>
    <w:rsid w:val="0054471E"/>
    <w:rsid w:val="00545250"/>
    <w:rsid w:val="00545B3F"/>
    <w:rsid w:val="00546253"/>
    <w:rsid w:val="00546925"/>
    <w:rsid w:val="00546C76"/>
    <w:rsid w:val="005510B7"/>
    <w:rsid w:val="00551A4C"/>
    <w:rsid w:val="00553668"/>
    <w:rsid w:val="00554537"/>
    <w:rsid w:val="00556BB7"/>
    <w:rsid w:val="005571DB"/>
    <w:rsid w:val="005579AE"/>
    <w:rsid w:val="0056191D"/>
    <w:rsid w:val="00562E68"/>
    <w:rsid w:val="00565CB6"/>
    <w:rsid w:val="00565DD1"/>
    <w:rsid w:val="005724EC"/>
    <w:rsid w:val="00572EDC"/>
    <w:rsid w:val="005762A9"/>
    <w:rsid w:val="00576427"/>
    <w:rsid w:val="0057666C"/>
    <w:rsid w:val="00576D0F"/>
    <w:rsid w:val="005770DC"/>
    <w:rsid w:val="0057743F"/>
    <w:rsid w:val="00580688"/>
    <w:rsid w:val="00580BC9"/>
    <w:rsid w:val="00581E88"/>
    <w:rsid w:val="005853FA"/>
    <w:rsid w:val="00586982"/>
    <w:rsid w:val="00592EE0"/>
    <w:rsid w:val="00592F35"/>
    <w:rsid w:val="00592F93"/>
    <w:rsid w:val="00594279"/>
    <w:rsid w:val="00595A7C"/>
    <w:rsid w:val="005961C7"/>
    <w:rsid w:val="00596F1C"/>
    <w:rsid w:val="005A269D"/>
    <w:rsid w:val="005A3C63"/>
    <w:rsid w:val="005A4572"/>
    <w:rsid w:val="005A5598"/>
    <w:rsid w:val="005A6D90"/>
    <w:rsid w:val="005B0526"/>
    <w:rsid w:val="005B0A8A"/>
    <w:rsid w:val="005B1385"/>
    <w:rsid w:val="005B1AC0"/>
    <w:rsid w:val="005B23BE"/>
    <w:rsid w:val="005B2F8C"/>
    <w:rsid w:val="005B3B4D"/>
    <w:rsid w:val="005B3C63"/>
    <w:rsid w:val="005B52F6"/>
    <w:rsid w:val="005B5ADD"/>
    <w:rsid w:val="005B5BCB"/>
    <w:rsid w:val="005B7321"/>
    <w:rsid w:val="005C03A3"/>
    <w:rsid w:val="005C2383"/>
    <w:rsid w:val="005C444D"/>
    <w:rsid w:val="005C448B"/>
    <w:rsid w:val="005C7979"/>
    <w:rsid w:val="005C7BB1"/>
    <w:rsid w:val="005D25BE"/>
    <w:rsid w:val="005D34FB"/>
    <w:rsid w:val="005D3ACD"/>
    <w:rsid w:val="005D4B87"/>
    <w:rsid w:val="005D53A9"/>
    <w:rsid w:val="005D5B46"/>
    <w:rsid w:val="005D5EA9"/>
    <w:rsid w:val="005E3AC9"/>
    <w:rsid w:val="005E4121"/>
    <w:rsid w:val="005E4BBC"/>
    <w:rsid w:val="005F0E29"/>
    <w:rsid w:val="005F16AA"/>
    <w:rsid w:val="005F1A5A"/>
    <w:rsid w:val="005F2A05"/>
    <w:rsid w:val="005F33E5"/>
    <w:rsid w:val="005F3B32"/>
    <w:rsid w:val="005F4150"/>
    <w:rsid w:val="005F52FE"/>
    <w:rsid w:val="005F5341"/>
    <w:rsid w:val="005F555C"/>
    <w:rsid w:val="005F6D14"/>
    <w:rsid w:val="0060022F"/>
    <w:rsid w:val="0060036C"/>
    <w:rsid w:val="00600514"/>
    <w:rsid w:val="006017B1"/>
    <w:rsid w:val="0060211A"/>
    <w:rsid w:val="00602169"/>
    <w:rsid w:val="00602C94"/>
    <w:rsid w:val="006045C1"/>
    <w:rsid w:val="006053D1"/>
    <w:rsid w:val="00605740"/>
    <w:rsid w:val="00610EFB"/>
    <w:rsid w:val="006111B6"/>
    <w:rsid w:val="006129D4"/>
    <w:rsid w:val="00613FB3"/>
    <w:rsid w:val="00615219"/>
    <w:rsid w:val="0061533F"/>
    <w:rsid w:val="00616C68"/>
    <w:rsid w:val="00617E43"/>
    <w:rsid w:val="00620CC5"/>
    <w:rsid w:val="00621908"/>
    <w:rsid w:val="006226C1"/>
    <w:rsid w:val="00622B93"/>
    <w:rsid w:val="0062581E"/>
    <w:rsid w:val="00625E7E"/>
    <w:rsid w:val="0062765A"/>
    <w:rsid w:val="00631A5D"/>
    <w:rsid w:val="00632723"/>
    <w:rsid w:val="00633A2E"/>
    <w:rsid w:val="006355D4"/>
    <w:rsid w:val="006428BE"/>
    <w:rsid w:val="0064482C"/>
    <w:rsid w:val="00645BD9"/>
    <w:rsid w:val="006471C7"/>
    <w:rsid w:val="00651832"/>
    <w:rsid w:val="00651BBF"/>
    <w:rsid w:val="00651ECD"/>
    <w:rsid w:val="00652E25"/>
    <w:rsid w:val="00653F87"/>
    <w:rsid w:val="00654397"/>
    <w:rsid w:val="00656BE3"/>
    <w:rsid w:val="00657DF3"/>
    <w:rsid w:val="00660BA3"/>
    <w:rsid w:val="006615AC"/>
    <w:rsid w:val="0066486F"/>
    <w:rsid w:val="00664A48"/>
    <w:rsid w:val="00665C8A"/>
    <w:rsid w:val="006667BF"/>
    <w:rsid w:val="00667585"/>
    <w:rsid w:val="006678AE"/>
    <w:rsid w:val="00671058"/>
    <w:rsid w:val="00677564"/>
    <w:rsid w:val="00677D2C"/>
    <w:rsid w:val="0068028E"/>
    <w:rsid w:val="00682FD8"/>
    <w:rsid w:val="006848CA"/>
    <w:rsid w:val="00684EDC"/>
    <w:rsid w:val="00691971"/>
    <w:rsid w:val="00696725"/>
    <w:rsid w:val="006A1265"/>
    <w:rsid w:val="006A3655"/>
    <w:rsid w:val="006A4387"/>
    <w:rsid w:val="006A448D"/>
    <w:rsid w:val="006A47B4"/>
    <w:rsid w:val="006A551C"/>
    <w:rsid w:val="006A57F6"/>
    <w:rsid w:val="006A5B38"/>
    <w:rsid w:val="006A6B1A"/>
    <w:rsid w:val="006A7021"/>
    <w:rsid w:val="006A71FA"/>
    <w:rsid w:val="006B14C5"/>
    <w:rsid w:val="006B2FC8"/>
    <w:rsid w:val="006B6970"/>
    <w:rsid w:val="006B7D93"/>
    <w:rsid w:val="006C3B55"/>
    <w:rsid w:val="006C4BA7"/>
    <w:rsid w:val="006C6173"/>
    <w:rsid w:val="006C662F"/>
    <w:rsid w:val="006C69E0"/>
    <w:rsid w:val="006D0A53"/>
    <w:rsid w:val="006D36BA"/>
    <w:rsid w:val="006D3FF6"/>
    <w:rsid w:val="006D5379"/>
    <w:rsid w:val="006D596E"/>
    <w:rsid w:val="006D6619"/>
    <w:rsid w:val="006D77E5"/>
    <w:rsid w:val="006E1590"/>
    <w:rsid w:val="006E1AA9"/>
    <w:rsid w:val="006E2CD3"/>
    <w:rsid w:val="006E45E7"/>
    <w:rsid w:val="006E532C"/>
    <w:rsid w:val="006E5840"/>
    <w:rsid w:val="006E7A8D"/>
    <w:rsid w:val="006F7102"/>
    <w:rsid w:val="006F71B3"/>
    <w:rsid w:val="006F72DB"/>
    <w:rsid w:val="006F7A73"/>
    <w:rsid w:val="006F7CD7"/>
    <w:rsid w:val="0070059E"/>
    <w:rsid w:val="007050BA"/>
    <w:rsid w:val="007052CC"/>
    <w:rsid w:val="00705792"/>
    <w:rsid w:val="007060D1"/>
    <w:rsid w:val="0070666B"/>
    <w:rsid w:val="00706E0E"/>
    <w:rsid w:val="00707091"/>
    <w:rsid w:val="00710446"/>
    <w:rsid w:val="00712531"/>
    <w:rsid w:val="00713DB1"/>
    <w:rsid w:val="00717D53"/>
    <w:rsid w:val="00717FFA"/>
    <w:rsid w:val="0072007E"/>
    <w:rsid w:val="0072241B"/>
    <w:rsid w:val="00722476"/>
    <w:rsid w:val="00724A7F"/>
    <w:rsid w:val="00724E31"/>
    <w:rsid w:val="00725CC7"/>
    <w:rsid w:val="007267D0"/>
    <w:rsid w:val="007271B1"/>
    <w:rsid w:val="00727331"/>
    <w:rsid w:val="007273DC"/>
    <w:rsid w:val="00731016"/>
    <w:rsid w:val="0073137A"/>
    <w:rsid w:val="00733116"/>
    <w:rsid w:val="00733B96"/>
    <w:rsid w:val="00733E5A"/>
    <w:rsid w:val="007361A5"/>
    <w:rsid w:val="007377F8"/>
    <w:rsid w:val="00737DFA"/>
    <w:rsid w:val="00737F37"/>
    <w:rsid w:val="007400C5"/>
    <w:rsid w:val="007436B9"/>
    <w:rsid w:val="00744DDC"/>
    <w:rsid w:val="007454C8"/>
    <w:rsid w:val="00746744"/>
    <w:rsid w:val="00746A06"/>
    <w:rsid w:val="007543B7"/>
    <w:rsid w:val="00754BB8"/>
    <w:rsid w:val="0075599E"/>
    <w:rsid w:val="0075665F"/>
    <w:rsid w:val="00757D20"/>
    <w:rsid w:val="00762094"/>
    <w:rsid w:val="00764E0F"/>
    <w:rsid w:val="0076601C"/>
    <w:rsid w:val="007663E3"/>
    <w:rsid w:val="00766E76"/>
    <w:rsid w:val="00770A37"/>
    <w:rsid w:val="00770CFD"/>
    <w:rsid w:val="00773371"/>
    <w:rsid w:val="00777A55"/>
    <w:rsid w:val="0078048F"/>
    <w:rsid w:val="00780574"/>
    <w:rsid w:val="00781B13"/>
    <w:rsid w:val="0078450B"/>
    <w:rsid w:val="007866F9"/>
    <w:rsid w:val="007873C3"/>
    <w:rsid w:val="00787E95"/>
    <w:rsid w:val="0079121A"/>
    <w:rsid w:val="00791838"/>
    <w:rsid w:val="007939E4"/>
    <w:rsid w:val="00794C4C"/>
    <w:rsid w:val="00795267"/>
    <w:rsid w:val="00795406"/>
    <w:rsid w:val="0079638A"/>
    <w:rsid w:val="00796E3C"/>
    <w:rsid w:val="007977F0"/>
    <w:rsid w:val="007A17FE"/>
    <w:rsid w:val="007A362A"/>
    <w:rsid w:val="007A3A90"/>
    <w:rsid w:val="007A6761"/>
    <w:rsid w:val="007A7349"/>
    <w:rsid w:val="007B054B"/>
    <w:rsid w:val="007B291B"/>
    <w:rsid w:val="007B5A4D"/>
    <w:rsid w:val="007B6633"/>
    <w:rsid w:val="007C0074"/>
    <w:rsid w:val="007C040A"/>
    <w:rsid w:val="007C2E9F"/>
    <w:rsid w:val="007C6990"/>
    <w:rsid w:val="007C773F"/>
    <w:rsid w:val="007C78C4"/>
    <w:rsid w:val="007C7D7A"/>
    <w:rsid w:val="007D0402"/>
    <w:rsid w:val="007D2331"/>
    <w:rsid w:val="007D3BA8"/>
    <w:rsid w:val="007D527E"/>
    <w:rsid w:val="007D5624"/>
    <w:rsid w:val="007D5A89"/>
    <w:rsid w:val="007E0ABD"/>
    <w:rsid w:val="007E139E"/>
    <w:rsid w:val="007E14DD"/>
    <w:rsid w:val="007E2EBC"/>
    <w:rsid w:val="007E4B8D"/>
    <w:rsid w:val="007E5290"/>
    <w:rsid w:val="007E56AD"/>
    <w:rsid w:val="007F15CF"/>
    <w:rsid w:val="007F3D4C"/>
    <w:rsid w:val="007F5F31"/>
    <w:rsid w:val="007F6DD8"/>
    <w:rsid w:val="00802D7F"/>
    <w:rsid w:val="008037AF"/>
    <w:rsid w:val="00803F21"/>
    <w:rsid w:val="008042D5"/>
    <w:rsid w:val="00805538"/>
    <w:rsid w:val="00805550"/>
    <w:rsid w:val="00805D16"/>
    <w:rsid w:val="00812FEB"/>
    <w:rsid w:val="00813149"/>
    <w:rsid w:val="00814976"/>
    <w:rsid w:val="008149D4"/>
    <w:rsid w:val="00817206"/>
    <w:rsid w:val="00817507"/>
    <w:rsid w:val="00822881"/>
    <w:rsid w:val="00822883"/>
    <w:rsid w:val="00822C66"/>
    <w:rsid w:val="0082543A"/>
    <w:rsid w:val="00826225"/>
    <w:rsid w:val="00827AE6"/>
    <w:rsid w:val="00831184"/>
    <w:rsid w:val="00831CA5"/>
    <w:rsid w:val="0083301A"/>
    <w:rsid w:val="00834A50"/>
    <w:rsid w:val="008353D8"/>
    <w:rsid w:val="008370D4"/>
    <w:rsid w:val="00840B1C"/>
    <w:rsid w:val="0084154C"/>
    <w:rsid w:val="00842012"/>
    <w:rsid w:val="00844B51"/>
    <w:rsid w:val="008527FC"/>
    <w:rsid w:val="008529AC"/>
    <w:rsid w:val="0085551D"/>
    <w:rsid w:val="00860B29"/>
    <w:rsid w:val="008625A7"/>
    <w:rsid w:val="00862A47"/>
    <w:rsid w:val="008637B9"/>
    <w:rsid w:val="0086385D"/>
    <w:rsid w:val="00863F7F"/>
    <w:rsid w:val="00867EA9"/>
    <w:rsid w:val="008700B0"/>
    <w:rsid w:val="0087109C"/>
    <w:rsid w:val="00872377"/>
    <w:rsid w:val="00873562"/>
    <w:rsid w:val="00873FD7"/>
    <w:rsid w:val="008762A9"/>
    <w:rsid w:val="008774F9"/>
    <w:rsid w:val="00882B2F"/>
    <w:rsid w:val="008833E4"/>
    <w:rsid w:val="00883507"/>
    <w:rsid w:val="00883DE4"/>
    <w:rsid w:val="008846E7"/>
    <w:rsid w:val="00885C4F"/>
    <w:rsid w:val="008871D7"/>
    <w:rsid w:val="008918D6"/>
    <w:rsid w:val="00893AF7"/>
    <w:rsid w:val="008941FB"/>
    <w:rsid w:val="0089554F"/>
    <w:rsid w:val="00895C63"/>
    <w:rsid w:val="008961BB"/>
    <w:rsid w:val="008972A5"/>
    <w:rsid w:val="00897304"/>
    <w:rsid w:val="00897589"/>
    <w:rsid w:val="008A1A0C"/>
    <w:rsid w:val="008A28EE"/>
    <w:rsid w:val="008A3FD1"/>
    <w:rsid w:val="008A40F0"/>
    <w:rsid w:val="008A4413"/>
    <w:rsid w:val="008A5FE9"/>
    <w:rsid w:val="008A6A86"/>
    <w:rsid w:val="008B182C"/>
    <w:rsid w:val="008B4634"/>
    <w:rsid w:val="008B547C"/>
    <w:rsid w:val="008B60F9"/>
    <w:rsid w:val="008B6AFE"/>
    <w:rsid w:val="008C07D7"/>
    <w:rsid w:val="008C127F"/>
    <w:rsid w:val="008C2409"/>
    <w:rsid w:val="008C4F93"/>
    <w:rsid w:val="008C5AA1"/>
    <w:rsid w:val="008C7BC7"/>
    <w:rsid w:val="008C7BC9"/>
    <w:rsid w:val="008D015A"/>
    <w:rsid w:val="008D0335"/>
    <w:rsid w:val="008D062F"/>
    <w:rsid w:val="008D1915"/>
    <w:rsid w:val="008D4557"/>
    <w:rsid w:val="008D6300"/>
    <w:rsid w:val="008D761E"/>
    <w:rsid w:val="008E033A"/>
    <w:rsid w:val="008E12DC"/>
    <w:rsid w:val="008E2394"/>
    <w:rsid w:val="008E2475"/>
    <w:rsid w:val="008E3208"/>
    <w:rsid w:val="008E4B1B"/>
    <w:rsid w:val="008E598B"/>
    <w:rsid w:val="008F01D8"/>
    <w:rsid w:val="008F1307"/>
    <w:rsid w:val="008F1B4A"/>
    <w:rsid w:val="008F1C0D"/>
    <w:rsid w:val="008F3277"/>
    <w:rsid w:val="008F4D3B"/>
    <w:rsid w:val="0090081F"/>
    <w:rsid w:val="009032B7"/>
    <w:rsid w:val="0090486E"/>
    <w:rsid w:val="00904C3E"/>
    <w:rsid w:val="009050D6"/>
    <w:rsid w:val="00906595"/>
    <w:rsid w:val="009101C3"/>
    <w:rsid w:val="00910A92"/>
    <w:rsid w:val="009155D3"/>
    <w:rsid w:val="00915E7A"/>
    <w:rsid w:val="00920335"/>
    <w:rsid w:val="009220B4"/>
    <w:rsid w:val="00923CBA"/>
    <w:rsid w:val="0092409B"/>
    <w:rsid w:val="00924D74"/>
    <w:rsid w:val="00930202"/>
    <w:rsid w:val="009305D1"/>
    <w:rsid w:val="00930BE7"/>
    <w:rsid w:val="009325AA"/>
    <w:rsid w:val="0093302F"/>
    <w:rsid w:val="0093403C"/>
    <w:rsid w:val="0093501E"/>
    <w:rsid w:val="009352D5"/>
    <w:rsid w:val="00937280"/>
    <w:rsid w:val="00941B31"/>
    <w:rsid w:val="00942FED"/>
    <w:rsid w:val="0094419C"/>
    <w:rsid w:val="009447E3"/>
    <w:rsid w:val="00945BA7"/>
    <w:rsid w:val="00945C9C"/>
    <w:rsid w:val="00945EC1"/>
    <w:rsid w:val="00946CAD"/>
    <w:rsid w:val="0095064E"/>
    <w:rsid w:val="00950BDD"/>
    <w:rsid w:val="00952C8E"/>
    <w:rsid w:val="00952E7D"/>
    <w:rsid w:val="00953328"/>
    <w:rsid w:val="009539ED"/>
    <w:rsid w:val="00955482"/>
    <w:rsid w:val="00955972"/>
    <w:rsid w:val="00956C57"/>
    <w:rsid w:val="00960560"/>
    <w:rsid w:val="009605D6"/>
    <w:rsid w:val="009615FE"/>
    <w:rsid w:val="009632EF"/>
    <w:rsid w:val="00963510"/>
    <w:rsid w:val="00964014"/>
    <w:rsid w:val="00964534"/>
    <w:rsid w:val="0096481C"/>
    <w:rsid w:val="0096482B"/>
    <w:rsid w:val="009650E1"/>
    <w:rsid w:val="00966560"/>
    <w:rsid w:val="0096706D"/>
    <w:rsid w:val="00967693"/>
    <w:rsid w:val="009677F0"/>
    <w:rsid w:val="00967CA1"/>
    <w:rsid w:val="00970A24"/>
    <w:rsid w:val="00972739"/>
    <w:rsid w:val="00972AEE"/>
    <w:rsid w:val="00972C40"/>
    <w:rsid w:val="00972D48"/>
    <w:rsid w:val="00974CF5"/>
    <w:rsid w:val="009751B5"/>
    <w:rsid w:val="00975A24"/>
    <w:rsid w:val="00976441"/>
    <w:rsid w:val="00976CF8"/>
    <w:rsid w:val="00977082"/>
    <w:rsid w:val="00977459"/>
    <w:rsid w:val="00982BBD"/>
    <w:rsid w:val="009832D2"/>
    <w:rsid w:val="00983D7A"/>
    <w:rsid w:val="009841C2"/>
    <w:rsid w:val="00984D7F"/>
    <w:rsid w:val="00985D53"/>
    <w:rsid w:val="009866D8"/>
    <w:rsid w:val="0099081E"/>
    <w:rsid w:val="009914BE"/>
    <w:rsid w:val="00993933"/>
    <w:rsid w:val="009A2407"/>
    <w:rsid w:val="009A30A2"/>
    <w:rsid w:val="009A38CA"/>
    <w:rsid w:val="009A4EE5"/>
    <w:rsid w:val="009A51BC"/>
    <w:rsid w:val="009A64F9"/>
    <w:rsid w:val="009A7834"/>
    <w:rsid w:val="009B03DF"/>
    <w:rsid w:val="009B0650"/>
    <w:rsid w:val="009B2390"/>
    <w:rsid w:val="009B2C6A"/>
    <w:rsid w:val="009B2CC2"/>
    <w:rsid w:val="009B505C"/>
    <w:rsid w:val="009B5946"/>
    <w:rsid w:val="009B5ADC"/>
    <w:rsid w:val="009B6516"/>
    <w:rsid w:val="009B729E"/>
    <w:rsid w:val="009B7897"/>
    <w:rsid w:val="009B7A4A"/>
    <w:rsid w:val="009C05E2"/>
    <w:rsid w:val="009C086D"/>
    <w:rsid w:val="009C13EE"/>
    <w:rsid w:val="009C3D2C"/>
    <w:rsid w:val="009C5D4A"/>
    <w:rsid w:val="009C67CC"/>
    <w:rsid w:val="009C67D7"/>
    <w:rsid w:val="009D112B"/>
    <w:rsid w:val="009D4B96"/>
    <w:rsid w:val="009D5E48"/>
    <w:rsid w:val="009D6BE2"/>
    <w:rsid w:val="009E339C"/>
    <w:rsid w:val="009E3AB4"/>
    <w:rsid w:val="009E5897"/>
    <w:rsid w:val="009E6166"/>
    <w:rsid w:val="009F0088"/>
    <w:rsid w:val="009F36AF"/>
    <w:rsid w:val="009F58DB"/>
    <w:rsid w:val="00A0036E"/>
    <w:rsid w:val="00A00C4A"/>
    <w:rsid w:val="00A00EEF"/>
    <w:rsid w:val="00A01215"/>
    <w:rsid w:val="00A015C7"/>
    <w:rsid w:val="00A016A2"/>
    <w:rsid w:val="00A0235B"/>
    <w:rsid w:val="00A03729"/>
    <w:rsid w:val="00A05E58"/>
    <w:rsid w:val="00A060BF"/>
    <w:rsid w:val="00A0615A"/>
    <w:rsid w:val="00A07350"/>
    <w:rsid w:val="00A07585"/>
    <w:rsid w:val="00A10272"/>
    <w:rsid w:val="00A11ECD"/>
    <w:rsid w:val="00A12069"/>
    <w:rsid w:val="00A1238D"/>
    <w:rsid w:val="00A12CFD"/>
    <w:rsid w:val="00A13FBD"/>
    <w:rsid w:val="00A144D0"/>
    <w:rsid w:val="00A203CD"/>
    <w:rsid w:val="00A226B2"/>
    <w:rsid w:val="00A229BB"/>
    <w:rsid w:val="00A22AF3"/>
    <w:rsid w:val="00A23A1E"/>
    <w:rsid w:val="00A23A75"/>
    <w:rsid w:val="00A23CB7"/>
    <w:rsid w:val="00A25A82"/>
    <w:rsid w:val="00A26786"/>
    <w:rsid w:val="00A269C7"/>
    <w:rsid w:val="00A34C4D"/>
    <w:rsid w:val="00A34ECB"/>
    <w:rsid w:val="00A36253"/>
    <w:rsid w:val="00A40F89"/>
    <w:rsid w:val="00A44324"/>
    <w:rsid w:val="00A447EB"/>
    <w:rsid w:val="00A46156"/>
    <w:rsid w:val="00A47C7F"/>
    <w:rsid w:val="00A50359"/>
    <w:rsid w:val="00A506A4"/>
    <w:rsid w:val="00A509FD"/>
    <w:rsid w:val="00A517BA"/>
    <w:rsid w:val="00A5201E"/>
    <w:rsid w:val="00A524AD"/>
    <w:rsid w:val="00A53383"/>
    <w:rsid w:val="00A53398"/>
    <w:rsid w:val="00A554A7"/>
    <w:rsid w:val="00A56274"/>
    <w:rsid w:val="00A564BB"/>
    <w:rsid w:val="00A566DA"/>
    <w:rsid w:val="00A57961"/>
    <w:rsid w:val="00A62D3A"/>
    <w:rsid w:val="00A6367A"/>
    <w:rsid w:val="00A67617"/>
    <w:rsid w:val="00A67CB4"/>
    <w:rsid w:val="00A70267"/>
    <w:rsid w:val="00A70AF2"/>
    <w:rsid w:val="00A733B0"/>
    <w:rsid w:val="00A744EB"/>
    <w:rsid w:val="00A75338"/>
    <w:rsid w:val="00A763E6"/>
    <w:rsid w:val="00A81AD6"/>
    <w:rsid w:val="00A82469"/>
    <w:rsid w:val="00A843CE"/>
    <w:rsid w:val="00A850C6"/>
    <w:rsid w:val="00A85224"/>
    <w:rsid w:val="00A92465"/>
    <w:rsid w:val="00A929A5"/>
    <w:rsid w:val="00A936F0"/>
    <w:rsid w:val="00A9451C"/>
    <w:rsid w:val="00A95AB3"/>
    <w:rsid w:val="00A96AC5"/>
    <w:rsid w:val="00AA2066"/>
    <w:rsid w:val="00AA412C"/>
    <w:rsid w:val="00AA4691"/>
    <w:rsid w:val="00AA6518"/>
    <w:rsid w:val="00AA65A7"/>
    <w:rsid w:val="00AA6E6A"/>
    <w:rsid w:val="00AA72BF"/>
    <w:rsid w:val="00AB1853"/>
    <w:rsid w:val="00AB3632"/>
    <w:rsid w:val="00AB3F53"/>
    <w:rsid w:val="00AB41F0"/>
    <w:rsid w:val="00AB4EAF"/>
    <w:rsid w:val="00AB6120"/>
    <w:rsid w:val="00AB7EE9"/>
    <w:rsid w:val="00AC0459"/>
    <w:rsid w:val="00AC04D4"/>
    <w:rsid w:val="00AC2A8C"/>
    <w:rsid w:val="00AC2E8E"/>
    <w:rsid w:val="00AC49C6"/>
    <w:rsid w:val="00AC6046"/>
    <w:rsid w:val="00AC6535"/>
    <w:rsid w:val="00AC686D"/>
    <w:rsid w:val="00AC6B74"/>
    <w:rsid w:val="00AC7FD2"/>
    <w:rsid w:val="00AD07A6"/>
    <w:rsid w:val="00AD1F80"/>
    <w:rsid w:val="00AD2445"/>
    <w:rsid w:val="00AD3D03"/>
    <w:rsid w:val="00AD6CD2"/>
    <w:rsid w:val="00AD7546"/>
    <w:rsid w:val="00AE1032"/>
    <w:rsid w:val="00AE1FA5"/>
    <w:rsid w:val="00AE2301"/>
    <w:rsid w:val="00AE2367"/>
    <w:rsid w:val="00AE3669"/>
    <w:rsid w:val="00AE54B4"/>
    <w:rsid w:val="00AE6431"/>
    <w:rsid w:val="00AE7396"/>
    <w:rsid w:val="00AE7DF2"/>
    <w:rsid w:val="00AF197F"/>
    <w:rsid w:val="00AF2811"/>
    <w:rsid w:val="00AF47F2"/>
    <w:rsid w:val="00AF49AE"/>
    <w:rsid w:val="00AF5EA6"/>
    <w:rsid w:val="00AF690C"/>
    <w:rsid w:val="00AF7372"/>
    <w:rsid w:val="00AF7B6A"/>
    <w:rsid w:val="00B0110F"/>
    <w:rsid w:val="00B01C5D"/>
    <w:rsid w:val="00B02A4A"/>
    <w:rsid w:val="00B02D7C"/>
    <w:rsid w:val="00B074E4"/>
    <w:rsid w:val="00B1067D"/>
    <w:rsid w:val="00B10AC4"/>
    <w:rsid w:val="00B10BA8"/>
    <w:rsid w:val="00B1190F"/>
    <w:rsid w:val="00B11B74"/>
    <w:rsid w:val="00B13325"/>
    <w:rsid w:val="00B135B9"/>
    <w:rsid w:val="00B15794"/>
    <w:rsid w:val="00B232BC"/>
    <w:rsid w:val="00B2363D"/>
    <w:rsid w:val="00B23CEA"/>
    <w:rsid w:val="00B31CE5"/>
    <w:rsid w:val="00B36AF9"/>
    <w:rsid w:val="00B3794E"/>
    <w:rsid w:val="00B37C01"/>
    <w:rsid w:val="00B40462"/>
    <w:rsid w:val="00B41341"/>
    <w:rsid w:val="00B43DE5"/>
    <w:rsid w:val="00B43E00"/>
    <w:rsid w:val="00B4537F"/>
    <w:rsid w:val="00B464E0"/>
    <w:rsid w:val="00B46E0A"/>
    <w:rsid w:val="00B50CA7"/>
    <w:rsid w:val="00B51950"/>
    <w:rsid w:val="00B51C3C"/>
    <w:rsid w:val="00B524FB"/>
    <w:rsid w:val="00B5312C"/>
    <w:rsid w:val="00B53AF0"/>
    <w:rsid w:val="00B53B2B"/>
    <w:rsid w:val="00B55132"/>
    <w:rsid w:val="00B55F02"/>
    <w:rsid w:val="00B576A8"/>
    <w:rsid w:val="00B60015"/>
    <w:rsid w:val="00B60C23"/>
    <w:rsid w:val="00B623EB"/>
    <w:rsid w:val="00B64271"/>
    <w:rsid w:val="00B64AA6"/>
    <w:rsid w:val="00B667D0"/>
    <w:rsid w:val="00B66CB0"/>
    <w:rsid w:val="00B67A53"/>
    <w:rsid w:val="00B737FF"/>
    <w:rsid w:val="00B74286"/>
    <w:rsid w:val="00B746DC"/>
    <w:rsid w:val="00B75AF6"/>
    <w:rsid w:val="00B75F18"/>
    <w:rsid w:val="00B760D8"/>
    <w:rsid w:val="00B76EF5"/>
    <w:rsid w:val="00B80C3E"/>
    <w:rsid w:val="00B8481F"/>
    <w:rsid w:val="00B87706"/>
    <w:rsid w:val="00B90E9F"/>
    <w:rsid w:val="00B92065"/>
    <w:rsid w:val="00B92390"/>
    <w:rsid w:val="00B92970"/>
    <w:rsid w:val="00B97F1B"/>
    <w:rsid w:val="00BA13A1"/>
    <w:rsid w:val="00BA270D"/>
    <w:rsid w:val="00BA50D2"/>
    <w:rsid w:val="00BA5F00"/>
    <w:rsid w:val="00BB2FD0"/>
    <w:rsid w:val="00BB376D"/>
    <w:rsid w:val="00BB37E7"/>
    <w:rsid w:val="00BB56F9"/>
    <w:rsid w:val="00BB6C1E"/>
    <w:rsid w:val="00BB6D9D"/>
    <w:rsid w:val="00BB7F1F"/>
    <w:rsid w:val="00BC2291"/>
    <w:rsid w:val="00BC3F6F"/>
    <w:rsid w:val="00BC56B6"/>
    <w:rsid w:val="00BC5EF8"/>
    <w:rsid w:val="00BC7CF5"/>
    <w:rsid w:val="00BD0AA2"/>
    <w:rsid w:val="00BD0B73"/>
    <w:rsid w:val="00BD1AD1"/>
    <w:rsid w:val="00BD6C8F"/>
    <w:rsid w:val="00BE4F6D"/>
    <w:rsid w:val="00BE56F7"/>
    <w:rsid w:val="00BE679F"/>
    <w:rsid w:val="00BE6B2E"/>
    <w:rsid w:val="00BE6F91"/>
    <w:rsid w:val="00BE7FBA"/>
    <w:rsid w:val="00BF3635"/>
    <w:rsid w:val="00BF4BB1"/>
    <w:rsid w:val="00BF6C86"/>
    <w:rsid w:val="00BF72C8"/>
    <w:rsid w:val="00BF78C5"/>
    <w:rsid w:val="00C00C3D"/>
    <w:rsid w:val="00C00EDF"/>
    <w:rsid w:val="00C022E2"/>
    <w:rsid w:val="00C023C7"/>
    <w:rsid w:val="00C031EE"/>
    <w:rsid w:val="00C03DA8"/>
    <w:rsid w:val="00C05988"/>
    <w:rsid w:val="00C07349"/>
    <w:rsid w:val="00C10DFC"/>
    <w:rsid w:val="00C11091"/>
    <w:rsid w:val="00C11517"/>
    <w:rsid w:val="00C12659"/>
    <w:rsid w:val="00C14DF3"/>
    <w:rsid w:val="00C14F99"/>
    <w:rsid w:val="00C2006B"/>
    <w:rsid w:val="00C20111"/>
    <w:rsid w:val="00C208AE"/>
    <w:rsid w:val="00C21006"/>
    <w:rsid w:val="00C23CCE"/>
    <w:rsid w:val="00C2544C"/>
    <w:rsid w:val="00C2552A"/>
    <w:rsid w:val="00C25D7C"/>
    <w:rsid w:val="00C26E38"/>
    <w:rsid w:val="00C27137"/>
    <w:rsid w:val="00C27798"/>
    <w:rsid w:val="00C307AE"/>
    <w:rsid w:val="00C31E0B"/>
    <w:rsid w:val="00C320D0"/>
    <w:rsid w:val="00C32848"/>
    <w:rsid w:val="00C34496"/>
    <w:rsid w:val="00C37AAE"/>
    <w:rsid w:val="00C37AEF"/>
    <w:rsid w:val="00C41179"/>
    <w:rsid w:val="00C417AC"/>
    <w:rsid w:val="00C41900"/>
    <w:rsid w:val="00C41D96"/>
    <w:rsid w:val="00C43297"/>
    <w:rsid w:val="00C445B0"/>
    <w:rsid w:val="00C45F10"/>
    <w:rsid w:val="00C45F37"/>
    <w:rsid w:val="00C461E0"/>
    <w:rsid w:val="00C46671"/>
    <w:rsid w:val="00C4767E"/>
    <w:rsid w:val="00C47AFC"/>
    <w:rsid w:val="00C52C68"/>
    <w:rsid w:val="00C53910"/>
    <w:rsid w:val="00C53E08"/>
    <w:rsid w:val="00C55D55"/>
    <w:rsid w:val="00C561E4"/>
    <w:rsid w:val="00C56297"/>
    <w:rsid w:val="00C56EDA"/>
    <w:rsid w:val="00C612E2"/>
    <w:rsid w:val="00C621AC"/>
    <w:rsid w:val="00C64F1E"/>
    <w:rsid w:val="00C658AC"/>
    <w:rsid w:val="00C678FB"/>
    <w:rsid w:val="00C67AB6"/>
    <w:rsid w:val="00C70DFB"/>
    <w:rsid w:val="00C712FC"/>
    <w:rsid w:val="00C73CF5"/>
    <w:rsid w:val="00C77A16"/>
    <w:rsid w:val="00C81152"/>
    <w:rsid w:val="00C8359B"/>
    <w:rsid w:val="00C839CE"/>
    <w:rsid w:val="00C841EA"/>
    <w:rsid w:val="00C84C03"/>
    <w:rsid w:val="00C84F9E"/>
    <w:rsid w:val="00C85033"/>
    <w:rsid w:val="00C86E71"/>
    <w:rsid w:val="00C90B84"/>
    <w:rsid w:val="00C970A6"/>
    <w:rsid w:val="00CA07B4"/>
    <w:rsid w:val="00CA1221"/>
    <w:rsid w:val="00CA18E9"/>
    <w:rsid w:val="00CA2555"/>
    <w:rsid w:val="00CA30B8"/>
    <w:rsid w:val="00CA3493"/>
    <w:rsid w:val="00CA5F5F"/>
    <w:rsid w:val="00CB0A06"/>
    <w:rsid w:val="00CB1DA8"/>
    <w:rsid w:val="00CB22CA"/>
    <w:rsid w:val="00CB4B79"/>
    <w:rsid w:val="00CB5ECE"/>
    <w:rsid w:val="00CB6F10"/>
    <w:rsid w:val="00CC0B03"/>
    <w:rsid w:val="00CC7E10"/>
    <w:rsid w:val="00CD2F6F"/>
    <w:rsid w:val="00CD32E1"/>
    <w:rsid w:val="00CD37DB"/>
    <w:rsid w:val="00CD3F11"/>
    <w:rsid w:val="00CD4BBB"/>
    <w:rsid w:val="00CD74C5"/>
    <w:rsid w:val="00CE0E33"/>
    <w:rsid w:val="00CE14C2"/>
    <w:rsid w:val="00CE2E7B"/>
    <w:rsid w:val="00CE5D14"/>
    <w:rsid w:val="00CE6460"/>
    <w:rsid w:val="00CE6834"/>
    <w:rsid w:val="00CE6B38"/>
    <w:rsid w:val="00CF0FF9"/>
    <w:rsid w:val="00CF212F"/>
    <w:rsid w:val="00CF2B21"/>
    <w:rsid w:val="00CF2D8C"/>
    <w:rsid w:val="00CF3876"/>
    <w:rsid w:val="00CF3CB5"/>
    <w:rsid w:val="00CF3F9D"/>
    <w:rsid w:val="00CF407B"/>
    <w:rsid w:val="00D02E5C"/>
    <w:rsid w:val="00D032E6"/>
    <w:rsid w:val="00D03C32"/>
    <w:rsid w:val="00D059FE"/>
    <w:rsid w:val="00D064E4"/>
    <w:rsid w:val="00D07852"/>
    <w:rsid w:val="00D110BF"/>
    <w:rsid w:val="00D11E00"/>
    <w:rsid w:val="00D11F0E"/>
    <w:rsid w:val="00D16CBA"/>
    <w:rsid w:val="00D17E09"/>
    <w:rsid w:val="00D203CF"/>
    <w:rsid w:val="00D213D7"/>
    <w:rsid w:val="00D21DE1"/>
    <w:rsid w:val="00D22860"/>
    <w:rsid w:val="00D22F43"/>
    <w:rsid w:val="00D2705F"/>
    <w:rsid w:val="00D32A5D"/>
    <w:rsid w:val="00D3329E"/>
    <w:rsid w:val="00D332C4"/>
    <w:rsid w:val="00D33C39"/>
    <w:rsid w:val="00D351B9"/>
    <w:rsid w:val="00D356B7"/>
    <w:rsid w:val="00D35BB7"/>
    <w:rsid w:val="00D35EF8"/>
    <w:rsid w:val="00D4122A"/>
    <w:rsid w:val="00D43B0A"/>
    <w:rsid w:val="00D44D81"/>
    <w:rsid w:val="00D46057"/>
    <w:rsid w:val="00D4701D"/>
    <w:rsid w:val="00D50403"/>
    <w:rsid w:val="00D5267F"/>
    <w:rsid w:val="00D53395"/>
    <w:rsid w:val="00D53E18"/>
    <w:rsid w:val="00D54F91"/>
    <w:rsid w:val="00D5750B"/>
    <w:rsid w:val="00D61967"/>
    <w:rsid w:val="00D628AF"/>
    <w:rsid w:val="00D63911"/>
    <w:rsid w:val="00D63EED"/>
    <w:rsid w:val="00D654CF"/>
    <w:rsid w:val="00D66207"/>
    <w:rsid w:val="00D6665C"/>
    <w:rsid w:val="00D679CA"/>
    <w:rsid w:val="00D7042F"/>
    <w:rsid w:val="00D7506C"/>
    <w:rsid w:val="00D75DC6"/>
    <w:rsid w:val="00D762AC"/>
    <w:rsid w:val="00D764D6"/>
    <w:rsid w:val="00D7673B"/>
    <w:rsid w:val="00D76FA1"/>
    <w:rsid w:val="00D77040"/>
    <w:rsid w:val="00D77475"/>
    <w:rsid w:val="00D804D1"/>
    <w:rsid w:val="00D905C0"/>
    <w:rsid w:val="00D907E9"/>
    <w:rsid w:val="00D911DE"/>
    <w:rsid w:val="00DA0C0D"/>
    <w:rsid w:val="00DA1839"/>
    <w:rsid w:val="00DA19A2"/>
    <w:rsid w:val="00DA271E"/>
    <w:rsid w:val="00DA3623"/>
    <w:rsid w:val="00DA372D"/>
    <w:rsid w:val="00DA5F00"/>
    <w:rsid w:val="00DA763B"/>
    <w:rsid w:val="00DA7D81"/>
    <w:rsid w:val="00DB16F1"/>
    <w:rsid w:val="00DB2911"/>
    <w:rsid w:val="00DB3913"/>
    <w:rsid w:val="00DB4EB0"/>
    <w:rsid w:val="00DB62AB"/>
    <w:rsid w:val="00DB737F"/>
    <w:rsid w:val="00DC0363"/>
    <w:rsid w:val="00DC2007"/>
    <w:rsid w:val="00DC2B5C"/>
    <w:rsid w:val="00DC36FD"/>
    <w:rsid w:val="00DC409C"/>
    <w:rsid w:val="00DC5BA8"/>
    <w:rsid w:val="00DC6930"/>
    <w:rsid w:val="00DD020E"/>
    <w:rsid w:val="00DD2253"/>
    <w:rsid w:val="00DD394A"/>
    <w:rsid w:val="00DD3D79"/>
    <w:rsid w:val="00DD3E16"/>
    <w:rsid w:val="00DD4B9D"/>
    <w:rsid w:val="00DD4FE1"/>
    <w:rsid w:val="00DD5EFB"/>
    <w:rsid w:val="00DE18F6"/>
    <w:rsid w:val="00DE3E32"/>
    <w:rsid w:val="00DE48A5"/>
    <w:rsid w:val="00DE598B"/>
    <w:rsid w:val="00DE617D"/>
    <w:rsid w:val="00DF05F8"/>
    <w:rsid w:val="00DF3780"/>
    <w:rsid w:val="00DF3DDB"/>
    <w:rsid w:val="00DF4050"/>
    <w:rsid w:val="00DF462C"/>
    <w:rsid w:val="00DF7147"/>
    <w:rsid w:val="00E024AE"/>
    <w:rsid w:val="00E03D76"/>
    <w:rsid w:val="00E03F87"/>
    <w:rsid w:val="00E041D1"/>
    <w:rsid w:val="00E048E1"/>
    <w:rsid w:val="00E0540F"/>
    <w:rsid w:val="00E074A7"/>
    <w:rsid w:val="00E07619"/>
    <w:rsid w:val="00E10318"/>
    <w:rsid w:val="00E121B1"/>
    <w:rsid w:val="00E1407A"/>
    <w:rsid w:val="00E146A7"/>
    <w:rsid w:val="00E1586A"/>
    <w:rsid w:val="00E15AAC"/>
    <w:rsid w:val="00E15E7D"/>
    <w:rsid w:val="00E16ED2"/>
    <w:rsid w:val="00E17F0C"/>
    <w:rsid w:val="00E22CE3"/>
    <w:rsid w:val="00E24463"/>
    <w:rsid w:val="00E27922"/>
    <w:rsid w:val="00E27A2B"/>
    <w:rsid w:val="00E3059C"/>
    <w:rsid w:val="00E30DDC"/>
    <w:rsid w:val="00E330B9"/>
    <w:rsid w:val="00E337C8"/>
    <w:rsid w:val="00E371BD"/>
    <w:rsid w:val="00E40EEE"/>
    <w:rsid w:val="00E410DE"/>
    <w:rsid w:val="00E44BEE"/>
    <w:rsid w:val="00E47BC0"/>
    <w:rsid w:val="00E50248"/>
    <w:rsid w:val="00E51A0E"/>
    <w:rsid w:val="00E52753"/>
    <w:rsid w:val="00E57A07"/>
    <w:rsid w:val="00E57A63"/>
    <w:rsid w:val="00E611BA"/>
    <w:rsid w:val="00E623AA"/>
    <w:rsid w:val="00E63C7F"/>
    <w:rsid w:val="00E65E79"/>
    <w:rsid w:val="00E66617"/>
    <w:rsid w:val="00E67B17"/>
    <w:rsid w:val="00E70A26"/>
    <w:rsid w:val="00E74010"/>
    <w:rsid w:val="00E768C4"/>
    <w:rsid w:val="00E77155"/>
    <w:rsid w:val="00E7725E"/>
    <w:rsid w:val="00E802BC"/>
    <w:rsid w:val="00E81289"/>
    <w:rsid w:val="00E814F4"/>
    <w:rsid w:val="00E81AED"/>
    <w:rsid w:val="00E84454"/>
    <w:rsid w:val="00E851A8"/>
    <w:rsid w:val="00E853BC"/>
    <w:rsid w:val="00E86119"/>
    <w:rsid w:val="00E87603"/>
    <w:rsid w:val="00E90F0D"/>
    <w:rsid w:val="00E913DC"/>
    <w:rsid w:val="00E9286C"/>
    <w:rsid w:val="00E929AE"/>
    <w:rsid w:val="00E954FD"/>
    <w:rsid w:val="00E961AB"/>
    <w:rsid w:val="00E96CE4"/>
    <w:rsid w:val="00EA00BE"/>
    <w:rsid w:val="00EA106D"/>
    <w:rsid w:val="00EA2310"/>
    <w:rsid w:val="00EA600F"/>
    <w:rsid w:val="00EA6132"/>
    <w:rsid w:val="00EA62B8"/>
    <w:rsid w:val="00EA653E"/>
    <w:rsid w:val="00EA6F00"/>
    <w:rsid w:val="00EB1AC1"/>
    <w:rsid w:val="00EB1AEC"/>
    <w:rsid w:val="00EB3EFA"/>
    <w:rsid w:val="00EB4BA1"/>
    <w:rsid w:val="00EB6A5E"/>
    <w:rsid w:val="00EC025B"/>
    <w:rsid w:val="00EC05DE"/>
    <w:rsid w:val="00EC0BDB"/>
    <w:rsid w:val="00EC1BA1"/>
    <w:rsid w:val="00EC2AB3"/>
    <w:rsid w:val="00EC34CD"/>
    <w:rsid w:val="00EC35C9"/>
    <w:rsid w:val="00EC5257"/>
    <w:rsid w:val="00EC6D0A"/>
    <w:rsid w:val="00ED0C5C"/>
    <w:rsid w:val="00ED3F32"/>
    <w:rsid w:val="00ED4729"/>
    <w:rsid w:val="00ED6CB0"/>
    <w:rsid w:val="00ED703A"/>
    <w:rsid w:val="00ED741E"/>
    <w:rsid w:val="00EE12EB"/>
    <w:rsid w:val="00EE196F"/>
    <w:rsid w:val="00EE2505"/>
    <w:rsid w:val="00EE46F3"/>
    <w:rsid w:val="00EE4E04"/>
    <w:rsid w:val="00EE5F90"/>
    <w:rsid w:val="00EE60FE"/>
    <w:rsid w:val="00EF017C"/>
    <w:rsid w:val="00EF11CB"/>
    <w:rsid w:val="00EF11D7"/>
    <w:rsid w:val="00EF5B6F"/>
    <w:rsid w:val="00EF732E"/>
    <w:rsid w:val="00F005A5"/>
    <w:rsid w:val="00F00D23"/>
    <w:rsid w:val="00F011D9"/>
    <w:rsid w:val="00F026AC"/>
    <w:rsid w:val="00F06F77"/>
    <w:rsid w:val="00F1242F"/>
    <w:rsid w:val="00F1397C"/>
    <w:rsid w:val="00F13E7F"/>
    <w:rsid w:val="00F145D0"/>
    <w:rsid w:val="00F14C56"/>
    <w:rsid w:val="00F158CC"/>
    <w:rsid w:val="00F15BC0"/>
    <w:rsid w:val="00F171BE"/>
    <w:rsid w:val="00F17A42"/>
    <w:rsid w:val="00F201C6"/>
    <w:rsid w:val="00F203D2"/>
    <w:rsid w:val="00F20CA9"/>
    <w:rsid w:val="00F20CAA"/>
    <w:rsid w:val="00F21456"/>
    <w:rsid w:val="00F21AE7"/>
    <w:rsid w:val="00F23470"/>
    <w:rsid w:val="00F2410B"/>
    <w:rsid w:val="00F2434B"/>
    <w:rsid w:val="00F244DB"/>
    <w:rsid w:val="00F25BE6"/>
    <w:rsid w:val="00F261A7"/>
    <w:rsid w:val="00F27253"/>
    <w:rsid w:val="00F27263"/>
    <w:rsid w:val="00F31E18"/>
    <w:rsid w:val="00F32A91"/>
    <w:rsid w:val="00F330E7"/>
    <w:rsid w:val="00F33B1A"/>
    <w:rsid w:val="00F34AB0"/>
    <w:rsid w:val="00F34EAD"/>
    <w:rsid w:val="00F4046D"/>
    <w:rsid w:val="00F40DC7"/>
    <w:rsid w:val="00F412BC"/>
    <w:rsid w:val="00F41943"/>
    <w:rsid w:val="00F41E19"/>
    <w:rsid w:val="00F42EEB"/>
    <w:rsid w:val="00F45039"/>
    <w:rsid w:val="00F47803"/>
    <w:rsid w:val="00F5469E"/>
    <w:rsid w:val="00F559F7"/>
    <w:rsid w:val="00F569C6"/>
    <w:rsid w:val="00F61CE2"/>
    <w:rsid w:val="00F66553"/>
    <w:rsid w:val="00F671B2"/>
    <w:rsid w:val="00F67263"/>
    <w:rsid w:val="00F67917"/>
    <w:rsid w:val="00F67BCD"/>
    <w:rsid w:val="00F70584"/>
    <w:rsid w:val="00F717C9"/>
    <w:rsid w:val="00F722ED"/>
    <w:rsid w:val="00F729D2"/>
    <w:rsid w:val="00F735A0"/>
    <w:rsid w:val="00F7368D"/>
    <w:rsid w:val="00F740BE"/>
    <w:rsid w:val="00F748AF"/>
    <w:rsid w:val="00F74C79"/>
    <w:rsid w:val="00F76A3D"/>
    <w:rsid w:val="00F806C7"/>
    <w:rsid w:val="00F82510"/>
    <w:rsid w:val="00F82776"/>
    <w:rsid w:val="00F831E9"/>
    <w:rsid w:val="00F84A20"/>
    <w:rsid w:val="00F85A6D"/>
    <w:rsid w:val="00F85D12"/>
    <w:rsid w:val="00F86610"/>
    <w:rsid w:val="00F866AF"/>
    <w:rsid w:val="00F8789D"/>
    <w:rsid w:val="00F879F8"/>
    <w:rsid w:val="00F904B1"/>
    <w:rsid w:val="00F90B31"/>
    <w:rsid w:val="00F92D85"/>
    <w:rsid w:val="00F948B2"/>
    <w:rsid w:val="00F95738"/>
    <w:rsid w:val="00F95E62"/>
    <w:rsid w:val="00F95FFD"/>
    <w:rsid w:val="00FA1D62"/>
    <w:rsid w:val="00FA1F90"/>
    <w:rsid w:val="00FA200C"/>
    <w:rsid w:val="00FA2446"/>
    <w:rsid w:val="00FA24E0"/>
    <w:rsid w:val="00FA3DED"/>
    <w:rsid w:val="00FA4AE8"/>
    <w:rsid w:val="00FA58D7"/>
    <w:rsid w:val="00FB0CF9"/>
    <w:rsid w:val="00FB18D4"/>
    <w:rsid w:val="00FB1A61"/>
    <w:rsid w:val="00FB23DA"/>
    <w:rsid w:val="00FB28ED"/>
    <w:rsid w:val="00FB3D18"/>
    <w:rsid w:val="00FB47A6"/>
    <w:rsid w:val="00FB52C0"/>
    <w:rsid w:val="00FB7AC9"/>
    <w:rsid w:val="00FC411A"/>
    <w:rsid w:val="00FC4FD8"/>
    <w:rsid w:val="00FC63AA"/>
    <w:rsid w:val="00FC6D9B"/>
    <w:rsid w:val="00FC7076"/>
    <w:rsid w:val="00FD04BD"/>
    <w:rsid w:val="00FD0DF9"/>
    <w:rsid w:val="00FD1458"/>
    <w:rsid w:val="00FD1D5A"/>
    <w:rsid w:val="00FE0C51"/>
    <w:rsid w:val="00FE2237"/>
    <w:rsid w:val="00FE22A8"/>
    <w:rsid w:val="00FE2625"/>
    <w:rsid w:val="00FE35BE"/>
    <w:rsid w:val="00FE3F03"/>
    <w:rsid w:val="00FE4083"/>
    <w:rsid w:val="00FE5287"/>
    <w:rsid w:val="00FE5673"/>
    <w:rsid w:val="00FE64C5"/>
    <w:rsid w:val="00FF3BCB"/>
    <w:rsid w:val="00FF48F4"/>
    <w:rsid w:val="00FF4C17"/>
    <w:rsid w:val="00FF5397"/>
    <w:rsid w:val="00FF64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993"/>
    <w:rPr>
      <w:lang w:val="en-GB"/>
    </w:rPr>
  </w:style>
  <w:style w:type="paragraph" w:styleId="Heading1">
    <w:name w:val="heading 1"/>
    <w:basedOn w:val="Normal"/>
    <w:next w:val="Normal"/>
    <w:link w:val="Heading1Char"/>
    <w:uiPriority w:val="9"/>
    <w:qFormat/>
    <w:rsid w:val="00AC6046"/>
    <w:pPr>
      <w:keepNext/>
      <w:numPr>
        <w:numId w:val="28"/>
      </w:numPr>
      <w:spacing w:before="600" w:after="0" w:line="360" w:lineRule="auto"/>
      <w:ind w:left="0" w:firstLine="0"/>
      <w:outlineLvl w:val="0"/>
    </w:pPr>
    <w:rPr>
      <w:rFonts w:ascii="Times New Roman" w:eastAsiaTheme="majorEastAsia" w:hAnsi="Times New Roman" w:cstheme="majorBidi"/>
      <w:b/>
      <w:bCs/>
      <w:iCs/>
      <w:sz w:val="24"/>
      <w:szCs w:val="32"/>
    </w:rPr>
  </w:style>
  <w:style w:type="paragraph" w:styleId="Heading2">
    <w:name w:val="heading 2"/>
    <w:basedOn w:val="Normal"/>
    <w:next w:val="Normal"/>
    <w:link w:val="Heading2Char"/>
    <w:uiPriority w:val="9"/>
    <w:unhideWhenUsed/>
    <w:qFormat/>
    <w:rsid w:val="004F4993"/>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4F4993"/>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4F4993"/>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Heading5">
    <w:name w:val="heading 5"/>
    <w:basedOn w:val="Normal"/>
    <w:next w:val="Normal"/>
    <w:link w:val="Heading5Char"/>
    <w:uiPriority w:val="9"/>
    <w:unhideWhenUsed/>
    <w:qFormat/>
    <w:rsid w:val="004F4993"/>
    <w:pPr>
      <w:spacing w:before="280" w:after="0" w:line="360" w:lineRule="auto"/>
      <w:ind w:firstLine="0"/>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unhideWhenUsed/>
    <w:qFormat/>
    <w:rsid w:val="004F4993"/>
    <w:pPr>
      <w:spacing w:before="280" w:after="80" w:line="360" w:lineRule="auto"/>
      <w:ind w:firstLine="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unhideWhenUsed/>
    <w:qFormat/>
    <w:rsid w:val="004F4993"/>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unhideWhenUsed/>
    <w:qFormat/>
    <w:rsid w:val="004F4993"/>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unhideWhenUsed/>
    <w:qFormat/>
    <w:rsid w:val="004F4993"/>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F4993"/>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4F4993"/>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4F4993"/>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rsid w:val="004F4993"/>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rsid w:val="004F4993"/>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rsid w:val="004F4993"/>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rsid w:val="004F4993"/>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rsid w:val="004F4993"/>
    <w:rPr>
      <w:rFonts w:asciiTheme="majorHAnsi" w:eastAsiaTheme="majorEastAsia" w:hAnsiTheme="majorHAnsi" w:cstheme="majorBidi"/>
      <w:i/>
      <w:iCs/>
      <w:sz w:val="18"/>
      <w:szCs w:val="18"/>
    </w:rPr>
  </w:style>
  <w:style w:type="character" w:styleId="FootnoteReference">
    <w:name w:val="footnote reference"/>
    <w:uiPriority w:val="99"/>
    <w:rsid w:val="00D203CF"/>
    <w:rPr>
      <w:vertAlign w:val="superscript"/>
    </w:rPr>
  </w:style>
  <w:style w:type="paragraph" w:customStyle="1" w:styleId="StyleHeading1LeftBefore12ptAfter3ptKernat16pt">
    <w:name w:val="Style Heading 1 + Left Before:  12 pt After:  3 pt Kern at 16 pt..."/>
    <w:basedOn w:val="Heading1"/>
    <w:rsid w:val="00D203CF"/>
    <w:pPr>
      <w:numPr>
        <w:numId w:val="1"/>
      </w:numPr>
      <w:spacing w:before="240" w:after="60" w:line="240" w:lineRule="auto"/>
    </w:pPr>
    <w:rPr>
      <w:rFonts w:ascii="Arial" w:eastAsia="Times New Roman" w:hAnsi="Arial" w:cs="Times New Roman"/>
      <w:kern w:val="32"/>
      <w:sz w:val="32"/>
      <w:szCs w:val="20"/>
      <w:lang w:val="en-AU"/>
    </w:rPr>
  </w:style>
  <w:style w:type="paragraph" w:styleId="NoSpacing">
    <w:name w:val="No Spacing"/>
    <w:basedOn w:val="Normal"/>
    <w:link w:val="NoSpacingChar"/>
    <w:uiPriority w:val="1"/>
    <w:qFormat/>
    <w:rsid w:val="004F4993"/>
    <w:pPr>
      <w:spacing w:after="0" w:line="240" w:lineRule="auto"/>
      <w:ind w:firstLine="0"/>
    </w:pPr>
  </w:style>
  <w:style w:type="character" w:customStyle="1" w:styleId="Heading1Char">
    <w:name w:val="Heading 1 Char"/>
    <w:basedOn w:val="DefaultParagraphFont"/>
    <w:link w:val="Heading1"/>
    <w:uiPriority w:val="9"/>
    <w:rsid w:val="00AC6046"/>
    <w:rPr>
      <w:rFonts w:ascii="Times New Roman" w:eastAsiaTheme="majorEastAsia" w:hAnsi="Times New Roman" w:cstheme="majorBidi"/>
      <w:b/>
      <w:bCs/>
      <w:iCs/>
      <w:sz w:val="24"/>
      <w:szCs w:val="32"/>
    </w:rPr>
  </w:style>
  <w:style w:type="paragraph" w:styleId="Footer">
    <w:name w:val="footer"/>
    <w:basedOn w:val="Normal"/>
    <w:link w:val="FooterChar"/>
    <w:uiPriority w:val="99"/>
    <w:rsid w:val="00D203CF"/>
    <w:pPr>
      <w:tabs>
        <w:tab w:val="center" w:pos="4153"/>
        <w:tab w:val="right" w:pos="8306"/>
      </w:tabs>
    </w:pPr>
  </w:style>
  <w:style w:type="character" w:customStyle="1" w:styleId="FooterChar">
    <w:name w:val="Footer Char"/>
    <w:basedOn w:val="DefaultParagraphFont"/>
    <w:link w:val="Footer"/>
    <w:uiPriority w:val="99"/>
    <w:rsid w:val="00D203CF"/>
    <w:rPr>
      <w:rFonts w:ascii="Times New Roman" w:eastAsia="Times New Roman" w:hAnsi="Times New Roman" w:cs="Times New Roman"/>
      <w:szCs w:val="20"/>
    </w:rPr>
  </w:style>
  <w:style w:type="character" w:styleId="Hyperlink">
    <w:name w:val="Hyperlink"/>
    <w:uiPriority w:val="99"/>
    <w:rsid w:val="00D203CF"/>
    <w:rPr>
      <w:color w:val="0000FF"/>
      <w:u w:val="single"/>
    </w:rPr>
  </w:style>
  <w:style w:type="paragraph" w:styleId="FootnoteText">
    <w:name w:val="footnote text"/>
    <w:basedOn w:val="Normal"/>
    <w:link w:val="FootnoteTextChar"/>
    <w:uiPriority w:val="99"/>
    <w:rsid w:val="00D203CF"/>
    <w:rPr>
      <w:sz w:val="20"/>
    </w:rPr>
  </w:style>
  <w:style w:type="character" w:customStyle="1" w:styleId="FootnoteTextChar">
    <w:name w:val="Footnote Text Char"/>
    <w:basedOn w:val="DefaultParagraphFont"/>
    <w:link w:val="FootnoteText"/>
    <w:uiPriority w:val="99"/>
    <w:rsid w:val="00D203CF"/>
    <w:rPr>
      <w:rFonts w:ascii="Times New Roman" w:eastAsia="Times New Roman" w:hAnsi="Times New Roman" w:cs="Times New Roman"/>
      <w:sz w:val="20"/>
      <w:szCs w:val="20"/>
    </w:rPr>
  </w:style>
  <w:style w:type="paragraph" w:customStyle="1" w:styleId="PhDHeading2">
    <w:name w:val="PhD Heading 2"/>
    <w:basedOn w:val="Normal"/>
    <w:rsid w:val="00D203CF"/>
    <w:pPr>
      <w:numPr>
        <w:numId w:val="5"/>
      </w:numPr>
    </w:pPr>
    <w:rPr>
      <w:b/>
      <w:sz w:val="28"/>
      <w:szCs w:val="28"/>
    </w:rPr>
  </w:style>
  <w:style w:type="paragraph" w:styleId="ListParagraph">
    <w:name w:val="List Paragraph"/>
    <w:basedOn w:val="Normal"/>
    <w:uiPriority w:val="34"/>
    <w:qFormat/>
    <w:rsid w:val="004F4993"/>
    <w:pPr>
      <w:ind w:left="720"/>
      <w:contextualSpacing/>
    </w:pPr>
  </w:style>
  <w:style w:type="character" w:customStyle="1" w:styleId="PhDHeading1">
    <w:name w:val="PhD Heading 1"/>
    <w:rsid w:val="00A524AD"/>
    <w:rPr>
      <w:rFonts w:ascii="Times New Roman" w:hAnsi="Times New Roman"/>
      <w:b/>
      <w:sz w:val="32"/>
      <w:szCs w:val="32"/>
    </w:rPr>
  </w:style>
  <w:style w:type="paragraph" w:styleId="Header">
    <w:name w:val="header"/>
    <w:basedOn w:val="Normal"/>
    <w:link w:val="HeaderChar"/>
    <w:rsid w:val="003F4B86"/>
    <w:pPr>
      <w:tabs>
        <w:tab w:val="center" w:pos="4153"/>
        <w:tab w:val="right" w:pos="8306"/>
      </w:tabs>
      <w:spacing w:line="240" w:lineRule="auto"/>
    </w:pPr>
    <w:rPr>
      <w:sz w:val="24"/>
      <w:szCs w:val="24"/>
      <w:lang w:eastAsia="en-NZ"/>
    </w:rPr>
  </w:style>
  <w:style w:type="character" w:customStyle="1" w:styleId="HeaderChar">
    <w:name w:val="Header Char"/>
    <w:basedOn w:val="DefaultParagraphFont"/>
    <w:link w:val="Header"/>
    <w:rsid w:val="003F4B86"/>
    <w:rPr>
      <w:rFonts w:ascii="Times New Roman" w:eastAsia="Times New Roman" w:hAnsi="Times New Roman" w:cs="Times New Roman"/>
      <w:sz w:val="24"/>
      <w:szCs w:val="24"/>
      <w:lang w:eastAsia="en-NZ"/>
    </w:rPr>
  </w:style>
  <w:style w:type="paragraph" w:styleId="EndnoteText">
    <w:name w:val="endnote text"/>
    <w:basedOn w:val="Normal"/>
    <w:link w:val="EndnoteTextChar"/>
    <w:uiPriority w:val="99"/>
    <w:semiHidden/>
    <w:unhideWhenUsed/>
    <w:rsid w:val="00BB6D9D"/>
    <w:pPr>
      <w:spacing w:line="240" w:lineRule="auto"/>
    </w:pPr>
    <w:rPr>
      <w:sz w:val="20"/>
    </w:rPr>
  </w:style>
  <w:style w:type="character" w:customStyle="1" w:styleId="EndnoteTextChar">
    <w:name w:val="Endnote Text Char"/>
    <w:basedOn w:val="DefaultParagraphFont"/>
    <w:link w:val="EndnoteText"/>
    <w:uiPriority w:val="99"/>
    <w:semiHidden/>
    <w:rsid w:val="00BB6D9D"/>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BB6D9D"/>
    <w:rPr>
      <w:vertAlign w:val="superscript"/>
    </w:rPr>
  </w:style>
  <w:style w:type="character" w:styleId="PageNumber">
    <w:name w:val="page number"/>
    <w:basedOn w:val="DefaultParagraphFont"/>
    <w:rsid w:val="00AE2367"/>
  </w:style>
  <w:style w:type="character" w:customStyle="1" w:styleId="bodyfont1">
    <w:name w:val="bodyfont1"/>
    <w:rsid w:val="00AE2367"/>
    <w:rPr>
      <w:rFonts w:ascii="Arial" w:hAnsi="Arial" w:cs="Arial" w:hint="default"/>
      <w:color w:val="000000"/>
      <w:sz w:val="18"/>
      <w:szCs w:val="18"/>
    </w:rPr>
  </w:style>
  <w:style w:type="paragraph" w:styleId="BalloonText">
    <w:name w:val="Balloon Text"/>
    <w:basedOn w:val="Normal"/>
    <w:link w:val="BalloonTextChar"/>
    <w:uiPriority w:val="99"/>
    <w:semiHidden/>
    <w:unhideWhenUsed/>
    <w:rsid w:val="009101C3"/>
    <w:pPr>
      <w:spacing w:line="240" w:lineRule="auto"/>
    </w:pPr>
    <w:rPr>
      <w:rFonts w:ascii="Arial" w:hAnsi="Arial" w:cs="Arial"/>
      <w:sz w:val="16"/>
      <w:szCs w:val="16"/>
    </w:rPr>
  </w:style>
  <w:style w:type="character" w:customStyle="1" w:styleId="BalloonTextChar">
    <w:name w:val="Balloon Text Char"/>
    <w:basedOn w:val="DefaultParagraphFont"/>
    <w:link w:val="BalloonText"/>
    <w:uiPriority w:val="99"/>
    <w:semiHidden/>
    <w:rsid w:val="009101C3"/>
    <w:rPr>
      <w:rFonts w:ascii="Arial" w:eastAsia="Times New Roman" w:hAnsi="Arial" w:cs="Arial"/>
      <w:sz w:val="16"/>
      <w:szCs w:val="16"/>
    </w:rPr>
  </w:style>
  <w:style w:type="character" w:styleId="CommentReference">
    <w:name w:val="annotation reference"/>
    <w:basedOn w:val="DefaultParagraphFont"/>
    <w:uiPriority w:val="99"/>
    <w:semiHidden/>
    <w:unhideWhenUsed/>
    <w:rsid w:val="00A23CB7"/>
    <w:rPr>
      <w:sz w:val="16"/>
      <w:szCs w:val="16"/>
    </w:rPr>
  </w:style>
  <w:style w:type="paragraph" w:styleId="CommentText">
    <w:name w:val="annotation text"/>
    <w:basedOn w:val="Normal"/>
    <w:link w:val="CommentTextChar"/>
    <w:uiPriority w:val="99"/>
    <w:unhideWhenUsed/>
    <w:rsid w:val="00A23CB7"/>
    <w:pPr>
      <w:spacing w:line="240" w:lineRule="auto"/>
    </w:pPr>
    <w:rPr>
      <w:sz w:val="20"/>
    </w:rPr>
  </w:style>
  <w:style w:type="character" w:customStyle="1" w:styleId="CommentTextChar">
    <w:name w:val="Comment Text Char"/>
    <w:basedOn w:val="DefaultParagraphFont"/>
    <w:link w:val="CommentText"/>
    <w:uiPriority w:val="99"/>
    <w:rsid w:val="00A23CB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23CB7"/>
    <w:rPr>
      <w:b/>
      <w:bCs/>
    </w:rPr>
  </w:style>
  <w:style w:type="character" w:customStyle="1" w:styleId="CommentSubjectChar">
    <w:name w:val="Comment Subject Char"/>
    <w:basedOn w:val="CommentTextChar"/>
    <w:link w:val="CommentSubject"/>
    <w:uiPriority w:val="99"/>
    <w:semiHidden/>
    <w:rsid w:val="00A23CB7"/>
    <w:rPr>
      <w:rFonts w:ascii="Times New Roman" w:eastAsia="Times New Roman" w:hAnsi="Times New Roman" w:cs="Times New Roman"/>
      <w:b/>
      <w:bCs/>
      <w:sz w:val="20"/>
      <w:szCs w:val="20"/>
    </w:rPr>
  </w:style>
  <w:style w:type="paragraph" w:customStyle="1" w:styleId="Default">
    <w:name w:val="Default"/>
    <w:rsid w:val="00514841"/>
    <w:pPr>
      <w:autoSpaceDE w:val="0"/>
      <w:autoSpaceDN w:val="0"/>
      <w:adjustRightInd w:val="0"/>
      <w:spacing w:after="0" w:line="240" w:lineRule="auto"/>
    </w:pPr>
    <w:rPr>
      <w:rFonts w:ascii="Arial" w:hAnsi="Arial" w:cs="Arial"/>
      <w:color w:val="000000"/>
      <w:sz w:val="24"/>
      <w:szCs w:val="24"/>
    </w:rPr>
  </w:style>
  <w:style w:type="character" w:styleId="Strong">
    <w:name w:val="Strong"/>
    <w:basedOn w:val="DefaultParagraphFont"/>
    <w:uiPriority w:val="22"/>
    <w:qFormat/>
    <w:rsid w:val="004F4993"/>
    <w:rPr>
      <w:b/>
      <w:bCs/>
      <w:spacing w:val="0"/>
    </w:rPr>
  </w:style>
  <w:style w:type="paragraph" w:styleId="Caption">
    <w:name w:val="caption"/>
    <w:basedOn w:val="Normal"/>
    <w:next w:val="Normal"/>
    <w:uiPriority w:val="35"/>
    <w:semiHidden/>
    <w:unhideWhenUsed/>
    <w:qFormat/>
    <w:rsid w:val="004F4993"/>
    <w:rPr>
      <w:b/>
      <w:bCs/>
      <w:sz w:val="18"/>
      <w:szCs w:val="18"/>
    </w:rPr>
  </w:style>
  <w:style w:type="paragraph" w:styleId="Title">
    <w:name w:val="Title"/>
    <w:basedOn w:val="Normal"/>
    <w:next w:val="Normal"/>
    <w:link w:val="TitleChar"/>
    <w:uiPriority w:val="10"/>
    <w:qFormat/>
    <w:rsid w:val="004F4993"/>
    <w:pPr>
      <w:spacing w:line="240" w:lineRule="auto"/>
      <w:ind w:firstLine="0"/>
    </w:pPr>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4F4993"/>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4F4993"/>
    <w:pPr>
      <w:spacing w:after="320"/>
      <w:jc w:val="right"/>
    </w:pPr>
    <w:rPr>
      <w:i/>
      <w:iCs/>
      <w:color w:val="808080" w:themeColor="text1" w:themeTint="7F"/>
      <w:spacing w:val="10"/>
      <w:sz w:val="24"/>
      <w:szCs w:val="24"/>
    </w:rPr>
  </w:style>
  <w:style w:type="character" w:customStyle="1" w:styleId="SubtitleChar">
    <w:name w:val="Subtitle Char"/>
    <w:basedOn w:val="DefaultParagraphFont"/>
    <w:link w:val="Subtitle"/>
    <w:uiPriority w:val="11"/>
    <w:rsid w:val="004F4993"/>
    <w:rPr>
      <w:i/>
      <w:iCs/>
      <w:color w:val="808080" w:themeColor="text1" w:themeTint="7F"/>
      <w:spacing w:val="10"/>
      <w:sz w:val="24"/>
      <w:szCs w:val="24"/>
    </w:rPr>
  </w:style>
  <w:style w:type="character" w:styleId="Emphasis">
    <w:name w:val="Emphasis"/>
    <w:uiPriority w:val="20"/>
    <w:qFormat/>
    <w:rsid w:val="004F4993"/>
    <w:rPr>
      <w:b/>
      <w:bCs/>
      <w:i/>
      <w:iCs/>
      <w:color w:val="auto"/>
    </w:rPr>
  </w:style>
  <w:style w:type="paragraph" w:styleId="Quote">
    <w:name w:val="Quote"/>
    <w:basedOn w:val="Normal"/>
    <w:next w:val="Normal"/>
    <w:link w:val="QuoteChar"/>
    <w:uiPriority w:val="29"/>
    <w:qFormat/>
    <w:rsid w:val="004F4993"/>
    <w:rPr>
      <w:color w:val="5A5A5A" w:themeColor="text1" w:themeTint="A5"/>
    </w:rPr>
  </w:style>
  <w:style w:type="character" w:customStyle="1" w:styleId="QuoteChar">
    <w:name w:val="Quote Char"/>
    <w:basedOn w:val="DefaultParagraphFont"/>
    <w:link w:val="Quote"/>
    <w:uiPriority w:val="29"/>
    <w:rsid w:val="004F4993"/>
    <w:rPr>
      <w:rFonts w:asciiTheme="minorHAnsi"/>
      <w:color w:val="5A5A5A" w:themeColor="text1" w:themeTint="A5"/>
    </w:rPr>
  </w:style>
  <w:style w:type="paragraph" w:styleId="IntenseQuote">
    <w:name w:val="Intense Quote"/>
    <w:basedOn w:val="Normal"/>
    <w:next w:val="Normal"/>
    <w:link w:val="IntenseQuoteChar"/>
    <w:uiPriority w:val="30"/>
    <w:qFormat/>
    <w:rsid w:val="004F4993"/>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4F4993"/>
    <w:rPr>
      <w:rFonts w:asciiTheme="majorHAnsi" w:eastAsiaTheme="majorEastAsia" w:hAnsiTheme="majorHAnsi" w:cstheme="majorBidi"/>
      <w:i/>
      <w:iCs/>
      <w:sz w:val="20"/>
      <w:szCs w:val="20"/>
    </w:rPr>
  </w:style>
  <w:style w:type="character" w:styleId="SubtleEmphasis">
    <w:name w:val="Subtle Emphasis"/>
    <w:uiPriority w:val="19"/>
    <w:qFormat/>
    <w:rsid w:val="004F4993"/>
    <w:rPr>
      <w:i/>
      <w:iCs/>
      <w:color w:val="5A5A5A" w:themeColor="text1" w:themeTint="A5"/>
    </w:rPr>
  </w:style>
  <w:style w:type="character" w:styleId="IntenseEmphasis">
    <w:name w:val="Intense Emphasis"/>
    <w:uiPriority w:val="21"/>
    <w:qFormat/>
    <w:rsid w:val="004F4993"/>
    <w:rPr>
      <w:b/>
      <w:bCs/>
      <w:i/>
      <w:iCs/>
      <w:color w:val="auto"/>
      <w:u w:val="single"/>
    </w:rPr>
  </w:style>
  <w:style w:type="character" w:styleId="SubtleReference">
    <w:name w:val="Subtle Reference"/>
    <w:uiPriority w:val="31"/>
    <w:qFormat/>
    <w:rsid w:val="004F4993"/>
    <w:rPr>
      <w:smallCaps/>
    </w:rPr>
  </w:style>
  <w:style w:type="character" w:styleId="IntenseReference">
    <w:name w:val="Intense Reference"/>
    <w:uiPriority w:val="32"/>
    <w:qFormat/>
    <w:rsid w:val="004F4993"/>
    <w:rPr>
      <w:b/>
      <w:bCs/>
      <w:smallCaps/>
      <w:color w:val="auto"/>
    </w:rPr>
  </w:style>
  <w:style w:type="character" w:styleId="BookTitle">
    <w:name w:val="Book Title"/>
    <w:uiPriority w:val="33"/>
    <w:qFormat/>
    <w:rsid w:val="004F4993"/>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4F4993"/>
    <w:pPr>
      <w:outlineLvl w:val="9"/>
    </w:pPr>
  </w:style>
  <w:style w:type="character" w:customStyle="1" w:styleId="NoSpacingChar">
    <w:name w:val="No Spacing Char"/>
    <w:basedOn w:val="DefaultParagraphFont"/>
    <w:link w:val="NoSpacing"/>
    <w:uiPriority w:val="1"/>
    <w:rsid w:val="004F4993"/>
  </w:style>
  <w:style w:type="paragraph" w:customStyle="1" w:styleId="manuscript">
    <w:name w:val="manuscript"/>
    <w:basedOn w:val="Normal"/>
    <w:qFormat/>
    <w:rsid w:val="0053727E"/>
    <w:pPr>
      <w:ind w:firstLine="0"/>
    </w:pPr>
    <w:rPr>
      <w:rFonts w:ascii="Times New Roman" w:hAnsi="Times New Roman"/>
      <w:sz w:val="24"/>
    </w:rPr>
  </w:style>
  <w:style w:type="character" w:customStyle="1" w:styleId="A3">
    <w:name w:val="A3"/>
    <w:uiPriority w:val="99"/>
    <w:rsid w:val="000011DB"/>
    <w:rPr>
      <w:rFonts w:cs="Myriad Pro"/>
      <w:color w:val="000000"/>
      <w:sz w:val="20"/>
      <w:szCs w:val="20"/>
    </w:rPr>
  </w:style>
  <w:style w:type="character" w:customStyle="1" w:styleId="A2">
    <w:name w:val="A2"/>
    <w:uiPriority w:val="99"/>
    <w:rsid w:val="00386C89"/>
    <w:rPr>
      <w:rFonts w:cs="Myriad Pro"/>
      <w:color w:val="000000"/>
      <w:sz w:val="22"/>
      <w:szCs w:val="22"/>
    </w:rPr>
  </w:style>
  <w:style w:type="paragraph" w:customStyle="1" w:styleId="articledetails">
    <w:name w:val="articledetails"/>
    <w:basedOn w:val="Normal"/>
    <w:rsid w:val="005F3B32"/>
    <w:pPr>
      <w:spacing w:before="100" w:beforeAutospacing="1" w:after="100" w:afterAutospacing="1" w:line="240" w:lineRule="auto"/>
      <w:ind w:firstLine="0"/>
    </w:pPr>
    <w:rPr>
      <w:rFonts w:ascii="Times New Roman" w:eastAsia="Times New Roman" w:hAnsi="Times New Roman" w:cs="Times New Roman"/>
      <w:sz w:val="24"/>
      <w:szCs w:val="24"/>
      <w:lang w:val="en-NZ" w:eastAsia="en-NZ" w:bidi="ar-SA"/>
    </w:rPr>
  </w:style>
  <w:style w:type="character" w:styleId="FollowedHyperlink">
    <w:name w:val="FollowedHyperlink"/>
    <w:basedOn w:val="DefaultParagraphFont"/>
    <w:uiPriority w:val="99"/>
    <w:semiHidden/>
    <w:unhideWhenUsed/>
    <w:rsid w:val="00DA763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993"/>
    <w:rPr>
      <w:lang w:val="en-GB"/>
    </w:rPr>
  </w:style>
  <w:style w:type="paragraph" w:styleId="Heading1">
    <w:name w:val="heading 1"/>
    <w:basedOn w:val="Normal"/>
    <w:next w:val="Normal"/>
    <w:link w:val="Heading1Char"/>
    <w:uiPriority w:val="9"/>
    <w:qFormat/>
    <w:rsid w:val="00AC6046"/>
    <w:pPr>
      <w:keepNext/>
      <w:numPr>
        <w:numId w:val="28"/>
      </w:numPr>
      <w:spacing w:before="600" w:after="0" w:line="360" w:lineRule="auto"/>
      <w:ind w:left="0" w:firstLine="0"/>
      <w:outlineLvl w:val="0"/>
    </w:pPr>
    <w:rPr>
      <w:rFonts w:ascii="Times New Roman" w:eastAsiaTheme="majorEastAsia" w:hAnsi="Times New Roman" w:cstheme="majorBidi"/>
      <w:b/>
      <w:bCs/>
      <w:iCs/>
      <w:sz w:val="24"/>
      <w:szCs w:val="32"/>
    </w:rPr>
  </w:style>
  <w:style w:type="paragraph" w:styleId="Heading2">
    <w:name w:val="heading 2"/>
    <w:basedOn w:val="Normal"/>
    <w:next w:val="Normal"/>
    <w:link w:val="Heading2Char"/>
    <w:uiPriority w:val="9"/>
    <w:unhideWhenUsed/>
    <w:qFormat/>
    <w:rsid w:val="004F4993"/>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4F4993"/>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4F4993"/>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Heading5">
    <w:name w:val="heading 5"/>
    <w:basedOn w:val="Normal"/>
    <w:next w:val="Normal"/>
    <w:link w:val="Heading5Char"/>
    <w:uiPriority w:val="9"/>
    <w:unhideWhenUsed/>
    <w:qFormat/>
    <w:rsid w:val="004F4993"/>
    <w:pPr>
      <w:spacing w:before="280" w:after="0" w:line="360" w:lineRule="auto"/>
      <w:ind w:firstLine="0"/>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unhideWhenUsed/>
    <w:qFormat/>
    <w:rsid w:val="004F4993"/>
    <w:pPr>
      <w:spacing w:before="280" w:after="80" w:line="360" w:lineRule="auto"/>
      <w:ind w:firstLine="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unhideWhenUsed/>
    <w:qFormat/>
    <w:rsid w:val="004F4993"/>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unhideWhenUsed/>
    <w:qFormat/>
    <w:rsid w:val="004F4993"/>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unhideWhenUsed/>
    <w:qFormat/>
    <w:rsid w:val="004F4993"/>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F4993"/>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4F4993"/>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4F4993"/>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rsid w:val="004F4993"/>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rsid w:val="004F4993"/>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rsid w:val="004F4993"/>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rsid w:val="004F4993"/>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rsid w:val="004F4993"/>
    <w:rPr>
      <w:rFonts w:asciiTheme="majorHAnsi" w:eastAsiaTheme="majorEastAsia" w:hAnsiTheme="majorHAnsi" w:cstheme="majorBidi"/>
      <w:i/>
      <w:iCs/>
      <w:sz w:val="18"/>
      <w:szCs w:val="18"/>
    </w:rPr>
  </w:style>
  <w:style w:type="character" w:styleId="FootnoteReference">
    <w:name w:val="footnote reference"/>
    <w:uiPriority w:val="99"/>
    <w:rsid w:val="00D203CF"/>
    <w:rPr>
      <w:vertAlign w:val="superscript"/>
    </w:rPr>
  </w:style>
  <w:style w:type="paragraph" w:customStyle="1" w:styleId="StyleHeading1LeftBefore12ptAfter3ptKernat16pt">
    <w:name w:val="Style Heading 1 + Left Before:  12 pt After:  3 pt Kern at 16 pt..."/>
    <w:basedOn w:val="Heading1"/>
    <w:rsid w:val="00D203CF"/>
    <w:pPr>
      <w:numPr>
        <w:numId w:val="1"/>
      </w:numPr>
      <w:spacing w:before="240" w:after="60" w:line="240" w:lineRule="auto"/>
    </w:pPr>
    <w:rPr>
      <w:rFonts w:ascii="Arial" w:eastAsia="Times New Roman" w:hAnsi="Arial" w:cs="Times New Roman"/>
      <w:kern w:val="32"/>
      <w:sz w:val="32"/>
      <w:szCs w:val="20"/>
      <w:lang w:val="en-AU"/>
    </w:rPr>
  </w:style>
  <w:style w:type="paragraph" w:styleId="NoSpacing">
    <w:name w:val="No Spacing"/>
    <w:basedOn w:val="Normal"/>
    <w:link w:val="NoSpacingChar"/>
    <w:uiPriority w:val="1"/>
    <w:qFormat/>
    <w:rsid w:val="004F4993"/>
    <w:pPr>
      <w:spacing w:after="0" w:line="240" w:lineRule="auto"/>
      <w:ind w:firstLine="0"/>
    </w:pPr>
  </w:style>
  <w:style w:type="character" w:customStyle="1" w:styleId="Heading1Char">
    <w:name w:val="Heading 1 Char"/>
    <w:basedOn w:val="DefaultParagraphFont"/>
    <w:link w:val="Heading1"/>
    <w:uiPriority w:val="9"/>
    <w:rsid w:val="00AC6046"/>
    <w:rPr>
      <w:rFonts w:ascii="Times New Roman" w:eastAsiaTheme="majorEastAsia" w:hAnsi="Times New Roman" w:cstheme="majorBidi"/>
      <w:b/>
      <w:bCs/>
      <w:iCs/>
      <w:sz w:val="24"/>
      <w:szCs w:val="32"/>
    </w:rPr>
  </w:style>
  <w:style w:type="paragraph" w:styleId="Footer">
    <w:name w:val="footer"/>
    <w:basedOn w:val="Normal"/>
    <w:link w:val="FooterChar"/>
    <w:uiPriority w:val="99"/>
    <w:rsid w:val="00D203CF"/>
    <w:pPr>
      <w:tabs>
        <w:tab w:val="center" w:pos="4153"/>
        <w:tab w:val="right" w:pos="8306"/>
      </w:tabs>
    </w:pPr>
  </w:style>
  <w:style w:type="character" w:customStyle="1" w:styleId="FooterChar">
    <w:name w:val="Footer Char"/>
    <w:basedOn w:val="DefaultParagraphFont"/>
    <w:link w:val="Footer"/>
    <w:uiPriority w:val="99"/>
    <w:rsid w:val="00D203CF"/>
    <w:rPr>
      <w:rFonts w:ascii="Times New Roman" w:eastAsia="Times New Roman" w:hAnsi="Times New Roman" w:cs="Times New Roman"/>
      <w:szCs w:val="20"/>
    </w:rPr>
  </w:style>
  <w:style w:type="character" w:styleId="Hyperlink">
    <w:name w:val="Hyperlink"/>
    <w:uiPriority w:val="99"/>
    <w:rsid w:val="00D203CF"/>
    <w:rPr>
      <w:color w:val="0000FF"/>
      <w:u w:val="single"/>
    </w:rPr>
  </w:style>
  <w:style w:type="paragraph" w:styleId="FootnoteText">
    <w:name w:val="footnote text"/>
    <w:basedOn w:val="Normal"/>
    <w:link w:val="FootnoteTextChar"/>
    <w:uiPriority w:val="99"/>
    <w:rsid w:val="00D203CF"/>
    <w:rPr>
      <w:sz w:val="20"/>
    </w:rPr>
  </w:style>
  <w:style w:type="character" w:customStyle="1" w:styleId="FootnoteTextChar">
    <w:name w:val="Footnote Text Char"/>
    <w:basedOn w:val="DefaultParagraphFont"/>
    <w:link w:val="FootnoteText"/>
    <w:uiPriority w:val="99"/>
    <w:rsid w:val="00D203CF"/>
    <w:rPr>
      <w:rFonts w:ascii="Times New Roman" w:eastAsia="Times New Roman" w:hAnsi="Times New Roman" w:cs="Times New Roman"/>
      <w:sz w:val="20"/>
      <w:szCs w:val="20"/>
    </w:rPr>
  </w:style>
  <w:style w:type="paragraph" w:customStyle="1" w:styleId="PhDHeading2">
    <w:name w:val="PhD Heading 2"/>
    <w:basedOn w:val="Normal"/>
    <w:rsid w:val="00D203CF"/>
    <w:pPr>
      <w:numPr>
        <w:numId w:val="5"/>
      </w:numPr>
    </w:pPr>
    <w:rPr>
      <w:b/>
      <w:sz w:val="28"/>
      <w:szCs w:val="28"/>
    </w:rPr>
  </w:style>
  <w:style w:type="paragraph" w:styleId="ListParagraph">
    <w:name w:val="List Paragraph"/>
    <w:basedOn w:val="Normal"/>
    <w:uiPriority w:val="34"/>
    <w:qFormat/>
    <w:rsid w:val="004F4993"/>
    <w:pPr>
      <w:ind w:left="720"/>
      <w:contextualSpacing/>
    </w:pPr>
  </w:style>
  <w:style w:type="character" w:customStyle="1" w:styleId="PhDHeading1">
    <w:name w:val="PhD Heading 1"/>
    <w:rsid w:val="00A524AD"/>
    <w:rPr>
      <w:rFonts w:ascii="Times New Roman" w:hAnsi="Times New Roman"/>
      <w:b/>
      <w:sz w:val="32"/>
      <w:szCs w:val="32"/>
    </w:rPr>
  </w:style>
  <w:style w:type="paragraph" w:styleId="Header">
    <w:name w:val="header"/>
    <w:basedOn w:val="Normal"/>
    <w:link w:val="HeaderChar"/>
    <w:rsid w:val="003F4B86"/>
    <w:pPr>
      <w:tabs>
        <w:tab w:val="center" w:pos="4153"/>
        <w:tab w:val="right" w:pos="8306"/>
      </w:tabs>
      <w:spacing w:line="240" w:lineRule="auto"/>
    </w:pPr>
    <w:rPr>
      <w:sz w:val="24"/>
      <w:szCs w:val="24"/>
      <w:lang w:eastAsia="en-NZ"/>
    </w:rPr>
  </w:style>
  <w:style w:type="character" w:customStyle="1" w:styleId="HeaderChar">
    <w:name w:val="Header Char"/>
    <w:basedOn w:val="DefaultParagraphFont"/>
    <w:link w:val="Header"/>
    <w:rsid w:val="003F4B86"/>
    <w:rPr>
      <w:rFonts w:ascii="Times New Roman" w:eastAsia="Times New Roman" w:hAnsi="Times New Roman" w:cs="Times New Roman"/>
      <w:sz w:val="24"/>
      <w:szCs w:val="24"/>
      <w:lang w:eastAsia="en-NZ"/>
    </w:rPr>
  </w:style>
  <w:style w:type="paragraph" w:styleId="EndnoteText">
    <w:name w:val="endnote text"/>
    <w:basedOn w:val="Normal"/>
    <w:link w:val="EndnoteTextChar"/>
    <w:uiPriority w:val="99"/>
    <w:semiHidden/>
    <w:unhideWhenUsed/>
    <w:rsid w:val="00BB6D9D"/>
    <w:pPr>
      <w:spacing w:line="240" w:lineRule="auto"/>
    </w:pPr>
    <w:rPr>
      <w:sz w:val="20"/>
    </w:rPr>
  </w:style>
  <w:style w:type="character" w:customStyle="1" w:styleId="EndnoteTextChar">
    <w:name w:val="Endnote Text Char"/>
    <w:basedOn w:val="DefaultParagraphFont"/>
    <w:link w:val="EndnoteText"/>
    <w:uiPriority w:val="99"/>
    <w:semiHidden/>
    <w:rsid w:val="00BB6D9D"/>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BB6D9D"/>
    <w:rPr>
      <w:vertAlign w:val="superscript"/>
    </w:rPr>
  </w:style>
  <w:style w:type="character" w:styleId="PageNumber">
    <w:name w:val="page number"/>
    <w:basedOn w:val="DefaultParagraphFont"/>
    <w:rsid w:val="00AE2367"/>
  </w:style>
  <w:style w:type="character" w:customStyle="1" w:styleId="bodyfont1">
    <w:name w:val="bodyfont1"/>
    <w:rsid w:val="00AE2367"/>
    <w:rPr>
      <w:rFonts w:ascii="Arial" w:hAnsi="Arial" w:cs="Arial" w:hint="default"/>
      <w:color w:val="000000"/>
      <w:sz w:val="18"/>
      <w:szCs w:val="18"/>
    </w:rPr>
  </w:style>
  <w:style w:type="paragraph" w:styleId="BalloonText">
    <w:name w:val="Balloon Text"/>
    <w:basedOn w:val="Normal"/>
    <w:link w:val="BalloonTextChar"/>
    <w:uiPriority w:val="99"/>
    <w:semiHidden/>
    <w:unhideWhenUsed/>
    <w:rsid w:val="009101C3"/>
    <w:pPr>
      <w:spacing w:line="240" w:lineRule="auto"/>
    </w:pPr>
    <w:rPr>
      <w:rFonts w:ascii="Arial" w:hAnsi="Arial" w:cs="Arial"/>
      <w:sz w:val="16"/>
      <w:szCs w:val="16"/>
    </w:rPr>
  </w:style>
  <w:style w:type="character" w:customStyle="1" w:styleId="BalloonTextChar">
    <w:name w:val="Balloon Text Char"/>
    <w:basedOn w:val="DefaultParagraphFont"/>
    <w:link w:val="BalloonText"/>
    <w:uiPriority w:val="99"/>
    <w:semiHidden/>
    <w:rsid w:val="009101C3"/>
    <w:rPr>
      <w:rFonts w:ascii="Arial" w:eastAsia="Times New Roman" w:hAnsi="Arial" w:cs="Arial"/>
      <w:sz w:val="16"/>
      <w:szCs w:val="16"/>
    </w:rPr>
  </w:style>
  <w:style w:type="character" w:styleId="CommentReference">
    <w:name w:val="annotation reference"/>
    <w:basedOn w:val="DefaultParagraphFont"/>
    <w:uiPriority w:val="99"/>
    <w:semiHidden/>
    <w:unhideWhenUsed/>
    <w:rsid w:val="00A23CB7"/>
    <w:rPr>
      <w:sz w:val="16"/>
      <w:szCs w:val="16"/>
    </w:rPr>
  </w:style>
  <w:style w:type="paragraph" w:styleId="CommentText">
    <w:name w:val="annotation text"/>
    <w:basedOn w:val="Normal"/>
    <w:link w:val="CommentTextChar"/>
    <w:uiPriority w:val="99"/>
    <w:unhideWhenUsed/>
    <w:rsid w:val="00A23CB7"/>
    <w:pPr>
      <w:spacing w:line="240" w:lineRule="auto"/>
    </w:pPr>
    <w:rPr>
      <w:sz w:val="20"/>
    </w:rPr>
  </w:style>
  <w:style w:type="character" w:customStyle="1" w:styleId="CommentTextChar">
    <w:name w:val="Comment Text Char"/>
    <w:basedOn w:val="DefaultParagraphFont"/>
    <w:link w:val="CommentText"/>
    <w:uiPriority w:val="99"/>
    <w:rsid w:val="00A23CB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23CB7"/>
    <w:rPr>
      <w:b/>
      <w:bCs/>
    </w:rPr>
  </w:style>
  <w:style w:type="character" w:customStyle="1" w:styleId="CommentSubjectChar">
    <w:name w:val="Comment Subject Char"/>
    <w:basedOn w:val="CommentTextChar"/>
    <w:link w:val="CommentSubject"/>
    <w:uiPriority w:val="99"/>
    <w:semiHidden/>
    <w:rsid w:val="00A23CB7"/>
    <w:rPr>
      <w:rFonts w:ascii="Times New Roman" w:eastAsia="Times New Roman" w:hAnsi="Times New Roman" w:cs="Times New Roman"/>
      <w:b/>
      <w:bCs/>
      <w:sz w:val="20"/>
      <w:szCs w:val="20"/>
    </w:rPr>
  </w:style>
  <w:style w:type="paragraph" w:customStyle="1" w:styleId="Default">
    <w:name w:val="Default"/>
    <w:rsid w:val="00514841"/>
    <w:pPr>
      <w:autoSpaceDE w:val="0"/>
      <w:autoSpaceDN w:val="0"/>
      <w:adjustRightInd w:val="0"/>
      <w:spacing w:after="0" w:line="240" w:lineRule="auto"/>
    </w:pPr>
    <w:rPr>
      <w:rFonts w:ascii="Arial" w:hAnsi="Arial" w:cs="Arial"/>
      <w:color w:val="000000"/>
      <w:sz w:val="24"/>
      <w:szCs w:val="24"/>
    </w:rPr>
  </w:style>
  <w:style w:type="character" w:styleId="Strong">
    <w:name w:val="Strong"/>
    <w:basedOn w:val="DefaultParagraphFont"/>
    <w:uiPriority w:val="22"/>
    <w:qFormat/>
    <w:rsid w:val="004F4993"/>
    <w:rPr>
      <w:b/>
      <w:bCs/>
      <w:spacing w:val="0"/>
    </w:rPr>
  </w:style>
  <w:style w:type="paragraph" w:styleId="Caption">
    <w:name w:val="caption"/>
    <w:basedOn w:val="Normal"/>
    <w:next w:val="Normal"/>
    <w:uiPriority w:val="35"/>
    <w:semiHidden/>
    <w:unhideWhenUsed/>
    <w:qFormat/>
    <w:rsid w:val="004F4993"/>
    <w:rPr>
      <w:b/>
      <w:bCs/>
      <w:sz w:val="18"/>
      <w:szCs w:val="18"/>
    </w:rPr>
  </w:style>
  <w:style w:type="paragraph" w:styleId="Title">
    <w:name w:val="Title"/>
    <w:basedOn w:val="Normal"/>
    <w:next w:val="Normal"/>
    <w:link w:val="TitleChar"/>
    <w:uiPriority w:val="10"/>
    <w:qFormat/>
    <w:rsid w:val="004F4993"/>
    <w:pPr>
      <w:spacing w:line="240" w:lineRule="auto"/>
      <w:ind w:firstLine="0"/>
    </w:pPr>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4F4993"/>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4F4993"/>
    <w:pPr>
      <w:spacing w:after="320"/>
      <w:jc w:val="right"/>
    </w:pPr>
    <w:rPr>
      <w:i/>
      <w:iCs/>
      <w:color w:val="808080" w:themeColor="text1" w:themeTint="7F"/>
      <w:spacing w:val="10"/>
      <w:sz w:val="24"/>
      <w:szCs w:val="24"/>
    </w:rPr>
  </w:style>
  <w:style w:type="character" w:customStyle="1" w:styleId="SubtitleChar">
    <w:name w:val="Subtitle Char"/>
    <w:basedOn w:val="DefaultParagraphFont"/>
    <w:link w:val="Subtitle"/>
    <w:uiPriority w:val="11"/>
    <w:rsid w:val="004F4993"/>
    <w:rPr>
      <w:i/>
      <w:iCs/>
      <w:color w:val="808080" w:themeColor="text1" w:themeTint="7F"/>
      <w:spacing w:val="10"/>
      <w:sz w:val="24"/>
      <w:szCs w:val="24"/>
    </w:rPr>
  </w:style>
  <w:style w:type="character" w:styleId="Emphasis">
    <w:name w:val="Emphasis"/>
    <w:uiPriority w:val="20"/>
    <w:qFormat/>
    <w:rsid w:val="004F4993"/>
    <w:rPr>
      <w:b/>
      <w:bCs/>
      <w:i/>
      <w:iCs/>
      <w:color w:val="auto"/>
    </w:rPr>
  </w:style>
  <w:style w:type="paragraph" w:styleId="Quote">
    <w:name w:val="Quote"/>
    <w:basedOn w:val="Normal"/>
    <w:next w:val="Normal"/>
    <w:link w:val="QuoteChar"/>
    <w:uiPriority w:val="29"/>
    <w:qFormat/>
    <w:rsid w:val="004F4993"/>
    <w:rPr>
      <w:color w:val="5A5A5A" w:themeColor="text1" w:themeTint="A5"/>
    </w:rPr>
  </w:style>
  <w:style w:type="character" w:customStyle="1" w:styleId="QuoteChar">
    <w:name w:val="Quote Char"/>
    <w:basedOn w:val="DefaultParagraphFont"/>
    <w:link w:val="Quote"/>
    <w:uiPriority w:val="29"/>
    <w:rsid w:val="004F4993"/>
    <w:rPr>
      <w:rFonts w:asciiTheme="minorHAnsi"/>
      <w:color w:val="5A5A5A" w:themeColor="text1" w:themeTint="A5"/>
    </w:rPr>
  </w:style>
  <w:style w:type="paragraph" w:styleId="IntenseQuote">
    <w:name w:val="Intense Quote"/>
    <w:basedOn w:val="Normal"/>
    <w:next w:val="Normal"/>
    <w:link w:val="IntenseQuoteChar"/>
    <w:uiPriority w:val="30"/>
    <w:qFormat/>
    <w:rsid w:val="004F4993"/>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4F4993"/>
    <w:rPr>
      <w:rFonts w:asciiTheme="majorHAnsi" w:eastAsiaTheme="majorEastAsia" w:hAnsiTheme="majorHAnsi" w:cstheme="majorBidi"/>
      <w:i/>
      <w:iCs/>
      <w:sz w:val="20"/>
      <w:szCs w:val="20"/>
    </w:rPr>
  </w:style>
  <w:style w:type="character" w:styleId="SubtleEmphasis">
    <w:name w:val="Subtle Emphasis"/>
    <w:uiPriority w:val="19"/>
    <w:qFormat/>
    <w:rsid w:val="004F4993"/>
    <w:rPr>
      <w:i/>
      <w:iCs/>
      <w:color w:val="5A5A5A" w:themeColor="text1" w:themeTint="A5"/>
    </w:rPr>
  </w:style>
  <w:style w:type="character" w:styleId="IntenseEmphasis">
    <w:name w:val="Intense Emphasis"/>
    <w:uiPriority w:val="21"/>
    <w:qFormat/>
    <w:rsid w:val="004F4993"/>
    <w:rPr>
      <w:b/>
      <w:bCs/>
      <w:i/>
      <w:iCs/>
      <w:color w:val="auto"/>
      <w:u w:val="single"/>
    </w:rPr>
  </w:style>
  <w:style w:type="character" w:styleId="SubtleReference">
    <w:name w:val="Subtle Reference"/>
    <w:uiPriority w:val="31"/>
    <w:qFormat/>
    <w:rsid w:val="004F4993"/>
    <w:rPr>
      <w:smallCaps/>
    </w:rPr>
  </w:style>
  <w:style w:type="character" w:styleId="IntenseReference">
    <w:name w:val="Intense Reference"/>
    <w:uiPriority w:val="32"/>
    <w:qFormat/>
    <w:rsid w:val="004F4993"/>
    <w:rPr>
      <w:b/>
      <w:bCs/>
      <w:smallCaps/>
      <w:color w:val="auto"/>
    </w:rPr>
  </w:style>
  <w:style w:type="character" w:styleId="BookTitle">
    <w:name w:val="Book Title"/>
    <w:uiPriority w:val="33"/>
    <w:qFormat/>
    <w:rsid w:val="004F4993"/>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4F4993"/>
    <w:pPr>
      <w:outlineLvl w:val="9"/>
    </w:pPr>
  </w:style>
  <w:style w:type="character" w:customStyle="1" w:styleId="NoSpacingChar">
    <w:name w:val="No Spacing Char"/>
    <w:basedOn w:val="DefaultParagraphFont"/>
    <w:link w:val="NoSpacing"/>
    <w:uiPriority w:val="1"/>
    <w:rsid w:val="004F4993"/>
  </w:style>
  <w:style w:type="paragraph" w:customStyle="1" w:styleId="manuscript">
    <w:name w:val="manuscript"/>
    <w:basedOn w:val="Normal"/>
    <w:qFormat/>
    <w:rsid w:val="0053727E"/>
    <w:pPr>
      <w:ind w:firstLine="0"/>
    </w:pPr>
    <w:rPr>
      <w:rFonts w:ascii="Times New Roman" w:hAnsi="Times New Roman"/>
      <w:sz w:val="24"/>
    </w:rPr>
  </w:style>
  <w:style w:type="character" w:customStyle="1" w:styleId="A3">
    <w:name w:val="A3"/>
    <w:uiPriority w:val="99"/>
    <w:rsid w:val="000011DB"/>
    <w:rPr>
      <w:rFonts w:cs="Myriad Pro"/>
      <w:color w:val="000000"/>
      <w:sz w:val="20"/>
      <w:szCs w:val="20"/>
    </w:rPr>
  </w:style>
  <w:style w:type="character" w:customStyle="1" w:styleId="A2">
    <w:name w:val="A2"/>
    <w:uiPriority w:val="99"/>
    <w:rsid w:val="00386C89"/>
    <w:rPr>
      <w:rFonts w:cs="Myriad Pro"/>
      <w:color w:val="000000"/>
      <w:sz w:val="22"/>
      <w:szCs w:val="22"/>
    </w:rPr>
  </w:style>
  <w:style w:type="paragraph" w:customStyle="1" w:styleId="articledetails">
    <w:name w:val="articledetails"/>
    <w:basedOn w:val="Normal"/>
    <w:rsid w:val="005F3B32"/>
    <w:pPr>
      <w:spacing w:before="100" w:beforeAutospacing="1" w:after="100" w:afterAutospacing="1" w:line="240" w:lineRule="auto"/>
      <w:ind w:firstLine="0"/>
    </w:pPr>
    <w:rPr>
      <w:rFonts w:ascii="Times New Roman" w:eastAsia="Times New Roman" w:hAnsi="Times New Roman" w:cs="Times New Roman"/>
      <w:sz w:val="24"/>
      <w:szCs w:val="24"/>
      <w:lang w:val="en-NZ" w:eastAsia="en-NZ" w:bidi="ar-SA"/>
    </w:rPr>
  </w:style>
  <w:style w:type="character" w:styleId="FollowedHyperlink">
    <w:name w:val="FollowedHyperlink"/>
    <w:basedOn w:val="DefaultParagraphFont"/>
    <w:uiPriority w:val="99"/>
    <w:semiHidden/>
    <w:unhideWhenUsed/>
    <w:rsid w:val="00DA763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955744">
      <w:bodyDiv w:val="1"/>
      <w:marLeft w:val="0"/>
      <w:marRight w:val="0"/>
      <w:marTop w:val="0"/>
      <w:marBottom w:val="0"/>
      <w:divBdr>
        <w:top w:val="none" w:sz="0" w:space="0" w:color="auto"/>
        <w:left w:val="none" w:sz="0" w:space="0" w:color="auto"/>
        <w:bottom w:val="none" w:sz="0" w:space="0" w:color="auto"/>
        <w:right w:val="none" w:sz="0" w:space="0" w:color="auto"/>
      </w:divBdr>
      <w:divsChild>
        <w:div w:id="621349615">
          <w:marLeft w:val="0"/>
          <w:marRight w:val="0"/>
          <w:marTop w:val="0"/>
          <w:marBottom w:val="0"/>
          <w:divBdr>
            <w:top w:val="none" w:sz="0" w:space="0" w:color="auto"/>
            <w:left w:val="none" w:sz="0" w:space="0" w:color="auto"/>
            <w:bottom w:val="none" w:sz="0" w:space="0" w:color="auto"/>
            <w:right w:val="none" w:sz="0" w:space="0" w:color="auto"/>
          </w:divBdr>
          <w:divsChild>
            <w:div w:id="196088534">
              <w:marLeft w:val="0"/>
              <w:marRight w:val="0"/>
              <w:marTop w:val="0"/>
              <w:marBottom w:val="0"/>
              <w:divBdr>
                <w:top w:val="none" w:sz="0" w:space="0" w:color="auto"/>
                <w:left w:val="none" w:sz="0" w:space="0" w:color="auto"/>
                <w:bottom w:val="none" w:sz="0" w:space="0" w:color="auto"/>
                <w:right w:val="none" w:sz="0" w:space="0" w:color="auto"/>
              </w:divBdr>
              <w:divsChild>
                <w:div w:id="1268848769">
                  <w:marLeft w:val="0"/>
                  <w:marRight w:val="0"/>
                  <w:marTop w:val="0"/>
                  <w:marBottom w:val="0"/>
                  <w:divBdr>
                    <w:top w:val="none" w:sz="0" w:space="0" w:color="auto"/>
                    <w:left w:val="none" w:sz="0" w:space="0" w:color="auto"/>
                    <w:bottom w:val="none" w:sz="0" w:space="0" w:color="auto"/>
                    <w:right w:val="none" w:sz="0" w:space="0" w:color="auto"/>
                  </w:divBdr>
                  <w:divsChild>
                    <w:div w:id="871109011">
                      <w:marLeft w:val="0"/>
                      <w:marRight w:val="0"/>
                      <w:marTop w:val="0"/>
                      <w:marBottom w:val="0"/>
                      <w:divBdr>
                        <w:top w:val="none" w:sz="0" w:space="0" w:color="auto"/>
                        <w:left w:val="none" w:sz="0" w:space="0" w:color="auto"/>
                        <w:bottom w:val="none" w:sz="0" w:space="0" w:color="auto"/>
                        <w:right w:val="none" w:sz="0" w:space="0" w:color="auto"/>
                      </w:divBdr>
                      <w:divsChild>
                        <w:div w:id="287899649">
                          <w:marLeft w:val="0"/>
                          <w:marRight w:val="0"/>
                          <w:marTop w:val="0"/>
                          <w:marBottom w:val="0"/>
                          <w:divBdr>
                            <w:top w:val="none" w:sz="0" w:space="0" w:color="auto"/>
                            <w:left w:val="none" w:sz="0" w:space="0" w:color="auto"/>
                            <w:bottom w:val="none" w:sz="0" w:space="0" w:color="auto"/>
                            <w:right w:val="none" w:sz="0" w:space="0" w:color="auto"/>
                          </w:divBdr>
                          <w:divsChild>
                            <w:div w:id="2086998074">
                              <w:marLeft w:val="0"/>
                              <w:marRight w:val="0"/>
                              <w:marTop w:val="0"/>
                              <w:marBottom w:val="0"/>
                              <w:divBdr>
                                <w:top w:val="none" w:sz="0" w:space="0" w:color="auto"/>
                                <w:left w:val="none" w:sz="0" w:space="0" w:color="auto"/>
                                <w:bottom w:val="none" w:sz="0" w:space="0" w:color="auto"/>
                                <w:right w:val="none" w:sz="0" w:space="0" w:color="auto"/>
                              </w:divBdr>
                              <w:divsChild>
                                <w:div w:id="292685904">
                                  <w:marLeft w:val="0"/>
                                  <w:marRight w:val="0"/>
                                  <w:marTop w:val="0"/>
                                  <w:marBottom w:val="0"/>
                                  <w:divBdr>
                                    <w:top w:val="none" w:sz="0" w:space="0" w:color="auto"/>
                                    <w:left w:val="none" w:sz="0" w:space="0" w:color="auto"/>
                                    <w:bottom w:val="none" w:sz="0" w:space="0" w:color="auto"/>
                                    <w:right w:val="none" w:sz="0" w:space="0" w:color="auto"/>
                                  </w:divBdr>
                                  <w:divsChild>
                                    <w:div w:id="2031711317">
                                      <w:marLeft w:val="0"/>
                                      <w:marRight w:val="0"/>
                                      <w:marTop w:val="0"/>
                                      <w:marBottom w:val="0"/>
                                      <w:divBdr>
                                        <w:top w:val="none" w:sz="0" w:space="0" w:color="auto"/>
                                        <w:left w:val="none" w:sz="0" w:space="0" w:color="auto"/>
                                        <w:bottom w:val="none" w:sz="0" w:space="0" w:color="auto"/>
                                        <w:right w:val="none" w:sz="0" w:space="0" w:color="auto"/>
                                      </w:divBdr>
                                      <w:divsChild>
                                        <w:div w:id="2052261685">
                                          <w:marLeft w:val="0"/>
                                          <w:marRight w:val="0"/>
                                          <w:marTop w:val="0"/>
                                          <w:marBottom w:val="0"/>
                                          <w:divBdr>
                                            <w:top w:val="none" w:sz="0" w:space="0" w:color="auto"/>
                                            <w:left w:val="none" w:sz="0" w:space="0" w:color="auto"/>
                                            <w:bottom w:val="none" w:sz="0" w:space="0" w:color="auto"/>
                                            <w:right w:val="none" w:sz="0" w:space="0" w:color="auto"/>
                                          </w:divBdr>
                                          <w:divsChild>
                                            <w:div w:id="159058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54834714">
      <w:bodyDiv w:val="1"/>
      <w:marLeft w:val="0"/>
      <w:marRight w:val="0"/>
      <w:marTop w:val="0"/>
      <w:marBottom w:val="0"/>
      <w:divBdr>
        <w:top w:val="none" w:sz="0" w:space="0" w:color="auto"/>
        <w:left w:val="none" w:sz="0" w:space="0" w:color="auto"/>
        <w:bottom w:val="none" w:sz="0" w:space="0" w:color="auto"/>
        <w:right w:val="none" w:sz="0" w:space="0" w:color="auto"/>
      </w:divBdr>
      <w:divsChild>
        <w:div w:id="1642880527">
          <w:marLeft w:val="0"/>
          <w:marRight w:val="0"/>
          <w:marTop w:val="0"/>
          <w:marBottom w:val="0"/>
          <w:divBdr>
            <w:top w:val="none" w:sz="0" w:space="0" w:color="auto"/>
            <w:left w:val="none" w:sz="0" w:space="0" w:color="auto"/>
            <w:bottom w:val="none" w:sz="0" w:space="0" w:color="auto"/>
            <w:right w:val="none" w:sz="0" w:space="0" w:color="auto"/>
          </w:divBdr>
          <w:divsChild>
            <w:div w:id="387074075">
              <w:marLeft w:val="0"/>
              <w:marRight w:val="0"/>
              <w:marTop w:val="0"/>
              <w:marBottom w:val="0"/>
              <w:divBdr>
                <w:top w:val="none" w:sz="0" w:space="0" w:color="auto"/>
                <w:left w:val="none" w:sz="0" w:space="0" w:color="auto"/>
                <w:bottom w:val="none" w:sz="0" w:space="0" w:color="auto"/>
                <w:right w:val="none" w:sz="0" w:space="0" w:color="auto"/>
              </w:divBdr>
              <w:divsChild>
                <w:div w:id="1054891696">
                  <w:marLeft w:val="0"/>
                  <w:marRight w:val="0"/>
                  <w:marTop w:val="0"/>
                  <w:marBottom w:val="0"/>
                  <w:divBdr>
                    <w:top w:val="none" w:sz="0" w:space="0" w:color="auto"/>
                    <w:left w:val="none" w:sz="0" w:space="0" w:color="auto"/>
                    <w:bottom w:val="none" w:sz="0" w:space="0" w:color="auto"/>
                    <w:right w:val="none" w:sz="0" w:space="0" w:color="auto"/>
                  </w:divBdr>
                  <w:divsChild>
                    <w:div w:id="28379822">
                      <w:marLeft w:val="0"/>
                      <w:marRight w:val="0"/>
                      <w:marTop w:val="0"/>
                      <w:marBottom w:val="0"/>
                      <w:divBdr>
                        <w:top w:val="none" w:sz="0" w:space="0" w:color="auto"/>
                        <w:left w:val="none" w:sz="0" w:space="0" w:color="auto"/>
                        <w:bottom w:val="none" w:sz="0" w:space="0" w:color="auto"/>
                        <w:right w:val="none" w:sz="0" w:space="0" w:color="auto"/>
                      </w:divBdr>
                      <w:divsChild>
                        <w:div w:id="357656687">
                          <w:marLeft w:val="0"/>
                          <w:marRight w:val="0"/>
                          <w:marTop w:val="0"/>
                          <w:marBottom w:val="0"/>
                          <w:divBdr>
                            <w:top w:val="none" w:sz="0" w:space="0" w:color="auto"/>
                            <w:left w:val="none" w:sz="0" w:space="0" w:color="auto"/>
                            <w:bottom w:val="none" w:sz="0" w:space="0" w:color="auto"/>
                            <w:right w:val="none" w:sz="0" w:space="0" w:color="auto"/>
                          </w:divBdr>
                          <w:divsChild>
                            <w:div w:id="1335108030">
                              <w:marLeft w:val="0"/>
                              <w:marRight w:val="0"/>
                              <w:marTop w:val="0"/>
                              <w:marBottom w:val="0"/>
                              <w:divBdr>
                                <w:top w:val="none" w:sz="0" w:space="0" w:color="auto"/>
                                <w:left w:val="none" w:sz="0" w:space="0" w:color="auto"/>
                                <w:bottom w:val="none" w:sz="0" w:space="0" w:color="auto"/>
                                <w:right w:val="none" w:sz="0" w:space="0" w:color="auto"/>
                              </w:divBdr>
                              <w:divsChild>
                                <w:div w:id="1026057839">
                                  <w:marLeft w:val="0"/>
                                  <w:marRight w:val="0"/>
                                  <w:marTop w:val="0"/>
                                  <w:marBottom w:val="0"/>
                                  <w:divBdr>
                                    <w:top w:val="none" w:sz="0" w:space="0" w:color="auto"/>
                                    <w:left w:val="none" w:sz="0" w:space="0" w:color="auto"/>
                                    <w:bottom w:val="none" w:sz="0" w:space="0" w:color="auto"/>
                                    <w:right w:val="none" w:sz="0" w:space="0" w:color="auto"/>
                                  </w:divBdr>
                                  <w:divsChild>
                                    <w:div w:id="1358654455">
                                      <w:marLeft w:val="0"/>
                                      <w:marRight w:val="0"/>
                                      <w:marTop w:val="0"/>
                                      <w:marBottom w:val="0"/>
                                      <w:divBdr>
                                        <w:top w:val="none" w:sz="0" w:space="0" w:color="auto"/>
                                        <w:left w:val="none" w:sz="0" w:space="0" w:color="auto"/>
                                        <w:bottom w:val="none" w:sz="0" w:space="0" w:color="auto"/>
                                        <w:right w:val="none" w:sz="0" w:space="0" w:color="auto"/>
                                      </w:divBdr>
                                    </w:div>
                                    <w:div w:id="60295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4168488">
      <w:bodyDiv w:val="1"/>
      <w:marLeft w:val="0"/>
      <w:marRight w:val="0"/>
      <w:marTop w:val="0"/>
      <w:marBottom w:val="0"/>
      <w:divBdr>
        <w:top w:val="none" w:sz="0" w:space="0" w:color="auto"/>
        <w:left w:val="none" w:sz="0" w:space="0" w:color="auto"/>
        <w:bottom w:val="none" w:sz="0" w:space="0" w:color="auto"/>
        <w:right w:val="none" w:sz="0" w:space="0" w:color="auto"/>
      </w:divBdr>
    </w:div>
    <w:div w:id="575672510">
      <w:bodyDiv w:val="1"/>
      <w:marLeft w:val="0"/>
      <w:marRight w:val="0"/>
      <w:marTop w:val="0"/>
      <w:marBottom w:val="0"/>
      <w:divBdr>
        <w:top w:val="none" w:sz="0" w:space="0" w:color="auto"/>
        <w:left w:val="none" w:sz="0" w:space="0" w:color="auto"/>
        <w:bottom w:val="none" w:sz="0" w:space="0" w:color="auto"/>
        <w:right w:val="none" w:sz="0" w:space="0" w:color="auto"/>
      </w:divBdr>
      <w:divsChild>
        <w:div w:id="1079601901">
          <w:marLeft w:val="0"/>
          <w:marRight w:val="0"/>
          <w:marTop w:val="0"/>
          <w:marBottom w:val="0"/>
          <w:divBdr>
            <w:top w:val="none" w:sz="0" w:space="0" w:color="auto"/>
            <w:left w:val="none" w:sz="0" w:space="0" w:color="auto"/>
            <w:bottom w:val="none" w:sz="0" w:space="0" w:color="auto"/>
            <w:right w:val="none" w:sz="0" w:space="0" w:color="auto"/>
          </w:divBdr>
          <w:divsChild>
            <w:div w:id="1495605569">
              <w:marLeft w:val="0"/>
              <w:marRight w:val="0"/>
              <w:marTop w:val="0"/>
              <w:marBottom w:val="0"/>
              <w:divBdr>
                <w:top w:val="none" w:sz="0" w:space="0" w:color="auto"/>
                <w:left w:val="none" w:sz="0" w:space="0" w:color="auto"/>
                <w:bottom w:val="none" w:sz="0" w:space="0" w:color="auto"/>
                <w:right w:val="none" w:sz="0" w:space="0" w:color="auto"/>
              </w:divBdr>
              <w:divsChild>
                <w:div w:id="1189218774">
                  <w:marLeft w:val="0"/>
                  <w:marRight w:val="0"/>
                  <w:marTop w:val="0"/>
                  <w:marBottom w:val="0"/>
                  <w:divBdr>
                    <w:top w:val="none" w:sz="0" w:space="0" w:color="auto"/>
                    <w:left w:val="none" w:sz="0" w:space="0" w:color="auto"/>
                    <w:bottom w:val="none" w:sz="0" w:space="0" w:color="auto"/>
                    <w:right w:val="none" w:sz="0" w:space="0" w:color="auto"/>
                  </w:divBdr>
                  <w:divsChild>
                    <w:div w:id="113911462">
                      <w:marLeft w:val="0"/>
                      <w:marRight w:val="0"/>
                      <w:marTop w:val="0"/>
                      <w:marBottom w:val="0"/>
                      <w:divBdr>
                        <w:top w:val="none" w:sz="0" w:space="0" w:color="auto"/>
                        <w:left w:val="none" w:sz="0" w:space="0" w:color="auto"/>
                        <w:bottom w:val="none" w:sz="0" w:space="0" w:color="auto"/>
                        <w:right w:val="none" w:sz="0" w:space="0" w:color="auto"/>
                      </w:divBdr>
                      <w:divsChild>
                        <w:div w:id="1021395409">
                          <w:marLeft w:val="0"/>
                          <w:marRight w:val="0"/>
                          <w:marTop w:val="0"/>
                          <w:marBottom w:val="0"/>
                          <w:divBdr>
                            <w:top w:val="none" w:sz="0" w:space="0" w:color="auto"/>
                            <w:left w:val="none" w:sz="0" w:space="0" w:color="auto"/>
                            <w:bottom w:val="none" w:sz="0" w:space="0" w:color="auto"/>
                            <w:right w:val="none" w:sz="0" w:space="0" w:color="auto"/>
                          </w:divBdr>
                          <w:divsChild>
                            <w:div w:id="2089229786">
                              <w:marLeft w:val="0"/>
                              <w:marRight w:val="0"/>
                              <w:marTop w:val="0"/>
                              <w:marBottom w:val="0"/>
                              <w:divBdr>
                                <w:top w:val="none" w:sz="0" w:space="0" w:color="auto"/>
                                <w:left w:val="none" w:sz="0" w:space="0" w:color="auto"/>
                                <w:bottom w:val="none" w:sz="0" w:space="0" w:color="auto"/>
                                <w:right w:val="none" w:sz="0" w:space="0" w:color="auto"/>
                              </w:divBdr>
                              <w:divsChild>
                                <w:div w:id="1616906204">
                                  <w:marLeft w:val="0"/>
                                  <w:marRight w:val="0"/>
                                  <w:marTop w:val="0"/>
                                  <w:marBottom w:val="0"/>
                                  <w:divBdr>
                                    <w:top w:val="none" w:sz="0" w:space="0" w:color="auto"/>
                                    <w:left w:val="none" w:sz="0" w:space="0" w:color="auto"/>
                                    <w:bottom w:val="none" w:sz="0" w:space="0" w:color="auto"/>
                                    <w:right w:val="none" w:sz="0" w:space="0" w:color="auto"/>
                                  </w:divBdr>
                                  <w:divsChild>
                                    <w:div w:id="862208998">
                                      <w:marLeft w:val="0"/>
                                      <w:marRight w:val="0"/>
                                      <w:marTop w:val="0"/>
                                      <w:marBottom w:val="0"/>
                                      <w:divBdr>
                                        <w:top w:val="none" w:sz="0" w:space="0" w:color="auto"/>
                                        <w:left w:val="none" w:sz="0" w:space="0" w:color="auto"/>
                                        <w:bottom w:val="none" w:sz="0" w:space="0" w:color="auto"/>
                                        <w:right w:val="none" w:sz="0" w:space="0" w:color="auto"/>
                                      </w:divBdr>
                                      <w:divsChild>
                                        <w:div w:id="1167788010">
                                          <w:marLeft w:val="0"/>
                                          <w:marRight w:val="0"/>
                                          <w:marTop w:val="0"/>
                                          <w:marBottom w:val="0"/>
                                          <w:divBdr>
                                            <w:top w:val="none" w:sz="0" w:space="0" w:color="auto"/>
                                            <w:left w:val="none" w:sz="0" w:space="0" w:color="auto"/>
                                            <w:bottom w:val="none" w:sz="0" w:space="0" w:color="auto"/>
                                            <w:right w:val="none" w:sz="0" w:space="0" w:color="auto"/>
                                          </w:divBdr>
                                          <w:divsChild>
                                            <w:div w:id="1979678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4332446">
      <w:bodyDiv w:val="1"/>
      <w:marLeft w:val="0"/>
      <w:marRight w:val="0"/>
      <w:marTop w:val="0"/>
      <w:marBottom w:val="0"/>
      <w:divBdr>
        <w:top w:val="none" w:sz="0" w:space="0" w:color="auto"/>
        <w:left w:val="none" w:sz="0" w:space="0" w:color="auto"/>
        <w:bottom w:val="none" w:sz="0" w:space="0" w:color="auto"/>
        <w:right w:val="none" w:sz="0" w:space="0" w:color="auto"/>
      </w:divBdr>
      <w:divsChild>
        <w:div w:id="230311472">
          <w:marLeft w:val="0"/>
          <w:marRight w:val="0"/>
          <w:marTop w:val="0"/>
          <w:marBottom w:val="0"/>
          <w:divBdr>
            <w:top w:val="none" w:sz="0" w:space="0" w:color="auto"/>
            <w:left w:val="none" w:sz="0" w:space="0" w:color="auto"/>
            <w:bottom w:val="none" w:sz="0" w:space="0" w:color="auto"/>
            <w:right w:val="none" w:sz="0" w:space="0" w:color="auto"/>
          </w:divBdr>
          <w:divsChild>
            <w:div w:id="747265748">
              <w:marLeft w:val="0"/>
              <w:marRight w:val="0"/>
              <w:marTop w:val="0"/>
              <w:marBottom w:val="0"/>
              <w:divBdr>
                <w:top w:val="none" w:sz="0" w:space="0" w:color="auto"/>
                <w:left w:val="none" w:sz="0" w:space="0" w:color="auto"/>
                <w:bottom w:val="none" w:sz="0" w:space="0" w:color="auto"/>
                <w:right w:val="none" w:sz="0" w:space="0" w:color="auto"/>
              </w:divBdr>
              <w:divsChild>
                <w:div w:id="756830485">
                  <w:marLeft w:val="0"/>
                  <w:marRight w:val="0"/>
                  <w:marTop w:val="0"/>
                  <w:marBottom w:val="0"/>
                  <w:divBdr>
                    <w:top w:val="none" w:sz="0" w:space="0" w:color="auto"/>
                    <w:left w:val="none" w:sz="0" w:space="0" w:color="auto"/>
                    <w:bottom w:val="none" w:sz="0" w:space="0" w:color="auto"/>
                    <w:right w:val="none" w:sz="0" w:space="0" w:color="auto"/>
                  </w:divBdr>
                  <w:divsChild>
                    <w:div w:id="1983263999">
                      <w:marLeft w:val="0"/>
                      <w:marRight w:val="0"/>
                      <w:marTop w:val="0"/>
                      <w:marBottom w:val="0"/>
                      <w:divBdr>
                        <w:top w:val="none" w:sz="0" w:space="0" w:color="auto"/>
                        <w:left w:val="none" w:sz="0" w:space="0" w:color="auto"/>
                        <w:bottom w:val="none" w:sz="0" w:space="0" w:color="auto"/>
                        <w:right w:val="none" w:sz="0" w:space="0" w:color="auto"/>
                      </w:divBdr>
                      <w:divsChild>
                        <w:div w:id="207403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796332">
      <w:bodyDiv w:val="1"/>
      <w:marLeft w:val="0"/>
      <w:marRight w:val="0"/>
      <w:marTop w:val="0"/>
      <w:marBottom w:val="0"/>
      <w:divBdr>
        <w:top w:val="none" w:sz="0" w:space="0" w:color="auto"/>
        <w:left w:val="none" w:sz="0" w:space="0" w:color="auto"/>
        <w:bottom w:val="none" w:sz="0" w:space="0" w:color="auto"/>
        <w:right w:val="none" w:sz="0" w:space="0" w:color="auto"/>
      </w:divBdr>
    </w:div>
    <w:div w:id="941573026">
      <w:bodyDiv w:val="1"/>
      <w:marLeft w:val="0"/>
      <w:marRight w:val="0"/>
      <w:marTop w:val="0"/>
      <w:marBottom w:val="0"/>
      <w:divBdr>
        <w:top w:val="none" w:sz="0" w:space="0" w:color="auto"/>
        <w:left w:val="none" w:sz="0" w:space="0" w:color="auto"/>
        <w:bottom w:val="none" w:sz="0" w:space="0" w:color="auto"/>
        <w:right w:val="none" w:sz="0" w:space="0" w:color="auto"/>
      </w:divBdr>
    </w:div>
    <w:div w:id="1882860843">
      <w:bodyDiv w:val="1"/>
      <w:marLeft w:val="0"/>
      <w:marRight w:val="0"/>
      <w:marTop w:val="0"/>
      <w:marBottom w:val="0"/>
      <w:divBdr>
        <w:top w:val="none" w:sz="0" w:space="0" w:color="auto"/>
        <w:left w:val="none" w:sz="0" w:space="0" w:color="auto"/>
        <w:bottom w:val="none" w:sz="0" w:space="0" w:color="auto"/>
        <w:right w:val="none" w:sz="0" w:space="0" w:color="auto"/>
      </w:divBdr>
      <w:divsChild>
        <w:div w:id="2115398500">
          <w:marLeft w:val="0"/>
          <w:marRight w:val="0"/>
          <w:marTop w:val="0"/>
          <w:marBottom w:val="0"/>
          <w:divBdr>
            <w:top w:val="none" w:sz="0" w:space="0" w:color="auto"/>
            <w:left w:val="none" w:sz="0" w:space="0" w:color="auto"/>
            <w:bottom w:val="none" w:sz="0" w:space="0" w:color="auto"/>
            <w:right w:val="none" w:sz="0" w:space="0" w:color="auto"/>
          </w:divBdr>
          <w:divsChild>
            <w:div w:id="523909007">
              <w:marLeft w:val="0"/>
              <w:marRight w:val="0"/>
              <w:marTop w:val="0"/>
              <w:marBottom w:val="0"/>
              <w:divBdr>
                <w:top w:val="none" w:sz="0" w:space="0" w:color="auto"/>
                <w:left w:val="none" w:sz="0" w:space="0" w:color="auto"/>
                <w:bottom w:val="none" w:sz="0" w:space="0" w:color="auto"/>
                <w:right w:val="none" w:sz="0" w:space="0" w:color="auto"/>
              </w:divBdr>
              <w:divsChild>
                <w:div w:id="1293249694">
                  <w:marLeft w:val="0"/>
                  <w:marRight w:val="0"/>
                  <w:marTop w:val="0"/>
                  <w:marBottom w:val="0"/>
                  <w:divBdr>
                    <w:top w:val="none" w:sz="0" w:space="0" w:color="auto"/>
                    <w:left w:val="none" w:sz="0" w:space="0" w:color="auto"/>
                    <w:bottom w:val="none" w:sz="0" w:space="0" w:color="auto"/>
                    <w:right w:val="none" w:sz="0" w:space="0" w:color="auto"/>
                  </w:divBdr>
                  <w:divsChild>
                    <w:div w:id="1305044674">
                      <w:marLeft w:val="0"/>
                      <w:marRight w:val="0"/>
                      <w:marTop w:val="0"/>
                      <w:marBottom w:val="0"/>
                      <w:divBdr>
                        <w:top w:val="none" w:sz="0" w:space="0" w:color="auto"/>
                        <w:left w:val="none" w:sz="0" w:space="0" w:color="auto"/>
                        <w:bottom w:val="none" w:sz="0" w:space="0" w:color="auto"/>
                        <w:right w:val="none" w:sz="0" w:space="0" w:color="auto"/>
                      </w:divBdr>
                      <w:divsChild>
                        <w:div w:id="2061515412">
                          <w:marLeft w:val="0"/>
                          <w:marRight w:val="0"/>
                          <w:marTop w:val="0"/>
                          <w:marBottom w:val="0"/>
                          <w:divBdr>
                            <w:top w:val="none" w:sz="0" w:space="0" w:color="auto"/>
                            <w:left w:val="none" w:sz="0" w:space="0" w:color="auto"/>
                            <w:bottom w:val="none" w:sz="0" w:space="0" w:color="auto"/>
                            <w:right w:val="none" w:sz="0" w:space="0" w:color="auto"/>
                          </w:divBdr>
                          <w:divsChild>
                            <w:div w:id="230972599">
                              <w:marLeft w:val="0"/>
                              <w:marRight w:val="0"/>
                              <w:marTop w:val="0"/>
                              <w:marBottom w:val="0"/>
                              <w:divBdr>
                                <w:top w:val="none" w:sz="0" w:space="0" w:color="auto"/>
                                <w:left w:val="none" w:sz="0" w:space="0" w:color="auto"/>
                                <w:bottom w:val="none" w:sz="0" w:space="0" w:color="auto"/>
                                <w:right w:val="none" w:sz="0" w:space="0" w:color="auto"/>
                              </w:divBdr>
                              <w:divsChild>
                                <w:div w:id="1595161071">
                                  <w:marLeft w:val="0"/>
                                  <w:marRight w:val="0"/>
                                  <w:marTop w:val="0"/>
                                  <w:marBottom w:val="0"/>
                                  <w:divBdr>
                                    <w:top w:val="none" w:sz="0" w:space="0" w:color="auto"/>
                                    <w:left w:val="none" w:sz="0" w:space="0" w:color="auto"/>
                                    <w:bottom w:val="none" w:sz="0" w:space="0" w:color="auto"/>
                                    <w:right w:val="none" w:sz="0" w:space="0" w:color="auto"/>
                                  </w:divBdr>
                                  <w:divsChild>
                                    <w:div w:id="1460146113">
                                      <w:marLeft w:val="0"/>
                                      <w:marRight w:val="0"/>
                                      <w:marTop w:val="0"/>
                                      <w:marBottom w:val="0"/>
                                      <w:divBdr>
                                        <w:top w:val="none" w:sz="0" w:space="0" w:color="auto"/>
                                        <w:left w:val="none" w:sz="0" w:space="0" w:color="auto"/>
                                        <w:bottom w:val="none" w:sz="0" w:space="0" w:color="auto"/>
                                        <w:right w:val="none" w:sz="0" w:space="0" w:color="auto"/>
                                      </w:divBdr>
                                      <w:divsChild>
                                        <w:div w:id="342250431">
                                          <w:marLeft w:val="0"/>
                                          <w:marRight w:val="0"/>
                                          <w:marTop w:val="0"/>
                                          <w:marBottom w:val="0"/>
                                          <w:divBdr>
                                            <w:top w:val="none" w:sz="0" w:space="0" w:color="auto"/>
                                            <w:left w:val="none" w:sz="0" w:space="0" w:color="auto"/>
                                            <w:bottom w:val="none" w:sz="0" w:space="0" w:color="auto"/>
                                            <w:right w:val="none" w:sz="0" w:space="0" w:color="auto"/>
                                          </w:divBdr>
                                          <w:divsChild>
                                            <w:div w:id="24506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frssurvey.massey.ac.nz"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javascript:__doLinkPostBack('','ss%7E%7EAR%20%22Ricchiute%2C%20David%20N%2E%22%7C%7Csl%7E%7Er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javascript:__doLinkPostBack('','ss%7E%7EAR%20%22Faircloth%2C%20Archie%20W%2E%22%7C%7Csl%7E%7Erl','');"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ifrssurvey.massey.ac.n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2110CF-FCC2-4043-8CB0-F1CE597EA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11064</Words>
  <Characters>63069</Characters>
  <Application>Microsoft Office Word</Application>
  <DocSecurity>0</DocSecurity>
  <Lines>525</Lines>
  <Paragraphs>147</Paragraphs>
  <ScaleCrop>false</ScaleCrop>
  <HeadingPairs>
    <vt:vector size="2" baseType="variant">
      <vt:variant>
        <vt:lpstr>Title</vt:lpstr>
      </vt:variant>
      <vt:variant>
        <vt:i4>1</vt:i4>
      </vt:variant>
    </vt:vector>
  </HeadingPairs>
  <TitlesOfParts>
    <vt:vector size="1" baseType="lpstr">
      <vt:lpstr/>
    </vt:vector>
  </TitlesOfParts>
  <Company>Information Technology Services</Company>
  <LinksUpToDate>false</LinksUpToDate>
  <CharactersWithSpaces>73986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Stent</dc:creator>
  <cp:lastModifiedBy>Stent, Warwick</cp:lastModifiedBy>
  <cp:revision>3</cp:revision>
  <cp:lastPrinted>2015-04-21T22:43:00Z</cp:lastPrinted>
  <dcterms:created xsi:type="dcterms:W3CDTF">2015-04-22T08:56:00Z</dcterms:created>
  <dcterms:modified xsi:type="dcterms:W3CDTF">2015-04-22T08:56:00Z</dcterms:modified>
</cp:coreProperties>
</file>