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D95203" w14:textId="20FB0EF4" w:rsidR="004B3DEE" w:rsidRPr="00CE5222" w:rsidRDefault="004B3DEE" w:rsidP="004B3DEE">
      <w:pPr>
        <w:jc w:val="both"/>
        <w:rPr>
          <w:bCs/>
          <w:lang w:val="en-US"/>
        </w:rPr>
      </w:pPr>
      <w:r w:rsidRPr="00CE5222">
        <w:rPr>
          <w:b/>
          <w:sz w:val="32"/>
          <w:szCs w:val="32"/>
        </w:rPr>
        <w:t>Modelling Spatial Population Exposure and Evacuation Clearance Time for the Auckland Volcanic Field, New Zealand</w:t>
      </w:r>
    </w:p>
    <w:p w14:paraId="14CC094B" w14:textId="77777777" w:rsidR="00C32CE5" w:rsidRPr="00D065CB" w:rsidRDefault="00C32CE5" w:rsidP="00A31697">
      <w:pPr>
        <w:spacing w:line="360" w:lineRule="auto"/>
        <w:jc w:val="both"/>
        <w:rPr>
          <w:sz w:val="12"/>
          <w:szCs w:val="12"/>
        </w:rPr>
      </w:pPr>
    </w:p>
    <w:p w14:paraId="2FEAF984" w14:textId="554EF78D" w:rsidR="00A31697" w:rsidRPr="00D065CB" w:rsidRDefault="004B3DEE" w:rsidP="00D468DD">
      <w:pPr>
        <w:spacing w:line="360" w:lineRule="auto"/>
        <w:jc w:val="both"/>
        <w:rPr>
          <w:b/>
          <w:lang w:val="en-US"/>
        </w:rPr>
      </w:pPr>
      <w:r w:rsidRPr="00CE5222">
        <w:rPr>
          <w:bCs/>
          <w:lang w:val="en-US"/>
        </w:rPr>
        <w:t>A.J. Wild, M.S. Bebbington, J.M. Lindsa</w:t>
      </w:r>
      <w:r w:rsidR="003F3592">
        <w:rPr>
          <w:bCs/>
          <w:lang w:val="en-US"/>
        </w:rPr>
        <w:t>y</w:t>
      </w:r>
      <w:r w:rsidRPr="00CE5222">
        <w:rPr>
          <w:bCs/>
          <w:lang w:val="en-US"/>
        </w:rPr>
        <w:t>, D.H. Charlton</w:t>
      </w:r>
    </w:p>
    <w:p w14:paraId="64730C9A" w14:textId="1D07D223" w:rsidR="00D468DD" w:rsidRPr="008978BC" w:rsidRDefault="00D468DD" w:rsidP="00D468DD">
      <w:pPr>
        <w:spacing w:line="360" w:lineRule="auto"/>
        <w:jc w:val="both"/>
        <w:rPr>
          <w:b/>
          <w:sz w:val="28"/>
          <w:lang w:val="en-US"/>
        </w:rPr>
      </w:pPr>
      <w:r w:rsidRPr="008978BC">
        <w:rPr>
          <w:b/>
          <w:sz w:val="28"/>
          <w:lang w:val="en-US"/>
        </w:rPr>
        <w:t xml:space="preserve">Supplementary Material </w:t>
      </w:r>
    </w:p>
    <w:p w14:paraId="48174D25" w14:textId="7BA61348" w:rsidR="0009754F" w:rsidRDefault="00C32CE5" w:rsidP="0009754F">
      <w:pPr>
        <w:jc w:val="both"/>
      </w:pPr>
      <w:r w:rsidRPr="003F3592">
        <w:t xml:space="preserve">This file contains details </w:t>
      </w:r>
      <w:r w:rsidR="003F3592" w:rsidRPr="003F3592">
        <w:t xml:space="preserve">on influence of Auckland Volcanic Field </w:t>
      </w:r>
      <w:r w:rsidR="003E3D99">
        <w:t xml:space="preserve">spatial </w:t>
      </w:r>
      <w:r w:rsidR="003F3592" w:rsidRPr="003F3592">
        <w:t xml:space="preserve">vent location for weighting the evacuation </w:t>
      </w:r>
      <w:r w:rsidR="003F3592">
        <w:t>travel</w:t>
      </w:r>
      <w:r w:rsidR="003F3592" w:rsidRPr="003F3592">
        <w:t xml:space="preserve"> time. </w:t>
      </w:r>
    </w:p>
    <w:p w14:paraId="60569F6D" w14:textId="77777777" w:rsidR="0009754F" w:rsidRDefault="0009754F" w:rsidP="0009754F">
      <w:pPr>
        <w:jc w:val="both"/>
      </w:pPr>
    </w:p>
    <w:p w14:paraId="31E32D3F" w14:textId="4784AE16" w:rsidR="00D468DD" w:rsidRDefault="003F3592" w:rsidP="00D065CB">
      <w:pPr>
        <w:spacing w:after="120" w:line="360" w:lineRule="auto"/>
        <w:rPr>
          <w:b/>
          <w:bCs/>
          <w:u w:val="single"/>
          <w:lang w:val="en-US"/>
        </w:rPr>
      </w:pPr>
      <w:r>
        <w:rPr>
          <w:b/>
          <w:bCs/>
          <w:u w:val="single"/>
          <w:lang w:val="en-US"/>
        </w:rPr>
        <w:t>Methodology</w:t>
      </w:r>
    </w:p>
    <w:p w14:paraId="0B665903" w14:textId="499E6CA6" w:rsidR="003F3592" w:rsidRDefault="003F3592" w:rsidP="003F3592">
      <w:pPr>
        <w:jc w:val="both"/>
      </w:pPr>
      <w:r>
        <w:t xml:space="preserve">The presented methodology in the main paper has considered the clearance time as independent from the probability of the next AVF vent location, thereby assuming a uniform distribution of vent occurrence within the AVF </w:t>
      </w:r>
      <w:r>
        <w:fldChar w:fldCharType="begin"/>
      </w:r>
      <w:r>
        <w:instrText xml:space="preserve"> ADDIN ZOTERO_ITEM CSL_CITATION {"citationID":"4Vu6rA8H","properties":{"formattedCitation":"(Tomsen et al., 2014)","plainCitation":"(Tomsen et al., 2014)","noteIndex":0},"citationItems":[{"id":1343,"uris":["http://zotero.org/users/6576296/items/HPMGY54I"],"uri":["http://zotero.org/users/6576296/items/HPMGY54I"],"itemData":{"id":1343,"type":"article-journal","abstract":"Auckland is the largest city in New Zealand (pop. 1.5 million) and is situated atop an active monogenetic volcanic field. When volcanic activity next occurs, the most effective means of protecting the people who reside and work in the region will be to evacuate the danger zone prior to the eruption. This study investigates the evacuation demand throughout the Auckland Volcanic Field and the capacity of the transportation network to fulfil such a demand. Diurnal movements of the population are assessed and, due to the seemingly random pattern of eruptions in the past, a non-specific approach is adopted to determine spatial vulnerabilities at a micro-scale (neighbourhoods). We achieve this through the calculation of population-, household- and car-to-exit capacity ratios. Following an analysis of transportation hub functionality and the susceptibility of motorway bridges to a new eruption, modelling using dynamic route and traffic assignment was undertaken to determine various evacuation attributes at a macro-scale and forecast total network clearance times. Evacuation demand was found to be highly correlated to diurnal population movements and neighbourhood boundary types, a trend that was also evident in the evacuation capacity ratio results. Elevated population to evacuation capacity ratios occur during the day in and around the central city, and at night in many of the outlying suburbs. Low-mobility populations generally have better than average access to public transportation. Macro-scale vulnerability was far more contingent upon the destination of evacuees, with favourable results for evacuation within the region as opposed to outside the region. Clearance times for intra-regional evacuation ranged from one to nine hours, whereas those for inter-regional evacuation were found to be so high, that the results were unrealistic. Therefore, we conclude that, from a mobility standpoint, there is considerable merit to intra-regional evacuation.","container-title":"Journal of Applied Volcanology","DOI":"10.1186/2191-5040-3-6","ISSN":"2191-5040","issue":"6","page":"1-22","title":"Evacuation planning in the Auckland Volcanic Field, New Zealand: a spatio-temporal approach for emergency management and transportation network decisions","volume":"3","author":[{"family":"Tomsen","given":"Erik"},{"family":"Lindsay","given":"Jan M."},{"family":"Gahegan","given":"Mark"},{"family":"Wilson","given":"Thomas M."},{"family":"Blake","given":"Daniel M."}],"issued":{"date-parts":[["2014"]]}}}],"schema":"https://github.com/citation-style-language/schema/raw/master/csl-citation.json"} </w:instrText>
      </w:r>
      <w:r>
        <w:fldChar w:fldCharType="separate"/>
      </w:r>
      <w:r>
        <w:rPr>
          <w:noProof/>
        </w:rPr>
        <w:t>(Tomsen et al., 2014)</w:t>
      </w:r>
      <w:r>
        <w:fldChar w:fldCharType="end"/>
      </w:r>
      <w:r>
        <w:t xml:space="preserve">. However, there are a number of studies that have explored the spatial intensity for future vent locations in the AVF </w:t>
      </w:r>
      <w:r>
        <w:fldChar w:fldCharType="begin"/>
      </w:r>
      <w:r w:rsidR="00191D64">
        <w:instrText xml:space="preserve"> ADDIN ZOTERO_ITEM CSL_CITATION {"citationID":"OlLXb8pq","properties":{"formattedCitation":"(Bebbington, 2015, 2013; Bebbington and Cronin, 2011)","plainCitation":"(Bebbington, 2015, 2013; Bebbington and Cronin, 2011)","dontUpdate":true,"noteIndex":0},"citationItems":[{"id":"jz8vLYCK/tnTf2wIT","uris":["http://www.mendeley.com/documents/?uuid=ac9df7e8-3a63-4895-9658-a1b05928f6ee"],"uri":["http://www.mendeley.com/documents/?uuid=ac9df7e8-3a63-4895-9658-a1b05928f6ee"],"itemData":{"DOI":"10.1007/s00445-010-0403-6","ISBN":"0258-8900","ISSN":"02588900","abstract":"The Auckland Volcanic Field (AVF) with 49 eruptive centres in the last c. 250 ka presents many challenges to our understanding of distributed volcanic field construction and evolution. We re-examine the age constraints within the AVF and perform a correlation exercise matching the well-dated record of tephras from cores distributed throughout the field to the most likely source volcanoes, using thickness and location information and a simple attenuation model. Combining this augmented age information with known stratigraphic constraints, we produce a new age-order algorithm for the field, with errors incorporated using a Monte Carlo procedure. Analysis of the new age model discounts earlier appreciations of spatiotemporal clustering in the AVF. Instead the spatial and temporal aspects appear independent; hence the location of the last eruption provides no information about the next location. The temporal hazard intensity in the field has been highly variable, with over 63% of its centres formed in a high-intensity period between 40 and 20 ka. Another, smaller, high-intensity period may have occurred at the field onset, while the latest event, at 504±5 years B.P., erupted 50% of the entire field's volume. This emphasises the lack of steady-state behaviour that characterises the AVF, which may also be the case in longer-lived fields with a lower dating resolution. Spatial hazard intensity in the AVF under the new age model shows a strong NE-SW structural control of volcanism that may reflect deep-seated crustal or subduction zone processes and matches the orientation of the Taupo Volcanic Zone to the south.","author":[{"dropping-particle":"","family":"Bebbington","given":"Mark S.","non-dropping-particle":"","parse-names":false,"suffix":""},{"dropping-particle":"","family":"Cronin","given":"Shane J.","non-dropping-particle":"","parse-names":false,"suffix":""}],"container-title":"Bulletin of Volcanology","id":"CXvu7kUl/qiZHE4JT","issue":"1","issued":{"date-parts":[["2011","9"]]},"page":"55-72","title":"Spatio-temporal hazard estimation in the Auckland Volcanic Field, New Zealand, with a new event-order model","type":"article-journal","volume":"73"}},{"id":"jz8vLYCK/lvSecsVp","uris":["http://zotero.org/users/6576296/items/QS7Y7VU7"],"uri":["http://zotero.org/users/6576296/items/QS7Y7VU7"],"itemData":{"id":341,"type":"article-journal","abstract":"Many spatio-temporal models have been proposed for forecasting the location and timing of the next eruption in a monogenetic volcanic field. These have almost invariably been fitted retrospectively. That is, the model has been tuned to all of the data, and hence an assessment of the goodness of fit has not been carried out on independent data. The low rate of eruptions in monogenetic fields means that there is not the opportunity to carry out a purely prospective test, as thousands of years would be required to accumulate the necessary data. This leaves open the possibility of a retrospective sequential test, where the parameters are calculated only on the basis of prior events and the resulting forecast compared statistically with the location and time of the next eruption. In general, events in volcanic fields are not dated with sufficient accuracy and precision to pursue this line of investigation; An exception is the Auckland Volcanic Field (New Zealand), consisting of c. 50 centers formed during the last c. 250. kyr, for which an age-order model exists in the form of a Monte Carlo sampling algorithm, facilitating repeated sequential testing. I examine a suite of spatial, temporal and spatio-temporal hazard models, comparing the degree of fit, and attempt to draw lessons from how and where each model is particularly successful or unsuccessful. A relatively simple (independent) combination of a renewal model (temporal term) and a spatially uniform ellipse (spatial term) performs as well as any other model. Both avoid over fitting the data, and hence large errors, when the spatio-temporal occurrence pattern changes. © 2012 Elsevier B.V..","container-title":"Journal of Volcanology and Geothermal Research","DOI":"10.1016/j.jvolgeores.2012.11.010","note":"publisher: Elsevier B.V.","page":"14-28","title":"Assessing spatio-temporal eruption forecasts in a monogenetic volcanic field","volume":"252","author":[{"family":"Bebbington","given":"Mark S."}],"issued":{"date-parts":[["2013"]]}}},{"id":"jz8vLYCK/uNEEYqXl","uris":["http://www.mendeley.com/documents/?uuid=e3f7e787-c198-4fe2-9f9a-47d4b5cfad49"],"uri":["http://www.mendeley.com/documents/?uuid=e3f7e787-c198-4fe2-9f9a-47d4b5cfad49"],"itemData":{"DOI":"10.1007/s00445-015-0921-3","ISSN":"14320819","abstract":"The idea of a volcanic field 'boundary' is prevalent in the literature, but ill-defined at best. We use the elliptically constrained vents in the Auckland Volcanic Field to examine how spatial intensity models can be tested to assess whether they are consistent with such features. A means of modifying the anisotropic Gaussian kernel density estimate to reflect the existence of a 'hard' boundary is then suggested, and the result shown to reproduce the observed elliptical distribution. A new idea, that of a spatio-volumetric model, is introduced as being more relevant to hazard in a monogenetic volcanic field than the spatiotemporal hazard model due to the low temporal rates in volcanic fields. Significant dependencies between the locations and erupted volumes of the observed centres are deduced, and expressed in the form of a spatially-varying probability density. In the future, larger volumes are to be expected in the 'gaps' between existing centres, with the location of the greatest forecast volume lying in the shipping channel between Rangitoto and Castor Bay. The results argue for tectonic control over location and magmatic control over erupted volume. The spatio-volumetric model is consistent with the hypothesis of a flat elliptical area in the mantle where tensional stresses, related to the local tectonics and geology, allow decompressional melting.","author":[{"dropping-particle":"","family":"Bebbington","given":"Mark S.","non-dropping-particle":"","parse-names":false,"suffix":""}],"container-title":"Bulletin of Volcanology","id":"CXvu7kUl/8qt0ca4s","issue":"5","issued":{"date-parts":[["2015"]]},"title":"Spatio-volumetric hazard estimation in the Auckland volcanic field","type":"article-journal","volume":"77"}}],"schema":"https://github.com/citation-style-language/schema/raw/master/csl-citation.json"} </w:instrText>
      </w:r>
      <w:r>
        <w:fldChar w:fldCharType="separate"/>
      </w:r>
      <w:r>
        <w:rPr>
          <w:noProof/>
        </w:rPr>
        <w:t>(Bebbington, 201</w:t>
      </w:r>
      <w:r w:rsidR="00B26DC3">
        <w:rPr>
          <w:noProof/>
        </w:rPr>
        <w:t>3</w:t>
      </w:r>
      <w:r>
        <w:rPr>
          <w:noProof/>
        </w:rPr>
        <w:t>, 201</w:t>
      </w:r>
      <w:r w:rsidR="00B26DC3">
        <w:rPr>
          <w:noProof/>
        </w:rPr>
        <w:t>5</w:t>
      </w:r>
      <w:r>
        <w:rPr>
          <w:noProof/>
        </w:rPr>
        <w:t>; Bebbington and Cronin, 2011)</w:t>
      </w:r>
      <w:r>
        <w:fldChar w:fldCharType="end"/>
      </w:r>
      <w:r>
        <w:t>. By considering the likely next vent location, the sensitivity of the clearance times to the vent location can be reviewed. For this study, six different spatial intensity models for assessing the AVF vent locations are applied (</w:t>
      </w:r>
      <w:r w:rsidR="008145A9">
        <w:t>Figure 1</w:t>
      </w:r>
      <w:r>
        <w:t>). Each of these models are translations of the original published model with respect to the presented boundary of the AVF for this study</w:t>
      </w:r>
      <w:r w:rsidR="00191D64">
        <w:t xml:space="preserve"> </w:t>
      </w:r>
      <w:r w:rsidR="00191D64">
        <w:fldChar w:fldCharType="begin"/>
      </w:r>
      <w:r w:rsidR="00191D64">
        <w:instrText xml:space="preserve"> ADDIN ZOTERO_ITEM CSL_CITATION {"citationID":"VMekPtjQ","properties":{"formattedCitation":"(Runge et al., 2015)","plainCitation":"(Runge et al., 2015)","noteIndex":0},"citationItems":[{"id":1236,"uris":["http://zotero.org/users/6576296/items/7FJTKLAM"],"uri":["http://zotero.org/users/6576296/items/7FJTKLAM"],"itemData":{"id":1236,"type":"article-journal","container-title":"Journal of Applied Volcanology","DOI":"10.1186/s13617-015-0040-z","issue":"1","note":"publisher: Journal of Applied Volcanology","page":"22-22","title":"Sensitivity to volcanic field boundary","volume":"4","author":[{"family":"Runge","given":"Melody G."},{"family":"Bebbington","given":"Mark S."},{"family":"Cronin","given":"Shane J."},{"family":"Lindsay","given":"Jan M."},{"family":"Moufti","given":"Mohammed Rashad"}],"issued":{"date-parts":[["2015"]]}}}],"schema":"https://github.com/citation-style-language/schema/raw/master/csl-citation.json"} </w:instrText>
      </w:r>
      <w:r w:rsidR="00191D64">
        <w:fldChar w:fldCharType="separate"/>
      </w:r>
      <w:r w:rsidR="00191D64">
        <w:rPr>
          <w:noProof/>
        </w:rPr>
        <w:t>from Runge et al. (2015)</w:t>
      </w:r>
      <w:r w:rsidR="00191D64">
        <w:fldChar w:fldCharType="end"/>
      </w:r>
      <w:r>
        <w:t xml:space="preserve">. </w:t>
      </w:r>
    </w:p>
    <w:p w14:paraId="7071865A" w14:textId="77777777" w:rsidR="003F3592" w:rsidRDefault="003F3592" w:rsidP="003F3592">
      <w:pPr>
        <w:jc w:val="both"/>
      </w:pPr>
    </w:p>
    <w:p w14:paraId="78590D76" w14:textId="608AFEFF" w:rsidR="003F3592" w:rsidRDefault="003F3592" w:rsidP="00AB015F">
      <w:pPr>
        <w:jc w:val="both"/>
      </w:pPr>
      <w:r>
        <w:t>Each of these models are examined with respect to the evacuation travel time (</w:t>
      </w:r>
      <w:proofErr w:type="spellStart"/>
      <w:r w:rsidRPr="000A118C">
        <w:rPr>
          <w:i/>
          <w:iCs/>
          <w:color w:val="000000" w:themeColor="text1"/>
          <w:lang w:eastAsia="en-GB"/>
        </w:rPr>
        <w:t>t</w:t>
      </w:r>
      <w:r w:rsidRPr="000A118C">
        <w:rPr>
          <w:i/>
          <w:iCs/>
          <w:color w:val="000000" w:themeColor="text1"/>
          <w:vertAlign w:val="subscript"/>
          <w:lang w:eastAsia="en-GB"/>
        </w:rPr>
        <w:t>E</w:t>
      </w:r>
      <w:proofErr w:type="spellEnd"/>
      <w:r>
        <w:t xml:space="preserve">) </w:t>
      </w:r>
      <w:r w:rsidR="00AB015F">
        <w:t>following the same methodology as that present in the main paper</w:t>
      </w:r>
      <w:r>
        <w:t xml:space="preserve"> to assess how the vent likelihood changes the travel time distributions across the AVF. </w:t>
      </w:r>
    </w:p>
    <w:p w14:paraId="4F6555F3" w14:textId="77777777" w:rsidR="0009754F" w:rsidRDefault="0009754F" w:rsidP="00AB015F">
      <w:pPr>
        <w:jc w:val="both"/>
      </w:pPr>
    </w:p>
    <w:p w14:paraId="74C163CF" w14:textId="667DF1C5" w:rsidR="003F3592" w:rsidRDefault="003F3592" w:rsidP="00D065CB">
      <w:pPr>
        <w:spacing w:after="120" w:line="360" w:lineRule="auto"/>
        <w:rPr>
          <w:b/>
          <w:bCs/>
          <w:u w:val="single"/>
          <w:lang w:val="en-US"/>
        </w:rPr>
      </w:pPr>
      <w:r>
        <w:rPr>
          <w:b/>
          <w:bCs/>
          <w:u w:val="single"/>
          <w:lang w:val="en-US"/>
        </w:rPr>
        <w:t>Results</w:t>
      </w:r>
    </w:p>
    <w:p w14:paraId="39B4C479" w14:textId="5BBEAF5C" w:rsidR="003F3592" w:rsidRDefault="003F3592" w:rsidP="003F3592">
      <w:pPr>
        <w:jc w:val="both"/>
        <w:rPr>
          <w:lang w:eastAsia="en-GB"/>
        </w:rPr>
      </w:pPr>
      <w:r>
        <w:t>As the evacuation travel time (</w:t>
      </w:r>
      <w:proofErr w:type="spellStart"/>
      <w:r w:rsidRPr="000A118C">
        <w:rPr>
          <w:i/>
          <w:iCs/>
          <w:color w:val="000000" w:themeColor="text1"/>
          <w:lang w:eastAsia="en-GB"/>
        </w:rPr>
        <w:t>t</w:t>
      </w:r>
      <w:r w:rsidRPr="000A118C">
        <w:rPr>
          <w:i/>
          <w:iCs/>
          <w:color w:val="000000" w:themeColor="text1"/>
          <w:vertAlign w:val="subscript"/>
          <w:lang w:eastAsia="en-GB"/>
        </w:rPr>
        <w:t>E</w:t>
      </w:r>
      <w:proofErr w:type="spellEnd"/>
      <w:r>
        <w:t>) is the only temporal element of the evacuation clearance time that is spatially dependent, only these values are reviewed with respect to the spatial vent model</w:t>
      </w:r>
      <w:r>
        <w:rPr>
          <w:lang w:eastAsia="en-GB"/>
        </w:rPr>
        <w:t>. By assessing the likelihood of a vent in a given location erupting, the distribution of evacuation clearance times and population of evacuees with vehicles can be re-examined (</w:t>
      </w:r>
      <w:r w:rsidR="008145A9">
        <w:rPr>
          <w:lang w:eastAsia="en-GB"/>
        </w:rPr>
        <w:t xml:space="preserve">Table 1 and Figure 2). </w:t>
      </w:r>
      <w:r>
        <w:rPr>
          <w:lang w:eastAsia="en-GB"/>
        </w:rPr>
        <w:t xml:space="preserve">The travel time distributions for each of the spatial vent models are generally stochastically less than those for the uniform vent distribution. While the non-uniform spatial models show a higher likelihood of erupting in the densely populated areas, these areas have sufficient evacuation routes, resulting in a reduction in expected travel time, in at least four of the six spatial models. Clearance times for all the spatial vent models show a secondary peak at the lower end, indicating a greater than uniform potential for a future vent to form in an area which results in minimal travel times. For all the spatial vent models, considering no vent uncertainty, vents occurring in more than 90% of the AVF would result in evacuation travel times of less than 1.5 hours. Consider the distribution of the population without vehicles based on the spatial vent likelihood, we can identify the probable transport support requirements for a future event. All of the different spatial vent models show a greater expected number of people requiring public transport compared to the uniform distribution. </w:t>
      </w:r>
    </w:p>
    <w:p w14:paraId="66E223E1" w14:textId="77777777" w:rsidR="003F3592" w:rsidRDefault="003F3592" w:rsidP="003F3592">
      <w:pPr>
        <w:jc w:val="both"/>
        <w:rPr>
          <w:lang w:eastAsia="en-GB"/>
        </w:rPr>
      </w:pPr>
    </w:p>
    <w:p w14:paraId="2C72585D" w14:textId="61DC292A" w:rsidR="003F3592" w:rsidRPr="008145A9" w:rsidRDefault="008145A9" w:rsidP="008145A9">
      <w:pPr>
        <w:jc w:val="both"/>
      </w:pPr>
      <w:r>
        <w:t xml:space="preserve">Table 2 </w:t>
      </w:r>
      <w:r w:rsidR="003F3592">
        <w:t xml:space="preserve">and </w:t>
      </w:r>
      <w:r>
        <w:t xml:space="preserve">Figure 3 </w:t>
      </w:r>
      <w:r w:rsidR="003F3592">
        <w:t>repeat the above exercise, but consider vent uncertainty buffers of</w:t>
      </w:r>
      <w:r w:rsidR="003F3592" w:rsidRPr="00593B30">
        <w:t xml:space="preserve"> 5 and 10 km. In both cases, all the spatial models had a greater 50th and 90th percentile travel time compared to that of the uniform distribution. So with a large buffer, the benefits of more evacuation routes diminishes due to the geography of the isthmus, while the higher expected number to be evacuated remains.</w:t>
      </w:r>
    </w:p>
    <w:p w14:paraId="09EA1F52" w14:textId="77FD4135" w:rsidR="003F3592" w:rsidRDefault="003F3592" w:rsidP="00D065CB">
      <w:pPr>
        <w:spacing w:after="120" w:line="360" w:lineRule="auto"/>
        <w:rPr>
          <w:b/>
          <w:bCs/>
          <w:u w:val="single"/>
          <w:lang w:val="en-US"/>
        </w:rPr>
      </w:pPr>
      <w:r>
        <w:rPr>
          <w:b/>
          <w:bCs/>
          <w:noProof/>
          <w:u w:val="single"/>
          <w:lang w:val="en-US"/>
        </w:rPr>
        <w:lastRenderedPageBreak/>
        <w:drawing>
          <wp:inline distT="0" distB="0" distL="0" distR="0" wp14:anchorId="49BB98CC" wp14:editId="5FE51857">
            <wp:extent cx="5727700" cy="5180965"/>
            <wp:effectExtent l="0" t="0" r="0" b="635"/>
            <wp:docPr id="7" name="Picture 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10;&#10;Description automatically generated"/>
                    <pic:cNvPicPr/>
                  </pic:nvPicPr>
                  <pic:blipFill>
                    <a:blip r:embed="rId5">
                      <a:extLst>
                        <a:ext uri="{28A0092B-C50C-407E-A947-70E740481C1C}">
                          <a14:useLocalDpi xmlns:a14="http://schemas.microsoft.com/office/drawing/2010/main" val="0"/>
                        </a:ext>
                      </a:extLst>
                    </a:blip>
                    <a:stretch>
                      <a:fillRect/>
                    </a:stretch>
                  </pic:blipFill>
                  <pic:spPr>
                    <a:xfrm>
                      <a:off x="0" y="0"/>
                      <a:ext cx="5727700" cy="5180965"/>
                    </a:xfrm>
                    <a:prstGeom prst="rect">
                      <a:avLst/>
                    </a:prstGeom>
                  </pic:spPr>
                </pic:pic>
              </a:graphicData>
            </a:graphic>
          </wp:inline>
        </w:drawing>
      </w:r>
    </w:p>
    <w:p w14:paraId="1FCE81DF" w14:textId="559CB1E5" w:rsidR="003F3592" w:rsidRDefault="003F3592" w:rsidP="003F3592">
      <w:pPr>
        <w:pStyle w:val="Caption"/>
        <w:rPr>
          <w:rFonts w:cs="Times New Roman"/>
          <w:i w:val="0"/>
          <w:color w:val="000000" w:themeColor="text1"/>
          <w:sz w:val="20"/>
          <w:szCs w:val="13"/>
        </w:rPr>
      </w:pPr>
      <w:r w:rsidRPr="00B90366">
        <w:rPr>
          <w:rFonts w:cs="Times New Roman"/>
          <w:b/>
          <w:bCs/>
          <w:i w:val="0"/>
          <w:color w:val="000000" w:themeColor="text1"/>
          <w:sz w:val="20"/>
          <w:szCs w:val="13"/>
        </w:rPr>
        <w:t xml:space="preserve">Figure </w:t>
      </w:r>
      <w:r w:rsidRPr="00B90366">
        <w:rPr>
          <w:rFonts w:cs="Times New Roman"/>
          <w:b/>
          <w:bCs/>
          <w:i w:val="0"/>
          <w:color w:val="000000" w:themeColor="text1"/>
          <w:sz w:val="20"/>
          <w:szCs w:val="13"/>
        </w:rPr>
        <w:fldChar w:fldCharType="begin"/>
      </w:r>
      <w:r w:rsidRPr="00B90366">
        <w:rPr>
          <w:rFonts w:cs="Times New Roman"/>
          <w:b/>
          <w:bCs/>
          <w:i w:val="0"/>
          <w:color w:val="000000" w:themeColor="text1"/>
          <w:sz w:val="20"/>
          <w:szCs w:val="13"/>
        </w:rPr>
        <w:instrText xml:space="preserve"> SEQ Figure \* ARABIC </w:instrText>
      </w:r>
      <w:r w:rsidRPr="00B90366">
        <w:rPr>
          <w:rFonts w:cs="Times New Roman"/>
          <w:b/>
          <w:bCs/>
          <w:i w:val="0"/>
          <w:color w:val="000000" w:themeColor="text1"/>
          <w:sz w:val="20"/>
          <w:szCs w:val="13"/>
        </w:rPr>
        <w:fldChar w:fldCharType="separate"/>
      </w:r>
      <w:r w:rsidR="006F5979">
        <w:rPr>
          <w:rFonts w:cs="Times New Roman"/>
          <w:b/>
          <w:bCs/>
          <w:i w:val="0"/>
          <w:noProof/>
          <w:color w:val="000000" w:themeColor="text1"/>
          <w:sz w:val="20"/>
          <w:szCs w:val="13"/>
        </w:rPr>
        <w:t>1</w:t>
      </w:r>
      <w:r w:rsidRPr="00B90366">
        <w:rPr>
          <w:rFonts w:cs="Times New Roman"/>
          <w:b/>
          <w:bCs/>
          <w:i w:val="0"/>
          <w:color w:val="000000" w:themeColor="text1"/>
          <w:sz w:val="20"/>
          <w:szCs w:val="13"/>
        </w:rPr>
        <w:fldChar w:fldCharType="end"/>
      </w:r>
      <w:r w:rsidRPr="00B90366">
        <w:rPr>
          <w:rFonts w:cs="Times New Roman"/>
          <w:b/>
          <w:bCs/>
          <w:i w:val="0"/>
          <w:color w:val="000000" w:themeColor="text1"/>
          <w:sz w:val="20"/>
          <w:szCs w:val="13"/>
        </w:rPr>
        <w:t xml:space="preserve"> </w:t>
      </w:r>
      <w:r>
        <w:rPr>
          <w:rFonts w:cs="Times New Roman"/>
          <w:i w:val="0"/>
          <w:color w:val="000000" w:themeColor="text1"/>
          <w:sz w:val="20"/>
          <w:szCs w:val="13"/>
        </w:rPr>
        <w:t xml:space="preserve">Spatial intensity hazard models for the AVF considered within this study. (A) </w:t>
      </w:r>
      <w:r w:rsidRPr="00D74955">
        <w:rPr>
          <w:rFonts w:cs="Times New Roman"/>
          <w:i w:val="0"/>
          <w:color w:val="000000" w:themeColor="text1"/>
          <w:sz w:val="20"/>
          <w:szCs w:val="13"/>
        </w:rPr>
        <w:t xml:space="preserve">A </w:t>
      </w:r>
      <w:r>
        <w:rPr>
          <w:rFonts w:cs="Times New Roman"/>
          <w:i w:val="0"/>
          <w:color w:val="000000" w:themeColor="text1"/>
          <w:sz w:val="20"/>
          <w:szCs w:val="13"/>
        </w:rPr>
        <w:t>kernel density</w:t>
      </w:r>
      <w:r w:rsidRPr="00D74955">
        <w:rPr>
          <w:rFonts w:cs="Times New Roman"/>
          <w:i w:val="0"/>
          <w:color w:val="000000" w:themeColor="text1"/>
          <w:sz w:val="20"/>
          <w:szCs w:val="13"/>
        </w:rPr>
        <w:t xml:space="preserve"> estimate model using least squares cross-validation (LSCV) from </w:t>
      </w:r>
      <w:r w:rsidRPr="00D74955">
        <w:rPr>
          <w:rFonts w:cs="Times New Roman"/>
          <w:i w:val="0"/>
          <w:color w:val="000000" w:themeColor="text1"/>
          <w:sz w:val="20"/>
          <w:szCs w:val="13"/>
        </w:rPr>
        <w:fldChar w:fldCharType="begin"/>
      </w:r>
      <w:r w:rsidR="00191D64">
        <w:rPr>
          <w:rFonts w:cs="Times New Roman"/>
          <w:i w:val="0"/>
          <w:color w:val="000000" w:themeColor="text1"/>
          <w:sz w:val="20"/>
          <w:szCs w:val="13"/>
        </w:rPr>
        <w:instrText xml:space="preserve"> ADDIN ZOTERO_ITEM CSL_CITATION {"citationID":"yXnRuftJ","properties":{"formattedCitation":"(Bebbington and Cronin, 2011)","plainCitation":"(Bebbington and Cronin, 2011)","noteIndex":0},"citationItems":[{"id":"jz8vLYCK/tnTf2wIT","uris":["http://www.mendeley.com/documents/?uuid=ac9df7e8-3a63-4895-9658-a1b05928f6ee"],"uri":["http://www.mendeley.com/documents/?uuid=ac9df7e8-3a63-4895-9658-a1b05928f6ee"],"itemData":{"DOI":"10.1007/s00445-010-0403-6","ISBN":"0258-8900","ISSN":"02588900","abstract":"The Auckland Volcanic Field (AVF) with 49 eruptive centres in the last c. 250 ka presents many challenges to our understanding of distributed volcanic field construction and evolution. We re-examine the age constraints within the AVF and perform a correlation exercise matching the well-dated record of tephras from cores distributed throughout the field to the most likely source volcanoes, using thickness and location information and a simple attenuation model. Combining this augmented age information with known stratigraphic constraints, we produce a new age-order algorithm for the field, with errors incorporated using a Monte Carlo procedure. Analysis of the new age model discounts earlier appreciations of spatiotemporal clustering in the AVF. Instead the spatial and temporal aspects appear independent; hence the location of the last eruption provides no information about the next location. The temporal hazard intensity in the field has been highly variable, with over 63% of its centres formed in a high-intensity period between 40 and 20 ka. Another, smaller, high-intensity period may have occurred at the field onset, while the latest event, at 504±5 years B.P., erupted 50% of the entire field's volume. This emphasises the lack of steady-state behaviour that characterises the AVF, which may also be the case in longer-lived fields with a lower dating resolution. Spatial hazard intensity in the AVF under the new age model shows a strong NE-SW structural control of volcanism that may reflect deep-seated crustal or subduction zone processes and matches the orientation of the Taupo Volcanic Zone to the south.","author":[{"dropping-particle":"","family":"Bebbington","given":"Mark S.","non-dropping-particle":"","parse-names":false,"suffix":""},{"dropping-particle":"","family":"Cronin","given":"Shane J.","non-dropping-particle":"","parse-names":false,"suffix":""}],"container-title":"Bulletin of Volcanology","id":"0iqPqqSY/TL7dZMRC","issue":"1","issued":{"date-parts":[["2011","9"]]},"page":"55-72","title":"Spatio-temporal hazard estimation in the Auckland Volcanic Field, New Zealand, with a new event-order model","type":"article-journal","volume":"73"}}],"schema":"https://github.com/citation-style-language/schema/raw/master/csl-citation.json"} </w:instrText>
      </w:r>
      <w:r w:rsidRPr="00D74955">
        <w:rPr>
          <w:rFonts w:cs="Times New Roman"/>
          <w:i w:val="0"/>
          <w:color w:val="000000" w:themeColor="text1"/>
          <w:sz w:val="20"/>
          <w:szCs w:val="13"/>
        </w:rPr>
        <w:fldChar w:fldCharType="separate"/>
      </w:r>
      <w:r>
        <w:rPr>
          <w:rFonts w:cs="Times New Roman"/>
          <w:i w:val="0"/>
          <w:color w:val="000000" w:themeColor="text1"/>
          <w:sz w:val="20"/>
          <w:szCs w:val="13"/>
        </w:rPr>
        <w:t>(Bebbington and Cronin, 2011)</w:t>
      </w:r>
      <w:r w:rsidRPr="00D74955">
        <w:rPr>
          <w:rFonts w:cs="Times New Roman"/>
          <w:i w:val="0"/>
          <w:color w:val="000000" w:themeColor="text1"/>
          <w:sz w:val="20"/>
          <w:szCs w:val="13"/>
        </w:rPr>
        <w:fldChar w:fldCharType="end"/>
      </w:r>
      <w:r w:rsidRPr="00D74955">
        <w:rPr>
          <w:rFonts w:cs="Times New Roman"/>
          <w:i w:val="0"/>
          <w:color w:val="000000" w:themeColor="text1"/>
          <w:sz w:val="20"/>
          <w:szCs w:val="13"/>
        </w:rPr>
        <w:t xml:space="preserve">. (B) Gaussian anisotropic kernel LSCV from </w:t>
      </w:r>
      <w:r w:rsidRPr="00D74955">
        <w:rPr>
          <w:rFonts w:cs="Times New Roman"/>
          <w:i w:val="0"/>
          <w:color w:val="000000" w:themeColor="text1"/>
          <w:sz w:val="20"/>
          <w:szCs w:val="13"/>
        </w:rPr>
        <w:fldChar w:fldCharType="begin"/>
      </w:r>
      <w:r w:rsidR="00191D64">
        <w:rPr>
          <w:rFonts w:cs="Times New Roman"/>
          <w:i w:val="0"/>
          <w:color w:val="000000" w:themeColor="text1"/>
          <w:sz w:val="20"/>
          <w:szCs w:val="13"/>
        </w:rPr>
        <w:instrText xml:space="preserve"> ADDIN ZOTERO_ITEM CSL_CITATION {"citationID":"lfW3VAPG","properties":{"formattedCitation":"(Bebbington 2013)","plainCitation":"(Bebbington 2013)","dontUpdate":true,"noteIndex":0},"citationItems":[{"id":"jz8vLYCK/lvSecsVp","uris":["http://zotero.org/users/6576296/items/QS7Y7VU7"],"uri":["http://zotero.org/users/6576296/items/QS7Y7VU7"],"itemData":{"id":341,"type":"article-journal","abstract":"Many spatio-temporal models have been proposed for forecasting the location and timing of the next eruption in a monogenetic volcanic field. These have almost invariably been fitted retrospectively. That is, the model has been tuned to all of the data, and hence an assessment of the goodness of fit has not been carried out on independent data. The low rate of eruptions in monogenetic fields means that there is not the opportunity to carry out a purely prospective test, as thousands of years would be required to accumulate the necessary data. This leaves open the possibility of a retrospective sequential test, where the parameters are calculated only on the basis of prior events and the resulting forecast compared statistically with the location and time of the next eruption. In general, events in volcanic fields are not dated with sufficient accuracy and precision to pursue this line of investigation; An exception is the Auckland Volcanic Field (New Zealand), consisting of c. 50 centers formed during the last c. 250. kyr, for which an age-order model exists in the form of a Monte Carlo sampling algorithm, facilitating repeated sequential testing. I examine a suite of spatial, temporal and spatio-temporal hazard models, comparing the degree of fit, and attempt to draw lessons from how and where each model is particularly successful or unsuccessful. A relatively simple (independent) combination of a renewal model (temporal term) and a spatially uniform ellipse (spatial term) performs as well as any other model. Both avoid over fitting the data, and hence large errors, when the spatio-temporal occurrence pattern changes. © 2012 Elsevier B.V..","container-title":"Journal of Volcanology and Geothermal Research","DOI":"10.1016/j.jvolgeores.2012.11.010","note":"publisher: Elsevier B.V.","page":"14-28","title":"Assessing spatio-temporal eruption forecasts in a monogenetic volcanic field","volume":"252","author":[{"family":"Bebbington","given":"Mark S."}],"issued":{"date-parts":[["2013"]]}}}],"schema":"https://github.com/citation-style-language/schema/raw/master/csl-citation.json"} </w:instrText>
      </w:r>
      <w:r w:rsidRPr="00D74955">
        <w:rPr>
          <w:rFonts w:cs="Times New Roman"/>
          <w:i w:val="0"/>
          <w:color w:val="000000" w:themeColor="text1"/>
          <w:sz w:val="20"/>
          <w:szCs w:val="13"/>
        </w:rPr>
        <w:fldChar w:fldCharType="separate"/>
      </w:r>
      <w:r w:rsidRPr="00D74955">
        <w:rPr>
          <w:rFonts w:cs="Times New Roman"/>
          <w:i w:val="0"/>
          <w:color w:val="000000" w:themeColor="text1"/>
          <w:sz w:val="20"/>
          <w:szCs w:val="13"/>
        </w:rPr>
        <w:t>Bebbington (2013)</w:t>
      </w:r>
      <w:r w:rsidRPr="00D74955">
        <w:rPr>
          <w:rFonts w:cs="Times New Roman"/>
          <w:i w:val="0"/>
          <w:color w:val="000000" w:themeColor="text1"/>
          <w:sz w:val="20"/>
          <w:szCs w:val="13"/>
        </w:rPr>
        <w:fldChar w:fldCharType="end"/>
      </w:r>
      <w:r w:rsidRPr="00D74955">
        <w:rPr>
          <w:rFonts w:cs="Times New Roman"/>
          <w:i w:val="0"/>
          <w:color w:val="000000" w:themeColor="text1"/>
          <w:sz w:val="20"/>
          <w:szCs w:val="13"/>
        </w:rPr>
        <w:t xml:space="preserve">. (C) Gaussian anisotropic kernel sum of asymptotic mean squared error (SAMSE) from </w:t>
      </w:r>
      <w:r w:rsidRPr="00D74955">
        <w:rPr>
          <w:rFonts w:cs="Times New Roman"/>
          <w:i w:val="0"/>
          <w:color w:val="000000" w:themeColor="text1"/>
          <w:sz w:val="20"/>
          <w:szCs w:val="13"/>
        </w:rPr>
        <w:fldChar w:fldCharType="begin"/>
      </w:r>
      <w:r w:rsidR="00191D64">
        <w:rPr>
          <w:rFonts w:cs="Times New Roman"/>
          <w:i w:val="0"/>
          <w:color w:val="000000" w:themeColor="text1"/>
          <w:sz w:val="20"/>
          <w:szCs w:val="13"/>
        </w:rPr>
        <w:instrText xml:space="preserve"> ADDIN ZOTERO_ITEM CSL_CITATION {"citationID":"w0XnPu5W","properties":{"formattedCitation":"(Bebbington 2013)","plainCitation":"(Bebbington 2013)","dontUpdate":true,"noteIndex":0},"citationItems":[{"id":"jz8vLYCK/lvSecsVp","uris":["http://zotero.org/users/6576296/items/QS7Y7VU7"],"uri":["http://zotero.org/users/6576296/items/QS7Y7VU7"],"itemData":{"id":341,"type":"article-journal","abstract":"Many spatio-temporal models have been proposed for forecasting the location and timing of the next eruption in a monogenetic volcanic field. These have almost invariably been fitted retrospectively. That is, the model has been tuned to all of the data, and hence an assessment of the goodness of fit has not been carried out on independent data. The low rate of eruptions in monogenetic fields means that there is not the opportunity to carry out a purely prospective test, as thousands of years would be required to accumulate the necessary data. This leaves open the possibility of a retrospective sequential test, where the parameters are calculated only on the basis of prior events and the resulting forecast compared statistically with the location and time of the next eruption. In general, events in volcanic fields are not dated with sufficient accuracy and precision to pursue this line of investigation; An exception is the Auckland Volcanic Field (New Zealand), consisting of c. 50 centers formed during the last c. 250. kyr, for which an age-order model exists in the form of a Monte Carlo sampling algorithm, facilitating repeated sequential testing. I examine a suite of spatial, temporal and spatio-temporal hazard models, comparing the degree of fit, and attempt to draw lessons from how and where each model is particularly successful or unsuccessful. A relatively simple (independent) combination of a renewal model (temporal term) and a spatially uniform ellipse (spatial term) performs as well as any other model. Both avoid over fitting the data, and hence large errors, when the spatio-temporal occurrence pattern changes. © 2012 Elsevier B.V..","container-title":"Journal of Volcanology and Geothermal Research","DOI":"10.1016/j.jvolgeores.2012.11.010","note":"publisher: Elsevier B.V.","page":"14-28","title":"Assessing spatio-temporal eruption forecasts in a monogenetic volcanic field","volume":"252","author":[{"family":"Bebbington","given":"Mark S."}],"issued":{"date-parts":[["2013"]]}}}],"schema":"https://github.com/citation-style-language/schema/raw/master/csl-citation.json"} </w:instrText>
      </w:r>
      <w:r w:rsidRPr="00D74955">
        <w:rPr>
          <w:rFonts w:cs="Times New Roman"/>
          <w:i w:val="0"/>
          <w:color w:val="000000" w:themeColor="text1"/>
          <w:sz w:val="20"/>
          <w:szCs w:val="13"/>
        </w:rPr>
        <w:fldChar w:fldCharType="separate"/>
      </w:r>
      <w:r w:rsidRPr="00D74955">
        <w:rPr>
          <w:rFonts w:cs="Times New Roman"/>
          <w:i w:val="0"/>
          <w:color w:val="000000" w:themeColor="text1"/>
          <w:sz w:val="20"/>
          <w:szCs w:val="13"/>
        </w:rPr>
        <w:t>Bebbington (2013)</w:t>
      </w:r>
      <w:r w:rsidRPr="00D74955">
        <w:rPr>
          <w:rFonts w:cs="Times New Roman"/>
          <w:i w:val="0"/>
          <w:color w:val="000000" w:themeColor="text1"/>
          <w:sz w:val="20"/>
          <w:szCs w:val="13"/>
        </w:rPr>
        <w:fldChar w:fldCharType="end"/>
      </w:r>
      <w:r w:rsidRPr="00D74955">
        <w:rPr>
          <w:rFonts w:cs="Times New Roman"/>
          <w:i w:val="0"/>
          <w:color w:val="000000" w:themeColor="text1"/>
          <w:sz w:val="20"/>
          <w:szCs w:val="13"/>
        </w:rPr>
        <w:t xml:space="preserve">. (D) A </w:t>
      </w:r>
      <w:proofErr w:type="spellStart"/>
      <w:r w:rsidRPr="00D74955">
        <w:rPr>
          <w:rFonts w:cs="Times New Roman"/>
          <w:i w:val="0"/>
          <w:color w:val="000000" w:themeColor="text1"/>
          <w:sz w:val="20"/>
          <w:szCs w:val="13"/>
        </w:rPr>
        <w:t>spati</w:t>
      </w:r>
      <w:r>
        <w:rPr>
          <w:rFonts w:cs="Times New Roman"/>
          <w:i w:val="0"/>
          <w:color w:val="000000" w:themeColor="text1"/>
          <w:sz w:val="20"/>
          <w:szCs w:val="13"/>
        </w:rPr>
        <w:t>o</w:t>
      </w:r>
      <w:proofErr w:type="spellEnd"/>
      <w:r>
        <w:rPr>
          <w:rFonts w:cs="Times New Roman"/>
          <w:i w:val="0"/>
          <w:color w:val="000000" w:themeColor="text1"/>
          <w:sz w:val="20"/>
          <w:szCs w:val="13"/>
        </w:rPr>
        <w:t>-</w:t>
      </w:r>
      <w:r w:rsidRPr="00D74955">
        <w:rPr>
          <w:rFonts w:cs="Times New Roman"/>
          <w:i w:val="0"/>
          <w:color w:val="000000" w:themeColor="text1"/>
          <w:sz w:val="20"/>
          <w:szCs w:val="13"/>
        </w:rPr>
        <w:t xml:space="preserve">temporal model </w:t>
      </w:r>
      <w:r w:rsidRPr="00D74955">
        <w:rPr>
          <w:rFonts w:cs="Times New Roman"/>
          <w:i w:val="0"/>
          <w:color w:val="000000" w:themeColor="text1"/>
          <w:sz w:val="20"/>
          <w:szCs w:val="13"/>
        </w:rPr>
        <w:fldChar w:fldCharType="begin"/>
      </w:r>
      <w:r>
        <w:rPr>
          <w:rFonts w:cs="Times New Roman"/>
          <w:i w:val="0"/>
          <w:color w:val="000000" w:themeColor="text1"/>
          <w:sz w:val="20"/>
          <w:szCs w:val="13"/>
        </w:rPr>
        <w:instrText xml:space="preserve"> ADDIN ZOTERO_ITEM CSL_CITATION {"citationID":"WObjLsKA","properties":{"formattedCitation":"(Connor and Hill, 1995)","plainCitation":"(Connor and Hill, 1995)","noteIndex":0},"citationItems":[{"id":338,"uris":["http://zotero.org/users/6576296/items/G3FRIHH8"],"uri":["http://zotero.org/users/6576296/items/G3FRIHH8"],"itemData":{"id":338,"type":"article-journal","container-title":"Journal of Geophysical Research: Solid Earth","issue":"B6","note":"publisher: Wiley Online Library","page":"10107-10125","title":"Three nonhomogeneous Poisson models for the probability of basaltic volcanism: application to the Yucca Mountain region, Nevada","volume":"100","author":[{"family":"Connor","given":"Charles B"},{"family":"Hill","given":"Brittain E"}],"issued":{"date-parts":[["1995"]]}}}],"schema":"https://github.com/citation-style-language/schema/raw/master/csl-citation.json"} </w:instrText>
      </w:r>
      <w:r w:rsidRPr="00D74955">
        <w:rPr>
          <w:rFonts w:cs="Times New Roman"/>
          <w:i w:val="0"/>
          <w:color w:val="000000" w:themeColor="text1"/>
          <w:sz w:val="20"/>
          <w:szCs w:val="13"/>
        </w:rPr>
        <w:fldChar w:fldCharType="separate"/>
      </w:r>
      <w:r>
        <w:rPr>
          <w:rFonts w:cs="Times New Roman"/>
          <w:i w:val="0"/>
          <w:color w:val="000000" w:themeColor="text1"/>
          <w:sz w:val="20"/>
          <w:szCs w:val="13"/>
        </w:rPr>
        <w:t>(Connor and Hill, 1995)</w:t>
      </w:r>
      <w:r w:rsidRPr="00D74955">
        <w:rPr>
          <w:rFonts w:cs="Times New Roman"/>
          <w:i w:val="0"/>
          <w:color w:val="000000" w:themeColor="text1"/>
          <w:sz w:val="20"/>
          <w:szCs w:val="13"/>
        </w:rPr>
        <w:fldChar w:fldCharType="end"/>
      </w:r>
      <w:r w:rsidRPr="00D74955">
        <w:rPr>
          <w:rFonts w:cs="Times New Roman"/>
          <w:i w:val="0"/>
          <w:color w:val="000000" w:themeColor="text1"/>
          <w:sz w:val="20"/>
          <w:szCs w:val="13"/>
        </w:rPr>
        <w:t xml:space="preserve"> for the AVF from </w:t>
      </w:r>
      <w:r w:rsidRPr="00D74955">
        <w:rPr>
          <w:rFonts w:cs="Times New Roman"/>
          <w:i w:val="0"/>
          <w:color w:val="000000" w:themeColor="text1"/>
          <w:sz w:val="20"/>
          <w:szCs w:val="13"/>
        </w:rPr>
        <w:fldChar w:fldCharType="begin"/>
      </w:r>
      <w:r w:rsidR="00191D64">
        <w:rPr>
          <w:rFonts w:cs="Times New Roman"/>
          <w:i w:val="0"/>
          <w:color w:val="000000" w:themeColor="text1"/>
          <w:sz w:val="20"/>
          <w:szCs w:val="13"/>
        </w:rPr>
        <w:instrText xml:space="preserve"> ADDIN ZOTERO_ITEM CSL_CITATION {"citationID":"0cjw2PdY","properties":{"formattedCitation":"(Bebbington 2013)","plainCitation":"(Bebbington 2013)","dontUpdate":true,"noteIndex":0},"citationItems":[{"id":"jz8vLYCK/lvSecsVp","uris":["http://zotero.org/users/6576296/items/QS7Y7VU7"],"uri":["http://zotero.org/users/6576296/items/QS7Y7VU7"],"itemData":{"id":341,"type":"article-journal","abstract":"Many spatio-temporal models have been proposed for forecasting the location and timing of the next eruption in a monogenetic volcanic field. These have almost invariably been fitted retrospectively. That is, the model has been tuned to all of the data, and hence an assessment of the goodness of fit has not been carried out on independent data. The low rate of eruptions in monogenetic fields means that there is not the opportunity to carry out a purely prospective test, as thousands of years would be required to accumulate the necessary data. This leaves open the possibility of a retrospective sequential test, where the parameters are calculated only on the basis of prior events and the resulting forecast compared statistically with the location and time of the next eruption. In general, events in volcanic fields are not dated with sufficient accuracy and precision to pursue this line of investigation; An exception is the Auckland Volcanic Field (New Zealand), consisting of c. 50 centers formed during the last c. 250. kyr, for which an age-order model exists in the form of a Monte Carlo sampling algorithm, facilitating repeated sequential testing. I examine a suite of spatial, temporal and spatio-temporal hazard models, comparing the degree of fit, and attempt to draw lessons from how and where each model is particularly successful or unsuccessful. A relatively simple (independent) combination of a renewal model (temporal term) and a spatially uniform ellipse (spatial term) performs as well as any other model. Both avoid over fitting the data, and hence large errors, when the spatio-temporal occurrence pattern changes. © 2012 Elsevier B.V..","container-title":"Journal of Volcanology and Geothermal Research","DOI":"10.1016/j.jvolgeores.2012.11.010","note":"publisher: Elsevier B.V.","page":"14-28","title":"Assessing spatio-temporal eruption forecasts in a monogenetic volcanic field","volume":"252","author":[{"family":"Bebbington","given":"Mark S."}],"issued":{"date-parts":[["2013"]]}}}],"schema":"https://github.com/citation-style-language/schema/raw/master/csl-citation.json"} </w:instrText>
      </w:r>
      <w:r w:rsidRPr="00D74955">
        <w:rPr>
          <w:rFonts w:cs="Times New Roman"/>
          <w:i w:val="0"/>
          <w:color w:val="000000" w:themeColor="text1"/>
          <w:sz w:val="20"/>
          <w:szCs w:val="13"/>
        </w:rPr>
        <w:fldChar w:fldCharType="separate"/>
      </w:r>
      <w:r w:rsidRPr="00D74955">
        <w:rPr>
          <w:rFonts w:cs="Times New Roman"/>
          <w:i w:val="0"/>
          <w:color w:val="000000" w:themeColor="text1"/>
          <w:sz w:val="20"/>
          <w:szCs w:val="13"/>
        </w:rPr>
        <w:t>Bebbington (2013)</w:t>
      </w:r>
      <w:r w:rsidRPr="00D74955">
        <w:rPr>
          <w:rFonts w:cs="Times New Roman"/>
          <w:i w:val="0"/>
          <w:color w:val="000000" w:themeColor="text1"/>
          <w:sz w:val="20"/>
          <w:szCs w:val="13"/>
        </w:rPr>
        <w:fldChar w:fldCharType="end"/>
      </w:r>
      <w:r w:rsidRPr="00D74955">
        <w:rPr>
          <w:rFonts w:cs="Times New Roman"/>
          <w:i w:val="0"/>
          <w:color w:val="000000" w:themeColor="text1"/>
          <w:sz w:val="20"/>
          <w:szCs w:val="13"/>
        </w:rPr>
        <w:t>. (E) An LSCV optima from a bounded Gaussian anisotropic kernel</w:t>
      </w:r>
      <w:r>
        <w:rPr>
          <w:rFonts w:cs="Times New Roman"/>
          <w:i w:val="0"/>
          <w:color w:val="000000" w:themeColor="text1"/>
          <w:sz w:val="20"/>
          <w:szCs w:val="13"/>
        </w:rPr>
        <w:t xml:space="preserve"> with </w:t>
      </w:r>
      <w:r w:rsidRPr="00BE2D5F">
        <w:rPr>
          <w:rFonts w:cs="Times New Roman"/>
          <w:i w:val="0"/>
          <w:color w:val="000000" w:themeColor="text1"/>
          <w:sz w:val="20"/>
          <w:szCs w:val="13"/>
        </w:rPr>
        <w:t>elliptical boundary emphasis</w:t>
      </w:r>
      <w:r w:rsidRPr="00D74955">
        <w:rPr>
          <w:rFonts w:cs="Times New Roman"/>
          <w:i w:val="0"/>
          <w:color w:val="000000" w:themeColor="text1"/>
          <w:sz w:val="20"/>
          <w:szCs w:val="13"/>
        </w:rPr>
        <w:t xml:space="preserve"> from </w:t>
      </w:r>
      <w:r w:rsidRPr="00D74955">
        <w:rPr>
          <w:rFonts w:cs="Times New Roman"/>
          <w:i w:val="0"/>
          <w:color w:val="000000" w:themeColor="text1"/>
          <w:sz w:val="20"/>
          <w:szCs w:val="13"/>
        </w:rPr>
        <w:fldChar w:fldCharType="begin"/>
      </w:r>
      <w:r w:rsidR="00191D64">
        <w:rPr>
          <w:rFonts w:cs="Times New Roman"/>
          <w:i w:val="0"/>
          <w:color w:val="000000" w:themeColor="text1"/>
          <w:sz w:val="20"/>
          <w:szCs w:val="13"/>
        </w:rPr>
        <w:instrText xml:space="preserve"> ADDIN ZOTERO_ITEM CSL_CITATION {"citationID":"itTiWT5c","properties":{"formattedCitation":"(Bebbington 2015)","plainCitation":"(Bebbington 2015)","dontUpdate":true,"noteIndex":0},"citationItems":[{"id":"jz8vLYCK/uNEEYqXl","uris":["http://www.mendeley.com/documents/?uuid=e3f7e787-c198-4fe2-9f9a-47d4b5cfad49"],"uri":["http://www.mendeley.com/documents/?uuid=e3f7e787-c198-4fe2-9f9a-47d4b5cfad49"],"itemData":{"DOI":"10.1007/s00445-015-0921-3","ISSN":"14320819","abstract":"The idea of a volcanic field 'boundary' is prevalent in the literature, but ill-defined at best. We use the elliptically constrained vents in the Auckland Volcanic Field to examine how spatial intensity models can be tested to assess whether they are consistent with such features. A means of modifying the anisotropic Gaussian kernel density estimate to reflect the existence of a 'hard' boundary is then suggested, and the result shown to reproduce the observed elliptical distribution. A new idea, that of a spatio-volumetric model, is introduced as being more relevant to hazard in a monogenetic volcanic field than the spatiotemporal hazard model due to the low temporal rates in volcanic fields. Significant dependencies between the locations and erupted volumes of the observed centres are deduced, and expressed in the form of a spatially-varying probability density. In the future, larger volumes are to be expected in the 'gaps' between existing centres, with the location of the greatest forecast volume lying in the shipping channel between Rangitoto and Castor Bay. The results argue for tectonic control over location and magmatic control over erupted volume. The spatio-volumetric model is consistent with the hypothesis of a flat elliptical area in the mantle where tensional stresses, related to the local tectonics and geology, allow decompressional melting.","author":[{"dropping-particle":"","family":"Bebbington","given":"Mark S.","non-dropping-particle":"","parse-names":false,"suffix":""}],"container-title":"Bulletin of Volcanology","id":"0iqPqqSY/pbR2uTNR","issue":"5","issued":{"date-parts":[["2015"]]},"title":"Spatio-volumetric hazard estimation in the Auckland volcanic field","type":"article-journal","volume":"77"}}],"schema":"https://github.com/citation-style-language/schema/raw/master/csl-citation.json"} </w:instrText>
      </w:r>
      <w:r w:rsidRPr="00D74955">
        <w:rPr>
          <w:rFonts w:cs="Times New Roman"/>
          <w:i w:val="0"/>
          <w:color w:val="000000" w:themeColor="text1"/>
          <w:sz w:val="20"/>
          <w:szCs w:val="13"/>
        </w:rPr>
        <w:fldChar w:fldCharType="separate"/>
      </w:r>
      <w:r w:rsidRPr="00D74955">
        <w:rPr>
          <w:rFonts w:cs="Times New Roman"/>
          <w:i w:val="0"/>
          <w:color w:val="000000" w:themeColor="text1"/>
          <w:sz w:val="20"/>
          <w:szCs w:val="13"/>
        </w:rPr>
        <w:t>Bebbington (2015)</w:t>
      </w:r>
      <w:r w:rsidRPr="00D74955">
        <w:rPr>
          <w:rFonts w:cs="Times New Roman"/>
          <w:i w:val="0"/>
          <w:color w:val="000000" w:themeColor="text1"/>
          <w:sz w:val="20"/>
          <w:szCs w:val="13"/>
        </w:rPr>
        <w:fldChar w:fldCharType="end"/>
      </w:r>
      <w:r w:rsidRPr="00D74955">
        <w:rPr>
          <w:rFonts w:cs="Times New Roman"/>
          <w:i w:val="0"/>
          <w:color w:val="000000" w:themeColor="text1"/>
          <w:sz w:val="20"/>
          <w:szCs w:val="13"/>
        </w:rPr>
        <w:t xml:space="preserve">. (F) An </w:t>
      </w:r>
      <w:r>
        <w:rPr>
          <w:rFonts w:cs="Times New Roman"/>
          <w:i w:val="0"/>
          <w:color w:val="000000" w:themeColor="text1"/>
          <w:sz w:val="20"/>
          <w:szCs w:val="13"/>
        </w:rPr>
        <w:t xml:space="preserve">alternative </w:t>
      </w:r>
      <w:r w:rsidRPr="00D74955">
        <w:rPr>
          <w:rFonts w:cs="Times New Roman"/>
          <w:i w:val="0"/>
          <w:color w:val="000000" w:themeColor="text1"/>
          <w:sz w:val="20"/>
          <w:szCs w:val="13"/>
        </w:rPr>
        <w:t xml:space="preserve">LSCV optima from a bounded Gaussian anisotropic kernel </w:t>
      </w:r>
      <w:r>
        <w:rPr>
          <w:rFonts w:cs="Times New Roman"/>
          <w:i w:val="0"/>
          <w:color w:val="000000" w:themeColor="text1"/>
          <w:sz w:val="20"/>
          <w:szCs w:val="13"/>
        </w:rPr>
        <w:t>with i</w:t>
      </w:r>
      <w:r w:rsidRPr="00BE2D5F">
        <w:rPr>
          <w:rFonts w:cs="Times New Roman"/>
          <w:i w:val="0"/>
          <w:color w:val="000000" w:themeColor="text1"/>
          <w:sz w:val="20"/>
          <w:szCs w:val="13"/>
        </w:rPr>
        <w:t>nter-vent clustering emphasis</w:t>
      </w:r>
      <w:r>
        <w:rPr>
          <w:rFonts w:cs="Times New Roman"/>
          <w:i w:val="0"/>
          <w:color w:val="000000" w:themeColor="text1"/>
          <w:sz w:val="20"/>
          <w:szCs w:val="13"/>
        </w:rPr>
        <w:t xml:space="preserve"> </w:t>
      </w:r>
      <w:r w:rsidRPr="00D74955">
        <w:rPr>
          <w:rFonts w:cs="Times New Roman"/>
          <w:i w:val="0"/>
          <w:color w:val="000000" w:themeColor="text1"/>
          <w:sz w:val="20"/>
          <w:szCs w:val="13"/>
        </w:rPr>
        <w:t xml:space="preserve">from </w:t>
      </w:r>
      <w:r w:rsidRPr="00D74955">
        <w:rPr>
          <w:rFonts w:cs="Times New Roman"/>
          <w:i w:val="0"/>
          <w:color w:val="000000" w:themeColor="text1"/>
          <w:sz w:val="20"/>
          <w:szCs w:val="13"/>
        </w:rPr>
        <w:fldChar w:fldCharType="begin"/>
      </w:r>
      <w:r w:rsidR="00191D64">
        <w:rPr>
          <w:rFonts w:cs="Times New Roman"/>
          <w:i w:val="0"/>
          <w:color w:val="000000" w:themeColor="text1"/>
          <w:sz w:val="20"/>
          <w:szCs w:val="13"/>
        </w:rPr>
        <w:instrText xml:space="preserve"> ADDIN ZOTERO_ITEM CSL_CITATION {"citationID":"96tcAZGa","properties":{"formattedCitation":"(Bebbington 2015)","plainCitation":"(Bebbington 2015)","dontUpdate":true,"noteIndex":0},"citationItems":[{"id":"jz8vLYCK/uNEEYqXl","uris":["http://www.mendeley.com/documents/?uuid=e3f7e787-c198-4fe2-9f9a-47d4b5cfad49"],"uri":["http://www.mendeley.com/documents/?uuid=e3f7e787-c198-4fe2-9f9a-47d4b5cfad49"],"itemData":{"DOI":"10.1007/s00445-015-0921-3","ISSN":"14320819","abstract":"The idea of a volcanic field 'boundary' is prevalent in the literature, but ill-defined at best. We use the elliptically constrained vents in the Auckland Volcanic Field to examine how spatial intensity models can be tested to assess whether they are consistent with such features. A means of modifying the anisotropic Gaussian kernel density estimate to reflect the existence of a 'hard' boundary is then suggested, and the result shown to reproduce the observed elliptical distribution. A new idea, that of a spatio-volumetric model, is introduced as being more relevant to hazard in a monogenetic volcanic field than the spatiotemporal hazard model due to the low temporal rates in volcanic fields. Significant dependencies between the locations and erupted volumes of the observed centres are deduced, and expressed in the form of a spatially-varying probability density. In the future, larger volumes are to be expected in the 'gaps' between existing centres, with the location of the greatest forecast volume lying in the shipping channel between Rangitoto and Castor Bay. The results argue for tectonic control over location and magmatic control over erupted volume. The spatio-volumetric model is consistent with the hypothesis of a flat elliptical area in the mantle where tensional stresses, related to the local tectonics and geology, allow decompressional melting.","author":[{"dropping-particle":"","family":"Bebbington","given":"Mark S.","non-dropping-particle":"","parse-names":false,"suffix":""}],"container-title":"Bulletin of Volcanology","id":"0iqPqqSY/pbR2uTNR","issue":"5","issued":{"date-parts":[["2015"]]},"title":"Spatio-volumetric hazard estimation in the Auckland volcanic field","type":"article-journal","volume":"77"}}],"schema":"https://github.com/citation-style-language/schema/raw/master/csl-citation.json"} </w:instrText>
      </w:r>
      <w:r w:rsidRPr="00D74955">
        <w:rPr>
          <w:rFonts w:cs="Times New Roman"/>
          <w:i w:val="0"/>
          <w:color w:val="000000" w:themeColor="text1"/>
          <w:sz w:val="20"/>
          <w:szCs w:val="13"/>
        </w:rPr>
        <w:fldChar w:fldCharType="separate"/>
      </w:r>
      <w:r w:rsidRPr="00D74955">
        <w:rPr>
          <w:rFonts w:cs="Times New Roman"/>
          <w:i w:val="0"/>
          <w:color w:val="000000" w:themeColor="text1"/>
          <w:sz w:val="20"/>
          <w:szCs w:val="13"/>
        </w:rPr>
        <w:t>Bebbington (2015)</w:t>
      </w:r>
      <w:r w:rsidRPr="00D74955">
        <w:rPr>
          <w:rFonts w:cs="Times New Roman"/>
          <w:i w:val="0"/>
          <w:color w:val="000000" w:themeColor="text1"/>
          <w:sz w:val="20"/>
          <w:szCs w:val="13"/>
        </w:rPr>
        <w:fldChar w:fldCharType="end"/>
      </w:r>
      <w:r>
        <w:rPr>
          <w:rFonts w:cs="Times New Roman"/>
          <w:i w:val="0"/>
          <w:color w:val="000000" w:themeColor="text1"/>
          <w:sz w:val="20"/>
          <w:szCs w:val="13"/>
        </w:rPr>
        <w:t>.</w:t>
      </w:r>
    </w:p>
    <w:p w14:paraId="5BDF3AFC" w14:textId="77777777" w:rsidR="008145A9" w:rsidRDefault="008145A9" w:rsidP="00AB015F">
      <w:pPr>
        <w:pStyle w:val="Caption"/>
        <w:rPr>
          <w:rFonts w:cs="Times New Roman"/>
          <w:i w:val="0"/>
          <w:color w:val="000000" w:themeColor="text1"/>
          <w:sz w:val="20"/>
          <w:szCs w:val="13"/>
        </w:rPr>
      </w:pPr>
    </w:p>
    <w:p w14:paraId="352B42EA" w14:textId="77777777" w:rsidR="008145A9" w:rsidRDefault="008145A9" w:rsidP="00AB015F">
      <w:pPr>
        <w:pStyle w:val="Caption"/>
        <w:rPr>
          <w:rFonts w:cs="Times New Roman"/>
          <w:b/>
          <w:bCs/>
          <w:i w:val="0"/>
          <w:color w:val="000000" w:themeColor="text1"/>
          <w:sz w:val="20"/>
          <w:szCs w:val="13"/>
        </w:rPr>
      </w:pPr>
    </w:p>
    <w:p w14:paraId="0438F390" w14:textId="77777777" w:rsidR="008145A9" w:rsidRDefault="008145A9" w:rsidP="00AB015F">
      <w:pPr>
        <w:pStyle w:val="Caption"/>
        <w:rPr>
          <w:rFonts w:cs="Times New Roman"/>
          <w:b/>
          <w:bCs/>
          <w:i w:val="0"/>
          <w:color w:val="000000" w:themeColor="text1"/>
          <w:sz w:val="20"/>
          <w:szCs w:val="13"/>
        </w:rPr>
      </w:pPr>
    </w:p>
    <w:p w14:paraId="33724DA5" w14:textId="77777777" w:rsidR="008145A9" w:rsidRDefault="008145A9" w:rsidP="00AB015F">
      <w:pPr>
        <w:pStyle w:val="Caption"/>
        <w:rPr>
          <w:rFonts w:cs="Times New Roman"/>
          <w:b/>
          <w:bCs/>
          <w:i w:val="0"/>
          <w:color w:val="000000" w:themeColor="text1"/>
          <w:sz w:val="20"/>
          <w:szCs w:val="13"/>
        </w:rPr>
      </w:pPr>
    </w:p>
    <w:p w14:paraId="4690E273" w14:textId="77777777" w:rsidR="008145A9" w:rsidRDefault="008145A9" w:rsidP="00AB015F">
      <w:pPr>
        <w:pStyle w:val="Caption"/>
        <w:rPr>
          <w:rFonts w:cs="Times New Roman"/>
          <w:b/>
          <w:bCs/>
          <w:i w:val="0"/>
          <w:color w:val="000000" w:themeColor="text1"/>
          <w:sz w:val="20"/>
          <w:szCs w:val="13"/>
        </w:rPr>
      </w:pPr>
    </w:p>
    <w:p w14:paraId="3A9596D6" w14:textId="670DEEED" w:rsidR="00AB015F" w:rsidRPr="003D37AE" w:rsidRDefault="00AB015F" w:rsidP="00AB015F">
      <w:pPr>
        <w:pStyle w:val="Caption"/>
        <w:rPr>
          <w:rFonts w:cs="Times New Roman"/>
          <w:i w:val="0"/>
          <w:color w:val="000000" w:themeColor="text1"/>
          <w:sz w:val="20"/>
          <w:szCs w:val="13"/>
        </w:rPr>
      </w:pPr>
      <w:r w:rsidRPr="002850E3">
        <w:rPr>
          <w:rFonts w:cs="Times New Roman"/>
          <w:b/>
          <w:bCs/>
          <w:i w:val="0"/>
          <w:color w:val="000000" w:themeColor="text1"/>
          <w:sz w:val="20"/>
          <w:szCs w:val="13"/>
        </w:rPr>
        <w:lastRenderedPageBreak/>
        <w:t xml:space="preserve">Table </w:t>
      </w:r>
      <w:r w:rsidRPr="002850E3">
        <w:rPr>
          <w:rFonts w:cs="Times New Roman"/>
          <w:b/>
          <w:bCs/>
          <w:i w:val="0"/>
          <w:color w:val="000000" w:themeColor="text1"/>
          <w:sz w:val="20"/>
          <w:szCs w:val="13"/>
        </w:rPr>
        <w:fldChar w:fldCharType="begin"/>
      </w:r>
      <w:r w:rsidRPr="002850E3">
        <w:rPr>
          <w:rFonts w:cs="Times New Roman"/>
          <w:b/>
          <w:bCs/>
          <w:i w:val="0"/>
          <w:color w:val="000000" w:themeColor="text1"/>
          <w:sz w:val="20"/>
          <w:szCs w:val="13"/>
        </w:rPr>
        <w:instrText xml:space="preserve"> SEQ Table \* ARABIC </w:instrText>
      </w:r>
      <w:r w:rsidRPr="002850E3">
        <w:rPr>
          <w:rFonts w:cs="Times New Roman"/>
          <w:b/>
          <w:bCs/>
          <w:i w:val="0"/>
          <w:color w:val="000000" w:themeColor="text1"/>
          <w:sz w:val="20"/>
          <w:szCs w:val="13"/>
        </w:rPr>
        <w:fldChar w:fldCharType="separate"/>
      </w:r>
      <w:r w:rsidR="006F5979">
        <w:rPr>
          <w:rFonts w:cs="Times New Roman"/>
          <w:b/>
          <w:bCs/>
          <w:i w:val="0"/>
          <w:noProof/>
          <w:color w:val="000000" w:themeColor="text1"/>
          <w:sz w:val="20"/>
          <w:szCs w:val="13"/>
        </w:rPr>
        <w:t>1</w:t>
      </w:r>
      <w:r w:rsidRPr="002850E3">
        <w:rPr>
          <w:rFonts w:cs="Times New Roman"/>
          <w:b/>
          <w:bCs/>
          <w:i w:val="0"/>
          <w:color w:val="000000" w:themeColor="text1"/>
          <w:sz w:val="20"/>
          <w:szCs w:val="13"/>
        </w:rPr>
        <w:fldChar w:fldCharType="end"/>
      </w:r>
      <w:r w:rsidRPr="002850E3">
        <w:rPr>
          <w:rFonts w:cs="Times New Roman"/>
          <w:b/>
          <w:bCs/>
          <w:i w:val="0"/>
          <w:color w:val="000000" w:themeColor="text1"/>
          <w:sz w:val="20"/>
          <w:szCs w:val="13"/>
        </w:rPr>
        <w:t xml:space="preserve"> </w:t>
      </w:r>
      <w:r w:rsidRPr="00AD382B">
        <w:rPr>
          <w:rFonts w:cs="Times New Roman"/>
          <w:i w:val="0"/>
          <w:color w:val="000000" w:themeColor="text1"/>
          <w:sz w:val="20"/>
          <w:szCs w:val="13"/>
        </w:rPr>
        <w:t xml:space="preserve">Evacuation </w:t>
      </w:r>
      <w:r>
        <w:rPr>
          <w:rFonts w:cs="Times New Roman"/>
          <w:i w:val="0"/>
          <w:color w:val="000000" w:themeColor="text1"/>
          <w:sz w:val="20"/>
          <w:szCs w:val="13"/>
        </w:rPr>
        <w:t>travel</w:t>
      </w:r>
      <w:r w:rsidRPr="00AD382B">
        <w:rPr>
          <w:rFonts w:cs="Times New Roman"/>
          <w:i w:val="0"/>
          <w:color w:val="000000" w:themeColor="text1"/>
          <w:sz w:val="20"/>
          <w:szCs w:val="13"/>
        </w:rPr>
        <w:t xml:space="preserve"> times distribution for various AVF spatial vent location models</w:t>
      </w:r>
      <w:r>
        <w:rPr>
          <w:rFonts w:cs="Times New Roman"/>
          <w:i w:val="0"/>
          <w:color w:val="000000" w:themeColor="text1"/>
          <w:sz w:val="20"/>
          <w:szCs w:val="13"/>
        </w:rPr>
        <w:t>. These times are for clearing the combined evacuation zone (PEZ+SEZ) with vent uncertainty buffer distance set to 0km.</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4253"/>
        <w:gridCol w:w="1559"/>
        <w:gridCol w:w="1559"/>
        <w:gridCol w:w="1564"/>
      </w:tblGrid>
      <w:tr w:rsidR="00AB015F" w14:paraId="1BC4FE60" w14:textId="77777777" w:rsidTr="00A06763">
        <w:trPr>
          <w:trHeight w:val="379"/>
        </w:trPr>
        <w:tc>
          <w:tcPr>
            <w:tcW w:w="4253" w:type="dxa"/>
            <w:vMerge w:val="restart"/>
            <w:vAlign w:val="center"/>
          </w:tcPr>
          <w:p w14:paraId="17C85E45" w14:textId="77777777" w:rsidR="00AB015F" w:rsidRDefault="00AB015F" w:rsidP="00A06763">
            <w:pPr>
              <w:jc w:val="both"/>
              <w:rPr>
                <w:b/>
                <w:bCs/>
                <w:sz w:val="20"/>
                <w:szCs w:val="18"/>
              </w:rPr>
            </w:pPr>
            <w:r>
              <w:rPr>
                <w:b/>
                <w:bCs/>
                <w:sz w:val="20"/>
                <w:szCs w:val="18"/>
              </w:rPr>
              <w:t>Spatial vent location AVF model</w:t>
            </w:r>
          </w:p>
        </w:tc>
        <w:tc>
          <w:tcPr>
            <w:tcW w:w="4682" w:type="dxa"/>
            <w:gridSpan w:val="3"/>
            <w:vAlign w:val="center"/>
          </w:tcPr>
          <w:p w14:paraId="7CD53E53" w14:textId="77777777" w:rsidR="00AB015F" w:rsidRPr="00135A46" w:rsidRDefault="00AB015F" w:rsidP="00A06763">
            <w:pPr>
              <w:jc w:val="both"/>
              <w:rPr>
                <w:b/>
                <w:bCs/>
                <w:sz w:val="20"/>
                <w:szCs w:val="18"/>
              </w:rPr>
            </w:pPr>
            <w:r>
              <w:rPr>
                <w:b/>
                <w:bCs/>
                <w:sz w:val="20"/>
                <w:szCs w:val="18"/>
              </w:rPr>
              <w:t xml:space="preserve">Evacuation travel times (hours – 2 </w:t>
            </w:r>
            <w:proofErr w:type="spellStart"/>
            <w:r>
              <w:rPr>
                <w:b/>
                <w:bCs/>
                <w:sz w:val="20"/>
                <w:szCs w:val="18"/>
              </w:rPr>
              <w:t>dp</w:t>
            </w:r>
            <w:proofErr w:type="spellEnd"/>
            <w:r>
              <w:rPr>
                <w:b/>
                <w:bCs/>
                <w:sz w:val="20"/>
                <w:szCs w:val="18"/>
              </w:rPr>
              <w:t>)</w:t>
            </w:r>
          </w:p>
        </w:tc>
      </w:tr>
      <w:tr w:rsidR="00AB015F" w14:paraId="710554C2" w14:textId="77777777" w:rsidTr="00A06763">
        <w:trPr>
          <w:trHeight w:val="285"/>
        </w:trPr>
        <w:tc>
          <w:tcPr>
            <w:tcW w:w="4253" w:type="dxa"/>
            <w:vMerge/>
            <w:vAlign w:val="center"/>
          </w:tcPr>
          <w:p w14:paraId="6F5F650A" w14:textId="77777777" w:rsidR="00AB015F" w:rsidRPr="00135A46" w:rsidRDefault="00AB015F" w:rsidP="00A06763">
            <w:pPr>
              <w:jc w:val="both"/>
              <w:rPr>
                <w:b/>
                <w:bCs/>
                <w:sz w:val="20"/>
                <w:szCs w:val="18"/>
              </w:rPr>
            </w:pPr>
          </w:p>
        </w:tc>
        <w:tc>
          <w:tcPr>
            <w:tcW w:w="1559" w:type="dxa"/>
            <w:vAlign w:val="center"/>
          </w:tcPr>
          <w:p w14:paraId="39B42B5E" w14:textId="77777777" w:rsidR="00AB015F" w:rsidRPr="00135A46" w:rsidRDefault="00AB015F" w:rsidP="00A06763">
            <w:pPr>
              <w:jc w:val="both"/>
              <w:rPr>
                <w:b/>
                <w:bCs/>
                <w:sz w:val="20"/>
                <w:szCs w:val="18"/>
              </w:rPr>
            </w:pPr>
            <w:r w:rsidRPr="00135A46">
              <w:rPr>
                <w:b/>
                <w:bCs/>
                <w:sz w:val="20"/>
                <w:szCs w:val="18"/>
              </w:rPr>
              <w:t>10</w:t>
            </w:r>
            <w:r w:rsidRPr="00135A46">
              <w:rPr>
                <w:b/>
                <w:bCs/>
                <w:sz w:val="20"/>
                <w:szCs w:val="18"/>
                <w:vertAlign w:val="superscript"/>
              </w:rPr>
              <w:t>th</w:t>
            </w:r>
            <w:r w:rsidRPr="00135A46">
              <w:rPr>
                <w:b/>
                <w:bCs/>
                <w:sz w:val="20"/>
                <w:szCs w:val="18"/>
              </w:rPr>
              <w:t xml:space="preserve"> percentile</w:t>
            </w:r>
          </w:p>
        </w:tc>
        <w:tc>
          <w:tcPr>
            <w:tcW w:w="1559" w:type="dxa"/>
            <w:vAlign w:val="center"/>
          </w:tcPr>
          <w:p w14:paraId="4FF07D01" w14:textId="77777777" w:rsidR="00AB015F" w:rsidRPr="00135A46" w:rsidRDefault="00AB015F" w:rsidP="00A06763">
            <w:pPr>
              <w:jc w:val="both"/>
              <w:rPr>
                <w:b/>
                <w:bCs/>
                <w:sz w:val="20"/>
                <w:szCs w:val="18"/>
              </w:rPr>
            </w:pPr>
            <w:r w:rsidRPr="00135A46">
              <w:rPr>
                <w:b/>
                <w:bCs/>
                <w:sz w:val="20"/>
                <w:szCs w:val="18"/>
              </w:rPr>
              <w:t>50</w:t>
            </w:r>
            <w:r w:rsidRPr="00135A46">
              <w:rPr>
                <w:b/>
                <w:bCs/>
                <w:sz w:val="20"/>
                <w:szCs w:val="18"/>
                <w:vertAlign w:val="superscript"/>
              </w:rPr>
              <w:t>th</w:t>
            </w:r>
            <w:r w:rsidRPr="00135A46">
              <w:rPr>
                <w:b/>
                <w:bCs/>
                <w:sz w:val="20"/>
                <w:szCs w:val="18"/>
              </w:rPr>
              <w:t xml:space="preserve"> percentile</w:t>
            </w:r>
          </w:p>
        </w:tc>
        <w:tc>
          <w:tcPr>
            <w:tcW w:w="1564" w:type="dxa"/>
            <w:vAlign w:val="center"/>
          </w:tcPr>
          <w:p w14:paraId="57F8709E" w14:textId="77777777" w:rsidR="00AB015F" w:rsidRPr="00135A46" w:rsidRDefault="00AB015F" w:rsidP="00A06763">
            <w:pPr>
              <w:jc w:val="both"/>
              <w:rPr>
                <w:b/>
                <w:bCs/>
                <w:sz w:val="20"/>
                <w:szCs w:val="18"/>
              </w:rPr>
            </w:pPr>
            <w:r w:rsidRPr="00135A46">
              <w:rPr>
                <w:b/>
                <w:bCs/>
                <w:sz w:val="20"/>
                <w:szCs w:val="18"/>
              </w:rPr>
              <w:t>90</w:t>
            </w:r>
            <w:r w:rsidRPr="00135A46">
              <w:rPr>
                <w:b/>
                <w:bCs/>
                <w:sz w:val="20"/>
                <w:szCs w:val="18"/>
                <w:vertAlign w:val="superscript"/>
              </w:rPr>
              <w:t>th</w:t>
            </w:r>
            <w:r w:rsidRPr="00135A46">
              <w:rPr>
                <w:b/>
                <w:bCs/>
                <w:sz w:val="20"/>
                <w:szCs w:val="18"/>
              </w:rPr>
              <w:t xml:space="preserve"> percentile</w:t>
            </w:r>
          </w:p>
        </w:tc>
      </w:tr>
      <w:tr w:rsidR="00AB015F" w14:paraId="37E04782" w14:textId="77777777" w:rsidTr="00A06763">
        <w:trPr>
          <w:trHeight w:val="252"/>
        </w:trPr>
        <w:tc>
          <w:tcPr>
            <w:tcW w:w="4253" w:type="dxa"/>
          </w:tcPr>
          <w:p w14:paraId="74917DE0" w14:textId="77777777" w:rsidR="00AB015F" w:rsidRPr="00135A46" w:rsidRDefault="00AB015F" w:rsidP="00A06763">
            <w:pPr>
              <w:jc w:val="both"/>
              <w:rPr>
                <w:sz w:val="20"/>
                <w:szCs w:val="18"/>
              </w:rPr>
            </w:pPr>
            <w:r>
              <w:rPr>
                <w:sz w:val="20"/>
                <w:szCs w:val="18"/>
              </w:rPr>
              <w:t xml:space="preserve">Bebbington and Cronin 2011 </w:t>
            </w:r>
          </w:p>
        </w:tc>
        <w:tc>
          <w:tcPr>
            <w:tcW w:w="1559" w:type="dxa"/>
            <w:vAlign w:val="center"/>
          </w:tcPr>
          <w:p w14:paraId="0C96EDB1" w14:textId="77777777" w:rsidR="00AB015F" w:rsidRPr="00135A46" w:rsidRDefault="00AB015F" w:rsidP="00A06763">
            <w:pPr>
              <w:jc w:val="both"/>
              <w:rPr>
                <w:sz w:val="20"/>
                <w:szCs w:val="18"/>
              </w:rPr>
            </w:pPr>
            <w:r>
              <w:rPr>
                <w:sz w:val="20"/>
                <w:szCs w:val="18"/>
              </w:rPr>
              <w:t>0.22</w:t>
            </w:r>
          </w:p>
        </w:tc>
        <w:tc>
          <w:tcPr>
            <w:tcW w:w="1559" w:type="dxa"/>
            <w:vAlign w:val="center"/>
          </w:tcPr>
          <w:p w14:paraId="152967C2" w14:textId="77777777" w:rsidR="00AB015F" w:rsidRPr="00135A46" w:rsidRDefault="00AB015F" w:rsidP="00A06763">
            <w:pPr>
              <w:jc w:val="both"/>
              <w:rPr>
                <w:sz w:val="20"/>
                <w:szCs w:val="18"/>
              </w:rPr>
            </w:pPr>
            <w:r>
              <w:rPr>
                <w:sz w:val="20"/>
                <w:szCs w:val="18"/>
              </w:rPr>
              <w:t>0.79</w:t>
            </w:r>
          </w:p>
        </w:tc>
        <w:tc>
          <w:tcPr>
            <w:tcW w:w="1564" w:type="dxa"/>
            <w:vAlign w:val="center"/>
          </w:tcPr>
          <w:p w14:paraId="707E49C0" w14:textId="77777777" w:rsidR="00AB015F" w:rsidRPr="00135A46" w:rsidRDefault="00AB015F" w:rsidP="00A06763">
            <w:pPr>
              <w:jc w:val="both"/>
              <w:rPr>
                <w:sz w:val="20"/>
                <w:szCs w:val="18"/>
              </w:rPr>
            </w:pPr>
            <w:r>
              <w:rPr>
                <w:sz w:val="20"/>
                <w:szCs w:val="18"/>
              </w:rPr>
              <w:t>1.33</w:t>
            </w:r>
          </w:p>
        </w:tc>
      </w:tr>
      <w:tr w:rsidR="00AB015F" w14:paraId="39255A92" w14:textId="77777777" w:rsidTr="00A06763">
        <w:trPr>
          <w:trHeight w:val="252"/>
        </w:trPr>
        <w:tc>
          <w:tcPr>
            <w:tcW w:w="4253" w:type="dxa"/>
          </w:tcPr>
          <w:p w14:paraId="32240A56" w14:textId="77777777" w:rsidR="00AB015F" w:rsidRPr="00135A46" w:rsidRDefault="00AB015F" w:rsidP="00A06763">
            <w:pPr>
              <w:jc w:val="both"/>
              <w:rPr>
                <w:sz w:val="20"/>
                <w:szCs w:val="18"/>
              </w:rPr>
            </w:pPr>
            <w:r>
              <w:rPr>
                <w:sz w:val="20"/>
                <w:szCs w:val="18"/>
              </w:rPr>
              <w:t>Bebbington 2013 LSCV</w:t>
            </w:r>
          </w:p>
        </w:tc>
        <w:tc>
          <w:tcPr>
            <w:tcW w:w="1559" w:type="dxa"/>
            <w:vAlign w:val="center"/>
          </w:tcPr>
          <w:p w14:paraId="2BAD635B" w14:textId="77777777" w:rsidR="00AB015F" w:rsidRDefault="00AB015F" w:rsidP="00A06763">
            <w:pPr>
              <w:jc w:val="both"/>
              <w:rPr>
                <w:sz w:val="20"/>
                <w:szCs w:val="18"/>
              </w:rPr>
            </w:pPr>
            <w:r>
              <w:rPr>
                <w:sz w:val="20"/>
                <w:szCs w:val="18"/>
              </w:rPr>
              <w:t>0.22</w:t>
            </w:r>
          </w:p>
        </w:tc>
        <w:tc>
          <w:tcPr>
            <w:tcW w:w="1559" w:type="dxa"/>
            <w:vAlign w:val="center"/>
          </w:tcPr>
          <w:p w14:paraId="35C952EE" w14:textId="77777777" w:rsidR="00AB015F" w:rsidRDefault="00AB015F" w:rsidP="00A06763">
            <w:pPr>
              <w:jc w:val="both"/>
              <w:rPr>
                <w:sz w:val="20"/>
                <w:szCs w:val="18"/>
              </w:rPr>
            </w:pPr>
            <w:r>
              <w:rPr>
                <w:sz w:val="20"/>
                <w:szCs w:val="18"/>
              </w:rPr>
              <w:t>0.76</w:t>
            </w:r>
          </w:p>
        </w:tc>
        <w:tc>
          <w:tcPr>
            <w:tcW w:w="1564" w:type="dxa"/>
            <w:vAlign w:val="center"/>
          </w:tcPr>
          <w:p w14:paraId="077F4922" w14:textId="77777777" w:rsidR="00AB015F" w:rsidRDefault="00AB015F" w:rsidP="00A06763">
            <w:pPr>
              <w:jc w:val="both"/>
              <w:rPr>
                <w:sz w:val="20"/>
                <w:szCs w:val="18"/>
              </w:rPr>
            </w:pPr>
            <w:r>
              <w:rPr>
                <w:sz w:val="20"/>
                <w:szCs w:val="18"/>
              </w:rPr>
              <w:t>1.18</w:t>
            </w:r>
          </w:p>
        </w:tc>
      </w:tr>
      <w:tr w:rsidR="00AB015F" w14:paraId="3449731C" w14:textId="77777777" w:rsidTr="00A06763">
        <w:trPr>
          <w:trHeight w:val="252"/>
        </w:trPr>
        <w:tc>
          <w:tcPr>
            <w:tcW w:w="4253" w:type="dxa"/>
          </w:tcPr>
          <w:p w14:paraId="691055DF" w14:textId="77777777" w:rsidR="00AB015F" w:rsidRPr="00135A46" w:rsidRDefault="00AB015F" w:rsidP="00A06763">
            <w:pPr>
              <w:jc w:val="both"/>
              <w:rPr>
                <w:sz w:val="20"/>
                <w:szCs w:val="18"/>
              </w:rPr>
            </w:pPr>
            <w:r>
              <w:rPr>
                <w:sz w:val="20"/>
                <w:szCs w:val="18"/>
              </w:rPr>
              <w:t>Bebbington 2013 SAMSE</w:t>
            </w:r>
          </w:p>
        </w:tc>
        <w:tc>
          <w:tcPr>
            <w:tcW w:w="1559" w:type="dxa"/>
            <w:vAlign w:val="center"/>
          </w:tcPr>
          <w:p w14:paraId="32BB4D1D" w14:textId="77777777" w:rsidR="00AB015F" w:rsidRDefault="00AB015F" w:rsidP="00A06763">
            <w:pPr>
              <w:jc w:val="both"/>
              <w:rPr>
                <w:sz w:val="20"/>
                <w:szCs w:val="18"/>
              </w:rPr>
            </w:pPr>
            <w:r>
              <w:rPr>
                <w:sz w:val="20"/>
                <w:szCs w:val="18"/>
              </w:rPr>
              <w:t>0.13</w:t>
            </w:r>
          </w:p>
        </w:tc>
        <w:tc>
          <w:tcPr>
            <w:tcW w:w="1559" w:type="dxa"/>
            <w:vAlign w:val="center"/>
          </w:tcPr>
          <w:p w14:paraId="568A2A19" w14:textId="77777777" w:rsidR="00AB015F" w:rsidRDefault="00AB015F" w:rsidP="00A06763">
            <w:pPr>
              <w:jc w:val="both"/>
              <w:rPr>
                <w:sz w:val="20"/>
                <w:szCs w:val="18"/>
              </w:rPr>
            </w:pPr>
            <w:r>
              <w:rPr>
                <w:sz w:val="20"/>
                <w:szCs w:val="18"/>
              </w:rPr>
              <w:t>0.78</w:t>
            </w:r>
          </w:p>
        </w:tc>
        <w:tc>
          <w:tcPr>
            <w:tcW w:w="1564" w:type="dxa"/>
            <w:vAlign w:val="center"/>
          </w:tcPr>
          <w:p w14:paraId="0D7DF5C0" w14:textId="77777777" w:rsidR="00AB015F" w:rsidRDefault="00AB015F" w:rsidP="00A06763">
            <w:pPr>
              <w:jc w:val="both"/>
              <w:rPr>
                <w:sz w:val="20"/>
                <w:szCs w:val="18"/>
              </w:rPr>
            </w:pPr>
            <w:r>
              <w:rPr>
                <w:sz w:val="20"/>
                <w:szCs w:val="18"/>
              </w:rPr>
              <w:t>1.34</w:t>
            </w:r>
          </w:p>
        </w:tc>
      </w:tr>
      <w:tr w:rsidR="00AB015F" w14:paraId="2C571CC7" w14:textId="77777777" w:rsidTr="00A06763">
        <w:trPr>
          <w:trHeight w:val="252"/>
        </w:trPr>
        <w:tc>
          <w:tcPr>
            <w:tcW w:w="4253" w:type="dxa"/>
          </w:tcPr>
          <w:p w14:paraId="00D1C108" w14:textId="77777777" w:rsidR="00AB015F" w:rsidRPr="00135A46" w:rsidRDefault="00AB015F" w:rsidP="00A06763">
            <w:pPr>
              <w:jc w:val="both"/>
              <w:rPr>
                <w:sz w:val="20"/>
                <w:szCs w:val="18"/>
              </w:rPr>
            </w:pPr>
            <w:r>
              <w:rPr>
                <w:sz w:val="20"/>
                <w:szCs w:val="18"/>
              </w:rPr>
              <w:t>Bebbington 2013 ST</w:t>
            </w:r>
          </w:p>
        </w:tc>
        <w:tc>
          <w:tcPr>
            <w:tcW w:w="1559" w:type="dxa"/>
            <w:vAlign w:val="center"/>
          </w:tcPr>
          <w:p w14:paraId="09E70ACE" w14:textId="77777777" w:rsidR="00AB015F" w:rsidRDefault="00AB015F" w:rsidP="00A06763">
            <w:pPr>
              <w:jc w:val="both"/>
              <w:rPr>
                <w:sz w:val="20"/>
                <w:szCs w:val="18"/>
              </w:rPr>
            </w:pPr>
            <w:r>
              <w:rPr>
                <w:sz w:val="20"/>
                <w:szCs w:val="18"/>
              </w:rPr>
              <w:t>0.23</w:t>
            </w:r>
          </w:p>
        </w:tc>
        <w:tc>
          <w:tcPr>
            <w:tcW w:w="1559" w:type="dxa"/>
            <w:vAlign w:val="center"/>
          </w:tcPr>
          <w:p w14:paraId="7F962B78" w14:textId="77777777" w:rsidR="00AB015F" w:rsidRDefault="00AB015F" w:rsidP="00A06763">
            <w:pPr>
              <w:jc w:val="both"/>
              <w:rPr>
                <w:sz w:val="20"/>
                <w:szCs w:val="18"/>
              </w:rPr>
            </w:pPr>
            <w:r>
              <w:rPr>
                <w:sz w:val="20"/>
                <w:szCs w:val="18"/>
              </w:rPr>
              <w:t>0.75</w:t>
            </w:r>
          </w:p>
        </w:tc>
        <w:tc>
          <w:tcPr>
            <w:tcW w:w="1564" w:type="dxa"/>
            <w:vAlign w:val="center"/>
          </w:tcPr>
          <w:p w14:paraId="3F0E8D7F" w14:textId="77777777" w:rsidR="00AB015F" w:rsidRDefault="00AB015F" w:rsidP="00A06763">
            <w:pPr>
              <w:jc w:val="both"/>
              <w:rPr>
                <w:sz w:val="20"/>
                <w:szCs w:val="18"/>
              </w:rPr>
            </w:pPr>
            <w:r>
              <w:rPr>
                <w:sz w:val="20"/>
                <w:szCs w:val="18"/>
              </w:rPr>
              <w:t>1.12</w:t>
            </w:r>
          </w:p>
        </w:tc>
      </w:tr>
      <w:tr w:rsidR="00AB015F" w14:paraId="7B51CC34" w14:textId="77777777" w:rsidTr="00A06763">
        <w:trPr>
          <w:trHeight w:val="252"/>
        </w:trPr>
        <w:tc>
          <w:tcPr>
            <w:tcW w:w="4253" w:type="dxa"/>
          </w:tcPr>
          <w:p w14:paraId="24F7B764" w14:textId="77777777" w:rsidR="00AB015F" w:rsidRPr="00135A46" w:rsidRDefault="00AB015F" w:rsidP="00A06763">
            <w:pPr>
              <w:jc w:val="both"/>
              <w:rPr>
                <w:sz w:val="20"/>
                <w:szCs w:val="18"/>
              </w:rPr>
            </w:pPr>
            <w:r>
              <w:rPr>
                <w:sz w:val="20"/>
                <w:szCs w:val="18"/>
              </w:rPr>
              <w:t xml:space="preserve">Bebbington 2015 </w:t>
            </w:r>
            <w:r w:rsidRPr="00BE2D5F">
              <w:rPr>
                <w:sz w:val="20"/>
                <w:szCs w:val="18"/>
              </w:rPr>
              <w:t>Elliptical boundary emphasis</w:t>
            </w:r>
          </w:p>
        </w:tc>
        <w:tc>
          <w:tcPr>
            <w:tcW w:w="1559" w:type="dxa"/>
            <w:vAlign w:val="center"/>
          </w:tcPr>
          <w:p w14:paraId="4E433A8A" w14:textId="77777777" w:rsidR="00AB015F" w:rsidRDefault="00AB015F" w:rsidP="00A06763">
            <w:pPr>
              <w:jc w:val="both"/>
              <w:rPr>
                <w:sz w:val="20"/>
                <w:szCs w:val="18"/>
              </w:rPr>
            </w:pPr>
            <w:r>
              <w:rPr>
                <w:sz w:val="20"/>
                <w:szCs w:val="18"/>
              </w:rPr>
              <w:t>0.10</w:t>
            </w:r>
          </w:p>
        </w:tc>
        <w:tc>
          <w:tcPr>
            <w:tcW w:w="1559" w:type="dxa"/>
            <w:vAlign w:val="center"/>
          </w:tcPr>
          <w:p w14:paraId="0429975A" w14:textId="77777777" w:rsidR="00AB015F" w:rsidRDefault="00AB015F" w:rsidP="00A06763">
            <w:pPr>
              <w:jc w:val="both"/>
              <w:rPr>
                <w:sz w:val="20"/>
                <w:szCs w:val="18"/>
              </w:rPr>
            </w:pPr>
            <w:r>
              <w:rPr>
                <w:sz w:val="20"/>
                <w:szCs w:val="18"/>
              </w:rPr>
              <w:t>0.90</w:t>
            </w:r>
          </w:p>
        </w:tc>
        <w:tc>
          <w:tcPr>
            <w:tcW w:w="1564" w:type="dxa"/>
            <w:vAlign w:val="center"/>
          </w:tcPr>
          <w:p w14:paraId="4AA01BA8" w14:textId="77777777" w:rsidR="00AB015F" w:rsidRDefault="00AB015F" w:rsidP="00A06763">
            <w:pPr>
              <w:jc w:val="both"/>
              <w:rPr>
                <w:sz w:val="20"/>
                <w:szCs w:val="18"/>
              </w:rPr>
            </w:pPr>
            <w:r>
              <w:rPr>
                <w:sz w:val="20"/>
                <w:szCs w:val="18"/>
              </w:rPr>
              <w:t>1.35</w:t>
            </w:r>
          </w:p>
        </w:tc>
      </w:tr>
      <w:tr w:rsidR="00AB015F" w14:paraId="258551BA" w14:textId="77777777" w:rsidTr="00A06763">
        <w:trPr>
          <w:trHeight w:val="252"/>
        </w:trPr>
        <w:tc>
          <w:tcPr>
            <w:tcW w:w="4253" w:type="dxa"/>
          </w:tcPr>
          <w:p w14:paraId="0C13CE5F" w14:textId="77777777" w:rsidR="00AB015F" w:rsidRPr="00135A46" w:rsidRDefault="00AB015F" w:rsidP="00A06763">
            <w:pPr>
              <w:jc w:val="both"/>
              <w:rPr>
                <w:sz w:val="20"/>
                <w:szCs w:val="18"/>
              </w:rPr>
            </w:pPr>
            <w:r>
              <w:rPr>
                <w:sz w:val="20"/>
                <w:szCs w:val="18"/>
              </w:rPr>
              <w:t xml:space="preserve">Bebbington 2015 </w:t>
            </w:r>
            <w:r w:rsidRPr="00BE2D5F">
              <w:rPr>
                <w:sz w:val="20"/>
                <w:szCs w:val="18"/>
              </w:rPr>
              <w:t>Inter-vent clustering emphasis</w:t>
            </w:r>
          </w:p>
        </w:tc>
        <w:tc>
          <w:tcPr>
            <w:tcW w:w="1559" w:type="dxa"/>
            <w:vAlign w:val="center"/>
          </w:tcPr>
          <w:p w14:paraId="6EE0C024" w14:textId="77777777" w:rsidR="00AB015F" w:rsidRDefault="00AB015F" w:rsidP="00A06763">
            <w:pPr>
              <w:jc w:val="both"/>
              <w:rPr>
                <w:sz w:val="20"/>
                <w:szCs w:val="18"/>
              </w:rPr>
            </w:pPr>
            <w:r>
              <w:rPr>
                <w:sz w:val="20"/>
                <w:szCs w:val="18"/>
              </w:rPr>
              <w:t>0.35</w:t>
            </w:r>
          </w:p>
        </w:tc>
        <w:tc>
          <w:tcPr>
            <w:tcW w:w="1559" w:type="dxa"/>
            <w:vAlign w:val="center"/>
          </w:tcPr>
          <w:p w14:paraId="3F3816AB" w14:textId="77777777" w:rsidR="00AB015F" w:rsidRDefault="00AB015F" w:rsidP="00A06763">
            <w:pPr>
              <w:jc w:val="both"/>
              <w:rPr>
                <w:sz w:val="20"/>
                <w:szCs w:val="18"/>
              </w:rPr>
            </w:pPr>
            <w:r>
              <w:rPr>
                <w:sz w:val="20"/>
                <w:szCs w:val="18"/>
              </w:rPr>
              <w:t>0.90</w:t>
            </w:r>
          </w:p>
        </w:tc>
        <w:tc>
          <w:tcPr>
            <w:tcW w:w="1564" w:type="dxa"/>
            <w:vAlign w:val="center"/>
          </w:tcPr>
          <w:p w14:paraId="65CA860B" w14:textId="77777777" w:rsidR="00AB015F" w:rsidRDefault="00AB015F" w:rsidP="00A06763">
            <w:pPr>
              <w:jc w:val="both"/>
              <w:rPr>
                <w:sz w:val="20"/>
                <w:szCs w:val="18"/>
              </w:rPr>
            </w:pPr>
            <w:r>
              <w:rPr>
                <w:sz w:val="20"/>
                <w:szCs w:val="18"/>
              </w:rPr>
              <w:t>1.44</w:t>
            </w:r>
          </w:p>
        </w:tc>
      </w:tr>
      <w:tr w:rsidR="00AB015F" w14:paraId="5C1BBC4E" w14:textId="77777777" w:rsidTr="00A06763">
        <w:trPr>
          <w:trHeight w:val="252"/>
        </w:trPr>
        <w:tc>
          <w:tcPr>
            <w:tcW w:w="4253" w:type="dxa"/>
          </w:tcPr>
          <w:p w14:paraId="069D1E79" w14:textId="77777777" w:rsidR="00AB015F" w:rsidRDefault="00AB015F" w:rsidP="00A06763">
            <w:pPr>
              <w:jc w:val="both"/>
              <w:rPr>
                <w:sz w:val="20"/>
                <w:szCs w:val="18"/>
              </w:rPr>
            </w:pPr>
            <w:r>
              <w:rPr>
                <w:sz w:val="20"/>
                <w:szCs w:val="18"/>
              </w:rPr>
              <w:t>Uniform distribution</w:t>
            </w:r>
          </w:p>
        </w:tc>
        <w:tc>
          <w:tcPr>
            <w:tcW w:w="1559" w:type="dxa"/>
            <w:vAlign w:val="center"/>
          </w:tcPr>
          <w:p w14:paraId="54A6A986" w14:textId="77777777" w:rsidR="00AB015F" w:rsidRDefault="00AB015F" w:rsidP="00A06763">
            <w:pPr>
              <w:jc w:val="both"/>
              <w:rPr>
                <w:sz w:val="20"/>
                <w:szCs w:val="18"/>
              </w:rPr>
            </w:pPr>
            <w:r>
              <w:rPr>
                <w:sz w:val="20"/>
                <w:szCs w:val="18"/>
              </w:rPr>
              <w:t>0.10</w:t>
            </w:r>
          </w:p>
        </w:tc>
        <w:tc>
          <w:tcPr>
            <w:tcW w:w="1559" w:type="dxa"/>
            <w:vAlign w:val="center"/>
          </w:tcPr>
          <w:p w14:paraId="18C261E8" w14:textId="77777777" w:rsidR="00AB015F" w:rsidRDefault="00AB015F" w:rsidP="00A06763">
            <w:pPr>
              <w:jc w:val="both"/>
              <w:rPr>
                <w:sz w:val="20"/>
                <w:szCs w:val="18"/>
              </w:rPr>
            </w:pPr>
            <w:r>
              <w:rPr>
                <w:sz w:val="20"/>
                <w:szCs w:val="18"/>
              </w:rPr>
              <w:t>0.83</w:t>
            </w:r>
          </w:p>
        </w:tc>
        <w:tc>
          <w:tcPr>
            <w:tcW w:w="1564" w:type="dxa"/>
            <w:vAlign w:val="center"/>
          </w:tcPr>
          <w:p w14:paraId="7432CE28" w14:textId="77777777" w:rsidR="00AB015F" w:rsidRDefault="00AB015F" w:rsidP="00A06763">
            <w:pPr>
              <w:jc w:val="both"/>
              <w:rPr>
                <w:sz w:val="20"/>
                <w:szCs w:val="18"/>
              </w:rPr>
            </w:pPr>
            <w:r>
              <w:rPr>
                <w:sz w:val="20"/>
                <w:szCs w:val="18"/>
              </w:rPr>
              <w:t>1.42</w:t>
            </w:r>
          </w:p>
        </w:tc>
      </w:tr>
    </w:tbl>
    <w:p w14:paraId="2F13EC35" w14:textId="77777777" w:rsidR="00AB015F" w:rsidRPr="00593B30" w:rsidRDefault="00AB015F" w:rsidP="00AB015F">
      <w:pPr>
        <w:rPr>
          <w:i/>
        </w:rPr>
      </w:pPr>
    </w:p>
    <w:p w14:paraId="5529397D" w14:textId="1BB832F6" w:rsidR="00AB015F" w:rsidRPr="00B90366" w:rsidRDefault="00AB015F" w:rsidP="00AB015F">
      <w:pPr>
        <w:pStyle w:val="Caption"/>
        <w:rPr>
          <w:rFonts w:cs="Times New Roman"/>
          <w:i w:val="0"/>
          <w:color w:val="000000" w:themeColor="text1"/>
          <w:sz w:val="20"/>
          <w:szCs w:val="13"/>
        </w:rPr>
      </w:pPr>
      <w:bookmarkStart w:id="0" w:name="_Ref59039911"/>
      <w:r w:rsidRPr="00B90366">
        <w:rPr>
          <w:rFonts w:cs="Times New Roman"/>
          <w:b/>
          <w:bCs/>
          <w:i w:val="0"/>
          <w:color w:val="000000" w:themeColor="text1"/>
          <w:sz w:val="20"/>
          <w:szCs w:val="13"/>
        </w:rPr>
        <w:t xml:space="preserve">Table </w:t>
      </w:r>
      <w:r w:rsidRPr="00B90366">
        <w:rPr>
          <w:rFonts w:cs="Times New Roman"/>
          <w:b/>
          <w:bCs/>
          <w:i w:val="0"/>
          <w:color w:val="000000" w:themeColor="text1"/>
          <w:sz w:val="20"/>
          <w:szCs w:val="13"/>
        </w:rPr>
        <w:fldChar w:fldCharType="begin"/>
      </w:r>
      <w:r w:rsidRPr="00B90366">
        <w:rPr>
          <w:rFonts w:cs="Times New Roman"/>
          <w:b/>
          <w:bCs/>
          <w:i w:val="0"/>
          <w:color w:val="000000" w:themeColor="text1"/>
          <w:sz w:val="20"/>
          <w:szCs w:val="13"/>
        </w:rPr>
        <w:instrText xml:space="preserve"> SEQ Table \* ARABIC </w:instrText>
      </w:r>
      <w:r w:rsidRPr="00B90366">
        <w:rPr>
          <w:rFonts w:cs="Times New Roman"/>
          <w:b/>
          <w:bCs/>
          <w:i w:val="0"/>
          <w:color w:val="000000" w:themeColor="text1"/>
          <w:sz w:val="20"/>
          <w:szCs w:val="13"/>
        </w:rPr>
        <w:fldChar w:fldCharType="separate"/>
      </w:r>
      <w:r w:rsidR="006F5979">
        <w:rPr>
          <w:rFonts w:cs="Times New Roman"/>
          <w:b/>
          <w:bCs/>
          <w:i w:val="0"/>
          <w:noProof/>
          <w:color w:val="000000" w:themeColor="text1"/>
          <w:sz w:val="20"/>
          <w:szCs w:val="13"/>
        </w:rPr>
        <w:t>2</w:t>
      </w:r>
      <w:r w:rsidRPr="00B90366">
        <w:rPr>
          <w:rFonts w:cs="Times New Roman"/>
          <w:b/>
          <w:bCs/>
          <w:i w:val="0"/>
          <w:color w:val="000000" w:themeColor="text1"/>
          <w:sz w:val="20"/>
          <w:szCs w:val="13"/>
        </w:rPr>
        <w:fldChar w:fldCharType="end"/>
      </w:r>
      <w:bookmarkEnd w:id="0"/>
      <w:r w:rsidRPr="00B90366">
        <w:rPr>
          <w:rFonts w:cs="Times New Roman"/>
          <w:b/>
          <w:bCs/>
          <w:i w:val="0"/>
          <w:color w:val="000000" w:themeColor="text1"/>
          <w:sz w:val="20"/>
          <w:szCs w:val="13"/>
        </w:rPr>
        <w:t xml:space="preserve"> </w:t>
      </w:r>
      <w:r w:rsidRPr="00AD382B">
        <w:rPr>
          <w:rFonts w:cs="Times New Roman"/>
          <w:i w:val="0"/>
          <w:color w:val="000000" w:themeColor="text1"/>
          <w:sz w:val="20"/>
          <w:szCs w:val="13"/>
        </w:rPr>
        <w:t xml:space="preserve">Evacuation </w:t>
      </w:r>
      <w:r>
        <w:rPr>
          <w:rFonts w:cs="Times New Roman"/>
          <w:i w:val="0"/>
          <w:color w:val="000000" w:themeColor="text1"/>
          <w:sz w:val="20"/>
          <w:szCs w:val="13"/>
        </w:rPr>
        <w:t>travel</w:t>
      </w:r>
      <w:r w:rsidRPr="00AD382B">
        <w:rPr>
          <w:rFonts w:cs="Times New Roman"/>
          <w:i w:val="0"/>
          <w:color w:val="000000" w:themeColor="text1"/>
          <w:sz w:val="20"/>
          <w:szCs w:val="13"/>
        </w:rPr>
        <w:t xml:space="preserve"> times distribution for various AVF spatial vent location models</w:t>
      </w:r>
      <w:r>
        <w:rPr>
          <w:rFonts w:cs="Times New Roman"/>
          <w:i w:val="0"/>
          <w:color w:val="000000" w:themeColor="text1"/>
          <w:sz w:val="20"/>
          <w:szCs w:val="13"/>
        </w:rPr>
        <w:t>. These times are for clearing the combined evacuation zone (PEZ+SEZ) with 5 and 10 km vent uncertainty buffer distance.</w:t>
      </w:r>
    </w:p>
    <w:tbl>
      <w:tblPr>
        <w:tblStyle w:val="TableGrid"/>
        <w:tblW w:w="8789"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985"/>
        <w:gridCol w:w="1134"/>
        <w:gridCol w:w="1134"/>
        <w:gridCol w:w="940"/>
        <w:gridCol w:w="194"/>
        <w:gridCol w:w="1134"/>
        <w:gridCol w:w="1134"/>
        <w:gridCol w:w="1134"/>
      </w:tblGrid>
      <w:tr w:rsidR="00AB015F" w14:paraId="5AC31219" w14:textId="77777777" w:rsidTr="00191D64">
        <w:trPr>
          <w:trHeight w:val="343"/>
        </w:trPr>
        <w:tc>
          <w:tcPr>
            <w:tcW w:w="1985" w:type="dxa"/>
            <w:vMerge w:val="restart"/>
            <w:vAlign w:val="center"/>
          </w:tcPr>
          <w:p w14:paraId="298F574A" w14:textId="77777777" w:rsidR="00AB015F" w:rsidRPr="00135A46" w:rsidRDefault="00AB015F" w:rsidP="00A06763">
            <w:pPr>
              <w:rPr>
                <w:b/>
                <w:bCs/>
                <w:sz w:val="20"/>
                <w:szCs w:val="18"/>
              </w:rPr>
            </w:pPr>
            <w:r>
              <w:rPr>
                <w:b/>
                <w:bCs/>
                <w:sz w:val="20"/>
                <w:szCs w:val="18"/>
              </w:rPr>
              <w:t>Spatial vent location AVF model</w:t>
            </w:r>
          </w:p>
        </w:tc>
        <w:tc>
          <w:tcPr>
            <w:tcW w:w="6804" w:type="dxa"/>
            <w:gridSpan w:val="7"/>
            <w:vAlign w:val="center"/>
          </w:tcPr>
          <w:p w14:paraId="7B14746A" w14:textId="77777777" w:rsidR="00AB015F" w:rsidRDefault="00AB015F" w:rsidP="00A06763">
            <w:pPr>
              <w:jc w:val="center"/>
              <w:rPr>
                <w:b/>
                <w:bCs/>
                <w:sz w:val="20"/>
                <w:szCs w:val="18"/>
              </w:rPr>
            </w:pPr>
            <w:r>
              <w:rPr>
                <w:b/>
                <w:bCs/>
                <w:sz w:val="20"/>
                <w:szCs w:val="18"/>
              </w:rPr>
              <w:t xml:space="preserve">Evacuation travel times (hours – 2 </w:t>
            </w:r>
            <w:proofErr w:type="spellStart"/>
            <w:r>
              <w:rPr>
                <w:b/>
                <w:bCs/>
                <w:sz w:val="20"/>
                <w:szCs w:val="18"/>
              </w:rPr>
              <w:t>dp</w:t>
            </w:r>
            <w:proofErr w:type="spellEnd"/>
            <w:r>
              <w:rPr>
                <w:b/>
                <w:bCs/>
                <w:sz w:val="20"/>
                <w:szCs w:val="18"/>
              </w:rPr>
              <w:t>)</w:t>
            </w:r>
          </w:p>
        </w:tc>
      </w:tr>
      <w:tr w:rsidR="00AB015F" w14:paraId="65CC3392" w14:textId="77777777" w:rsidTr="00191D64">
        <w:trPr>
          <w:trHeight w:val="343"/>
        </w:trPr>
        <w:tc>
          <w:tcPr>
            <w:tcW w:w="1985" w:type="dxa"/>
            <w:vMerge/>
            <w:vAlign w:val="center"/>
          </w:tcPr>
          <w:p w14:paraId="089A3236" w14:textId="77777777" w:rsidR="00AB015F" w:rsidRPr="00135A46" w:rsidRDefault="00AB015F" w:rsidP="00A06763">
            <w:pPr>
              <w:rPr>
                <w:b/>
                <w:bCs/>
                <w:sz w:val="20"/>
                <w:szCs w:val="18"/>
              </w:rPr>
            </w:pPr>
          </w:p>
        </w:tc>
        <w:tc>
          <w:tcPr>
            <w:tcW w:w="3208" w:type="dxa"/>
            <w:gridSpan w:val="3"/>
            <w:vAlign w:val="center"/>
          </w:tcPr>
          <w:p w14:paraId="1E84EF07" w14:textId="77777777" w:rsidR="00AB015F" w:rsidRPr="00135A46" w:rsidRDefault="00AB015F" w:rsidP="00A06763">
            <w:pPr>
              <w:jc w:val="center"/>
              <w:rPr>
                <w:b/>
                <w:bCs/>
                <w:sz w:val="20"/>
                <w:szCs w:val="18"/>
              </w:rPr>
            </w:pPr>
            <w:r>
              <w:rPr>
                <w:b/>
                <w:bCs/>
                <w:sz w:val="20"/>
                <w:szCs w:val="18"/>
              </w:rPr>
              <w:t>5 km vent uncertainty</w:t>
            </w:r>
          </w:p>
        </w:tc>
        <w:tc>
          <w:tcPr>
            <w:tcW w:w="3596" w:type="dxa"/>
            <w:gridSpan w:val="4"/>
            <w:vAlign w:val="center"/>
          </w:tcPr>
          <w:p w14:paraId="6CD295DD" w14:textId="77777777" w:rsidR="00AB015F" w:rsidRPr="00135A46" w:rsidRDefault="00AB015F" w:rsidP="00A06763">
            <w:pPr>
              <w:jc w:val="center"/>
              <w:rPr>
                <w:b/>
                <w:bCs/>
                <w:sz w:val="20"/>
                <w:szCs w:val="18"/>
              </w:rPr>
            </w:pPr>
            <w:r>
              <w:rPr>
                <w:b/>
                <w:bCs/>
                <w:sz w:val="20"/>
                <w:szCs w:val="18"/>
              </w:rPr>
              <w:t>10 km vent uncertainty</w:t>
            </w:r>
          </w:p>
        </w:tc>
      </w:tr>
      <w:tr w:rsidR="00AB015F" w14:paraId="5CD2702E" w14:textId="77777777" w:rsidTr="00191D64">
        <w:trPr>
          <w:trHeight w:val="672"/>
        </w:trPr>
        <w:tc>
          <w:tcPr>
            <w:tcW w:w="1985" w:type="dxa"/>
            <w:vMerge/>
            <w:vAlign w:val="center"/>
          </w:tcPr>
          <w:p w14:paraId="65E364A5" w14:textId="77777777" w:rsidR="00AB015F" w:rsidRPr="00135A46" w:rsidRDefault="00AB015F" w:rsidP="00A06763">
            <w:pPr>
              <w:rPr>
                <w:b/>
                <w:bCs/>
                <w:sz w:val="20"/>
                <w:szCs w:val="18"/>
              </w:rPr>
            </w:pPr>
          </w:p>
        </w:tc>
        <w:tc>
          <w:tcPr>
            <w:tcW w:w="1134" w:type="dxa"/>
            <w:vAlign w:val="center"/>
          </w:tcPr>
          <w:p w14:paraId="5F98EA67" w14:textId="77777777" w:rsidR="00AB015F" w:rsidRPr="00135A46" w:rsidRDefault="00AB015F" w:rsidP="00A06763">
            <w:pPr>
              <w:jc w:val="center"/>
              <w:rPr>
                <w:b/>
                <w:bCs/>
                <w:sz w:val="20"/>
                <w:szCs w:val="18"/>
              </w:rPr>
            </w:pPr>
            <w:r w:rsidRPr="00135A46">
              <w:rPr>
                <w:b/>
                <w:bCs/>
                <w:sz w:val="20"/>
                <w:szCs w:val="18"/>
              </w:rPr>
              <w:t>10</w:t>
            </w:r>
            <w:r w:rsidRPr="00135A46">
              <w:rPr>
                <w:b/>
                <w:bCs/>
                <w:sz w:val="20"/>
                <w:szCs w:val="18"/>
                <w:vertAlign w:val="superscript"/>
              </w:rPr>
              <w:t>th</w:t>
            </w:r>
            <w:r w:rsidRPr="00135A46">
              <w:rPr>
                <w:b/>
                <w:bCs/>
                <w:sz w:val="20"/>
                <w:szCs w:val="18"/>
              </w:rPr>
              <w:t xml:space="preserve"> percentile</w:t>
            </w:r>
          </w:p>
        </w:tc>
        <w:tc>
          <w:tcPr>
            <w:tcW w:w="1134" w:type="dxa"/>
            <w:vAlign w:val="center"/>
          </w:tcPr>
          <w:p w14:paraId="086550CE" w14:textId="77777777" w:rsidR="00AB015F" w:rsidRPr="00135A46" w:rsidRDefault="00AB015F" w:rsidP="00A06763">
            <w:pPr>
              <w:jc w:val="center"/>
              <w:rPr>
                <w:b/>
                <w:bCs/>
                <w:sz w:val="20"/>
                <w:szCs w:val="18"/>
              </w:rPr>
            </w:pPr>
            <w:r w:rsidRPr="00135A46">
              <w:rPr>
                <w:b/>
                <w:bCs/>
                <w:sz w:val="20"/>
                <w:szCs w:val="18"/>
              </w:rPr>
              <w:t>50</w:t>
            </w:r>
            <w:r w:rsidRPr="00135A46">
              <w:rPr>
                <w:b/>
                <w:bCs/>
                <w:sz w:val="20"/>
                <w:szCs w:val="18"/>
                <w:vertAlign w:val="superscript"/>
              </w:rPr>
              <w:t>th</w:t>
            </w:r>
            <w:r w:rsidRPr="00135A46">
              <w:rPr>
                <w:b/>
                <w:bCs/>
                <w:sz w:val="20"/>
                <w:szCs w:val="18"/>
              </w:rPr>
              <w:t xml:space="preserve"> percentile</w:t>
            </w:r>
          </w:p>
        </w:tc>
        <w:tc>
          <w:tcPr>
            <w:tcW w:w="1134" w:type="dxa"/>
            <w:gridSpan w:val="2"/>
            <w:vAlign w:val="center"/>
          </w:tcPr>
          <w:p w14:paraId="31D9AB14" w14:textId="77777777" w:rsidR="00AB015F" w:rsidRPr="00135A46" w:rsidRDefault="00AB015F" w:rsidP="00A06763">
            <w:pPr>
              <w:jc w:val="center"/>
              <w:rPr>
                <w:b/>
                <w:bCs/>
                <w:sz w:val="20"/>
                <w:szCs w:val="18"/>
              </w:rPr>
            </w:pPr>
            <w:r w:rsidRPr="00135A46">
              <w:rPr>
                <w:b/>
                <w:bCs/>
                <w:sz w:val="20"/>
                <w:szCs w:val="18"/>
              </w:rPr>
              <w:t>90</w:t>
            </w:r>
            <w:r w:rsidRPr="00135A46">
              <w:rPr>
                <w:b/>
                <w:bCs/>
                <w:sz w:val="20"/>
                <w:szCs w:val="18"/>
                <w:vertAlign w:val="superscript"/>
              </w:rPr>
              <w:t>th</w:t>
            </w:r>
            <w:r w:rsidRPr="00135A46">
              <w:rPr>
                <w:b/>
                <w:bCs/>
                <w:sz w:val="20"/>
                <w:szCs w:val="18"/>
              </w:rPr>
              <w:t xml:space="preserve"> percentile</w:t>
            </w:r>
          </w:p>
        </w:tc>
        <w:tc>
          <w:tcPr>
            <w:tcW w:w="1134" w:type="dxa"/>
            <w:vAlign w:val="center"/>
          </w:tcPr>
          <w:p w14:paraId="0684F99B" w14:textId="77777777" w:rsidR="00AB015F" w:rsidRPr="00EF582E" w:rsidRDefault="00AB015F" w:rsidP="00A06763">
            <w:pPr>
              <w:jc w:val="center"/>
              <w:rPr>
                <w:sz w:val="20"/>
                <w:szCs w:val="18"/>
              </w:rPr>
            </w:pPr>
            <w:r w:rsidRPr="00135A46">
              <w:rPr>
                <w:b/>
                <w:bCs/>
                <w:sz w:val="20"/>
                <w:szCs w:val="18"/>
              </w:rPr>
              <w:t>10</w:t>
            </w:r>
            <w:r w:rsidRPr="00135A46">
              <w:rPr>
                <w:b/>
                <w:bCs/>
                <w:sz w:val="20"/>
                <w:szCs w:val="18"/>
                <w:vertAlign w:val="superscript"/>
              </w:rPr>
              <w:t>th</w:t>
            </w:r>
            <w:r w:rsidRPr="00135A46">
              <w:rPr>
                <w:b/>
                <w:bCs/>
                <w:sz w:val="20"/>
                <w:szCs w:val="18"/>
              </w:rPr>
              <w:t xml:space="preserve"> percentile</w:t>
            </w:r>
          </w:p>
        </w:tc>
        <w:tc>
          <w:tcPr>
            <w:tcW w:w="1134" w:type="dxa"/>
            <w:vAlign w:val="center"/>
          </w:tcPr>
          <w:p w14:paraId="366872E5" w14:textId="77777777" w:rsidR="00AB015F" w:rsidRPr="00EF582E" w:rsidRDefault="00AB015F" w:rsidP="00A06763">
            <w:pPr>
              <w:jc w:val="center"/>
              <w:rPr>
                <w:sz w:val="20"/>
                <w:szCs w:val="18"/>
              </w:rPr>
            </w:pPr>
            <w:r w:rsidRPr="00135A46">
              <w:rPr>
                <w:b/>
                <w:bCs/>
                <w:sz w:val="20"/>
                <w:szCs w:val="18"/>
              </w:rPr>
              <w:t>50</w:t>
            </w:r>
            <w:r w:rsidRPr="00135A46">
              <w:rPr>
                <w:b/>
                <w:bCs/>
                <w:sz w:val="20"/>
                <w:szCs w:val="18"/>
                <w:vertAlign w:val="superscript"/>
              </w:rPr>
              <w:t>th</w:t>
            </w:r>
            <w:r w:rsidRPr="00135A46">
              <w:rPr>
                <w:b/>
                <w:bCs/>
                <w:sz w:val="20"/>
                <w:szCs w:val="18"/>
              </w:rPr>
              <w:t xml:space="preserve"> percentile</w:t>
            </w:r>
          </w:p>
        </w:tc>
        <w:tc>
          <w:tcPr>
            <w:tcW w:w="1134" w:type="dxa"/>
            <w:vAlign w:val="center"/>
          </w:tcPr>
          <w:p w14:paraId="600C8EE2" w14:textId="77777777" w:rsidR="00AB015F" w:rsidRPr="00EF582E" w:rsidRDefault="00AB015F" w:rsidP="00A06763">
            <w:pPr>
              <w:jc w:val="center"/>
              <w:rPr>
                <w:sz w:val="20"/>
                <w:szCs w:val="18"/>
              </w:rPr>
            </w:pPr>
            <w:r w:rsidRPr="00135A46">
              <w:rPr>
                <w:b/>
                <w:bCs/>
                <w:sz w:val="20"/>
                <w:szCs w:val="18"/>
              </w:rPr>
              <w:t>90</w:t>
            </w:r>
            <w:r w:rsidRPr="00135A46">
              <w:rPr>
                <w:b/>
                <w:bCs/>
                <w:sz w:val="20"/>
                <w:szCs w:val="18"/>
                <w:vertAlign w:val="superscript"/>
              </w:rPr>
              <w:t>th</w:t>
            </w:r>
            <w:r w:rsidRPr="00135A46">
              <w:rPr>
                <w:b/>
                <w:bCs/>
                <w:sz w:val="20"/>
                <w:szCs w:val="18"/>
              </w:rPr>
              <w:t xml:space="preserve"> percentile</w:t>
            </w:r>
          </w:p>
        </w:tc>
      </w:tr>
      <w:tr w:rsidR="00AB015F" w14:paraId="05B05A9A" w14:textId="77777777" w:rsidTr="00191D64">
        <w:trPr>
          <w:trHeight w:val="248"/>
        </w:trPr>
        <w:tc>
          <w:tcPr>
            <w:tcW w:w="1985" w:type="dxa"/>
          </w:tcPr>
          <w:p w14:paraId="10268D20" w14:textId="77777777" w:rsidR="00AB015F" w:rsidRPr="00135A46" w:rsidRDefault="00AB015F" w:rsidP="00A06763">
            <w:pPr>
              <w:rPr>
                <w:sz w:val="20"/>
                <w:szCs w:val="18"/>
              </w:rPr>
            </w:pPr>
            <w:r>
              <w:rPr>
                <w:sz w:val="20"/>
                <w:szCs w:val="18"/>
              </w:rPr>
              <w:t>Bebbington &amp; Cronin 2011 LSCV</w:t>
            </w:r>
          </w:p>
        </w:tc>
        <w:tc>
          <w:tcPr>
            <w:tcW w:w="1134" w:type="dxa"/>
            <w:vAlign w:val="center"/>
          </w:tcPr>
          <w:p w14:paraId="3200B421" w14:textId="77777777" w:rsidR="00AB015F" w:rsidRPr="00135A46" w:rsidRDefault="00AB015F" w:rsidP="00A06763">
            <w:pPr>
              <w:jc w:val="center"/>
              <w:rPr>
                <w:sz w:val="20"/>
                <w:szCs w:val="18"/>
              </w:rPr>
            </w:pPr>
            <w:r>
              <w:rPr>
                <w:sz w:val="20"/>
                <w:szCs w:val="18"/>
              </w:rPr>
              <w:t>0.95</w:t>
            </w:r>
          </w:p>
        </w:tc>
        <w:tc>
          <w:tcPr>
            <w:tcW w:w="1134" w:type="dxa"/>
            <w:vAlign w:val="center"/>
          </w:tcPr>
          <w:p w14:paraId="600B35F8" w14:textId="77777777" w:rsidR="00AB015F" w:rsidRPr="00135A46" w:rsidRDefault="00AB015F" w:rsidP="00A06763">
            <w:pPr>
              <w:jc w:val="center"/>
              <w:rPr>
                <w:sz w:val="20"/>
                <w:szCs w:val="18"/>
              </w:rPr>
            </w:pPr>
            <w:r>
              <w:rPr>
                <w:sz w:val="20"/>
                <w:szCs w:val="18"/>
              </w:rPr>
              <w:t>1.69</w:t>
            </w:r>
          </w:p>
        </w:tc>
        <w:tc>
          <w:tcPr>
            <w:tcW w:w="1134" w:type="dxa"/>
            <w:gridSpan w:val="2"/>
            <w:vAlign w:val="center"/>
          </w:tcPr>
          <w:p w14:paraId="29225F16" w14:textId="77777777" w:rsidR="00AB015F" w:rsidRPr="00135A46" w:rsidRDefault="00AB015F" w:rsidP="00A06763">
            <w:pPr>
              <w:jc w:val="center"/>
              <w:rPr>
                <w:sz w:val="20"/>
                <w:szCs w:val="18"/>
              </w:rPr>
            </w:pPr>
            <w:r>
              <w:rPr>
                <w:sz w:val="20"/>
                <w:szCs w:val="18"/>
              </w:rPr>
              <w:t>2.61</w:t>
            </w:r>
          </w:p>
        </w:tc>
        <w:tc>
          <w:tcPr>
            <w:tcW w:w="1134" w:type="dxa"/>
            <w:vAlign w:val="center"/>
          </w:tcPr>
          <w:p w14:paraId="26A6895D" w14:textId="77777777" w:rsidR="00AB015F" w:rsidRPr="00135A46" w:rsidRDefault="00AB015F" w:rsidP="00A06763">
            <w:pPr>
              <w:jc w:val="center"/>
              <w:rPr>
                <w:sz w:val="20"/>
                <w:szCs w:val="18"/>
              </w:rPr>
            </w:pPr>
            <w:r>
              <w:rPr>
                <w:sz w:val="20"/>
                <w:szCs w:val="18"/>
              </w:rPr>
              <w:t>1.48</w:t>
            </w:r>
          </w:p>
        </w:tc>
        <w:tc>
          <w:tcPr>
            <w:tcW w:w="1134" w:type="dxa"/>
            <w:vAlign w:val="center"/>
          </w:tcPr>
          <w:p w14:paraId="5DF07B5E" w14:textId="77777777" w:rsidR="00AB015F" w:rsidRDefault="00AB015F" w:rsidP="00A06763">
            <w:pPr>
              <w:jc w:val="center"/>
              <w:rPr>
                <w:sz w:val="20"/>
                <w:szCs w:val="18"/>
              </w:rPr>
            </w:pPr>
            <w:r>
              <w:rPr>
                <w:sz w:val="20"/>
                <w:szCs w:val="18"/>
              </w:rPr>
              <w:t>2.51</w:t>
            </w:r>
          </w:p>
        </w:tc>
        <w:tc>
          <w:tcPr>
            <w:tcW w:w="1134" w:type="dxa"/>
            <w:vAlign w:val="center"/>
          </w:tcPr>
          <w:p w14:paraId="6DB9A308" w14:textId="77777777" w:rsidR="00AB015F" w:rsidRDefault="00AB015F" w:rsidP="00A06763">
            <w:pPr>
              <w:jc w:val="center"/>
              <w:rPr>
                <w:sz w:val="20"/>
                <w:szCs w:val="18"/>
              </w:rPr>
            </w:pPr>
            <w:r>
              <w:rPr>
                <w:sz w:val="20"/>
                <w:szCs w:val="18"/>
              </w:rPr>
              <w:t>3.86</w:t>
            </w:r>
          </w:p>
        </w:tc>
      </w:tr>
      <w:tr w:rsidR="00AB015F" w14:paraId="70234FF5" w14:textId="77777777" w:rsidTr="00191D64">
        <w:trPr>
          <w:trHeight w:val="60"/>
        </w:trPr>
        <w:tc>
          <w:tcPr>
            <w:tcW w:w="1985" w:type="dxa"/>
          </w:tcPr>
          <w:p w14:paraId="5990809D" w14:textId="77777777" w:rsidR="00AB015F" w:rsidRPr="00135A46" w:rsidRDefault="00AB015F" w:rsidP="00A06763">
            <w:pPr>
              <w:rPr>
                <w:sz w:val="20"/>
                <w:szCs w:val="18"/>
              </w:rPr>
            </w:pPr>
            <w:r>
              <w:rPr>
                <w:sz w:val="20"/>
                <w:szCs w:val="18"/>
              </w:rPr>
              <w:t>Bebbington 2013 LSCV</w:t>
            </w:r>
          </w:p>
        </w:tc>
        <w:tc>
          <w:tcPr>
            <w:tcW w:w="1134" w:type="dxa"/>
            <w:vAlign w:val="center"/>
          </w:tcPr>
          <w:p w14:paraId="17A2E97E" w14:textId="77777777" w:rsidR="00AB015F" w:rsidRPr="00135A46" w:rsidRDefault="00AB015F" w:rsidP="00A06763">
            <w:pPr>
              <w:jc w:val="center"/>
              <w:rPr>
                <w:sz w:val="20"/>
                <w:szCs w:val="18"/>
              </w:rPr>
            </w:pPr>
            <w:r>
              <w:rPr>
                <w:sz w:val="20"/>
                <w:szCs w:val="18"/>
              </w:rPr>
              <w:t>0.92</w:t>
            </w:r>
          </w:p>
        </w:tc>
        <w:tc>
          <w:tcPr>
            <w:tcW w:w="1134" w:type="dxa"/>
            <w:vAlign w:val="center"/>
          </w:tcPr>
          <w:p w14:paraId="5FE4542C" w14:textId="77777777" w:rsidR="00AB015F" w:rsidRPr="00135A46" w:rsidRDefault="00AB015F" w:rsidP="00A06763">
            <w:pPr>
              <w:jc w:val="center"/>
              <w:rPr>
                <w:sz w:val="20"/>
                <w:szCs w:val="18"/>
              </w:rPr>
            </w:pPr>
            <w:r>
              <w:rPr>
                <w:sz w:val="20"/>
                <w:szCs w:val="18"/>
              </w:rPr>
              <w:t>1.64</w:t>
            </w:r>
          </w:p>
        </w:tc>
        <w:tc>
          <w:tcPr>
            <w:tcW w:w="1134" w:type="dxa"/>
            <w:gridSpan w:val="2"/>
            <w:vAlign w:val="center"/>
          </w:tcPr>
          <w:p w14:paraId="557E0E2D" w14:textId="77777777" w:rsidR="00AB015F" w:rsidRPr="00135A46" w:rsidRDefault="00AB015F" w:rsidP="00A06763">
            <w:pPr>
              <w:jc w:val="center"/>
              <w:rPr>
                <w:sz w:val="20"/>
                <w:szCs w:val="18"/>
              </w:rPr>
            </w:pPr>
            <w:r>
              <w:rPr>
                <w:sz w:val="20"/>
                <w:szCs w:val="18"/>
              </w:rPr>
              <w:t>2.42</w:t>
            </w:r>
          </w:p>
        </w:tc>
        <w:tc>
          <w:tcPr>
            <w:tcW w:w="1134" w:type="dxa"/>
            <w:vAlign w:val="center"/>
          </w:tcPr>
          <w:p w14:paraId="5FF2A74B" w14:textId="77777777" w:rsidR="00AB015F" w:rsidRPr="00135A46" w:rsidRDefault="00AB015F" w:rsidP="00A06763">
            <w:pPr>
              <w:jc w:val="center"/>
              <w:rPr>
                <w:sz w:val="20"/>
                <w:szCs w:val="18"/>
              </w:rPr>
            </w:pPr>
            <w:r>
              <w:rPr>
                <w:sz w:val="20"/>
                <w:szCs w:val="18"/>
              </w:rPr>
              <w:t>1.46</w:t>
            </w:r>
          </w:p>
        </w:tc>
        <w:tc>
          <w:tcPr>
            <w:tcW w:w="1134" w:type="dxa"/>
            <w:vAlign w:val="center"/>
          </w:tcPr>
          <w:p w14:paraId="7B08C501" w14:textId="77777777" w:rsidR="00AB015F" w:rsidRDefault="00AB015F" w:rsidP="00A06763">
            <w:pPr>
              <w:jc w:val="center"/>
              <w:rPr>
                <w:sz w:val="20"/>
                <w:szCs w:val="18"/>
              </w:rPr>
            </w:pPr>
            <w:r>
              <w:rPr>
                <w:sz w:val="20"/>
                <w:szCs w:val="18"/>
              </w:rPr>
              <w:t>2.48</w:t>
            </w:r>
          </w:p>
        </w:tc>
        <w:tc>
          <w:tcPr>
            <w:tcW w:w="1134" w:type="dxa"/>
            <w:vAlign w:val="center"/>
          </w:tcPr>
          <w:p w14:paraId="1A7AB29F" w14:textId="77777777" w:rsidR="00AB015F" w:rsidRDefault="00AB015F" w:rsidP="00A06763">
            <w:pPr>
              <w:jc w:val="center"/>
              <w:rPr>
                <w:sz w:val="20"/>
                <w:szCs w:val="18"/>
              </w:rPr>
            </w:pPr>
            <w:r>
              <w:rPr>
                <w:sz w:val="20"/>
                <w:szCs w:val="18"/>
              </w:rPr>
              <w:t>3.64</w:t>
            </w:r>
          </w:p>
        </w:tc>
      </w:tr>
      <w:tr w:rsidR="00AB015F" w14:paraId="2BB81CC5" w14:textId="77777777" w:rsidTr="00191D64">
        <w:trPr>
          <w:trHeight w:val="343"/>
        </w:trPr>
        <w:tc>
          <w:tcPr>
            <w:tcW w:w="1985" w:type="dxa"/>
          </w:tcPr>
          <w:p w14:paraId="15BF4DD0" w14:textId="77777777" w:rsidR="00AB015F" w:rsidRPr="00135A46" w:rsidRDefault="00AB015F" w:rsidP="00A06763">
            <w:pPr>
              <w:rPr>
                <w:sz w:val="20"/>
                <w:szCs w:val="18"/>
              </w:rPr>
            </w:pPr>
            <w:r>
              <w:rPr>
                <w:sz w:val="20"/>
                <w:szCs w:val="18"/>
              </w:rPr>
              <w:t>Bebbington 2013 SAMSE</w:t>
            </w:r>
          </w:p>
        </w:tc>
        <w:tc>
          <w:tcPr>
            <w:tcW w:w="1134" w:type="dxa"/>
            <w:vAlign w:val="center"/>
          </w:tcPr>
          <w:p w14:paraId="6718D5F0" w14:textId="77777777" w:rsidR="00AB015F" w:rsidRPr="00135A46" w:rsidRDefault="00AB015F" w:rsidP="00A06763">
            <w:pPr>
              <w:jc w:val="center"/>
              <w:rPr>
                <w:sz w:val="20"/>
                <w:szCs w:val="18"/>
              </w:rPr>
            </w:pPr>
            <w:r>
              <w:rPr>
                <w:sz w:val="20"/>
                <w:szCs w:val="18"/>
              </w:rPr>
              <w:t>0.85</w:t>
            </w:r>
          </w:p>
        </w:tc>
        <w:tc>
          <w:tcPr>
            <w:tcW w:w="1134" w:type="dxa"/>
            <w:vAlign w:val="center"/>
          </w:tcPr>
          <w:p w14:paraId="3ED44CED" w14:textId="77777777" w:rsidR="00AB015F" w:rsidRPr="00135A46" w:rsidRDefault="00AB015F" w:rsidP="00A06763">
            <w:pPr>
              <w:jc w:val="center"/>
              <w:rPr>
                <w:sz w:val="20"/>
                <w:szCs w:val="18"/>
              </w:rPr>
            </w:pPr>
            <w:r>
              <w:rPr>
                <w:sz w:val="20"/>
                <w:szCs w:val="18"/>
              </w:rPr>
              <w:t>1.63</w:t>
            </w:r>
          </w:p>
        </w:tc>
        <w:tc>
          <w:tcPr>
            <w:tcW w:w="1134" w:type="dxa"/>
            <w:gridSpan w:val="2"/>
            <w:vAlign w:val="center"/>
          </w:tcPr>
          <w:p w14:paraId="7197F9C9" w14:textId="77777777" w:rsidR="00AB015F" w:rsidRPr="00135A46" w:rsidRDefault="00AB015F" w:rsidP="00A06763">
            <w:pPr>
              <w:jc w:val="center"/>
              <w:rPr>
                <w:sz w:val="20"/>
                <w:szCs w:val="18"/>
              </w:rPr>
            </w:pPr>
            <w:r>
              <w:rPr>
                <w:sz w:val="20"/>
                <w:szCs w:val="18"/>
              </w:rPr>
              <w:t>2.53</w:t>
            </w:r>
          </w:p>
        </w:tc>
        <w:tc>
          <w:tcPr>
            <w:tcW w:w="1134" w:type="dxa"/>
            <w:vAlign w:val="center"/>
          </w:tcPr>
          <w:p w14:paraId="6E567E1E" w14:textId="77777777" w:rsidR="00AB015F" w:rsidRPr="00135A46" w:rsidRDefault="00AB015F" w:rsidP="00A06763">
            <w:pPr>
              <w:jc w:val="center"/>
              <w:rPr>
                <w:sz w:val="20"/>
                <w:szCs w:val="18"/>
              </w:rPr>
            </w:pPr>
            <w:r>
              <w:rPr>
                <w:sz w:val="20"/>
                <w:szCs w:val="18"/>
              </w:rPr>
              <w:t>1.44</w:t>
            </w:r>
          </w:p>
        </w:tc>
        <w:tc>
          <w:tcPr>
            <w:tcW w:w="1134" w:type="dxa"/>
            <w:vAlign w:val="center"/>
          </w:tcPr>
          <w:p w14:paraId="07312689" w14:textId="77777777" w:rsidR="00AB015F" w:rsidRDefault="00AB015F" w:rsidP="00A06763">
            <w:pPr>
              <w:jc w:val="center"/>
              <w:rPr>
                <w:sz w:val="20"/>
                <w:szCs w:val="18"/>
              </w:rPr>
            </w:pPr>
            <w:r>
              <w:rPr>
                <w:sz w:val="20"/>
                <w:szCs w:val="18"/>
              </w:rPr>
              <w:t>2.48</w:t>
            </w:r>
          </w:p>
        </w:tc>
        <w:tc>
          <w:tcPr>
            <w:tcW w:w="1134" w:type="dxa"/>
            <w:vAlign w:val="center"/>
          </w:tcPr>
          <w:p w14:paraId="039FFCF6" w14:textId="77777777" w:rsidR="00AB015F" w:rsidRDefault="00AB015F" w:rsidP="00A06763">
            <w:pPr>
              <w:jc w:val="center"/>
              <w:rPr>
                <w:sz w:val="20"/>
                <w:szCs w:val="18"/>
              </w:rPr>
            </w:pPr>
            <w:r>
              <w:rPr>
                <w:sz w:val="20"/>
                <w:szCs w:val="18"/>
              </w:rPr>
              <w:t>3.73</w:t>
            </w:r>
          </w:p>
        </w:tc>
      </w:tr>
      <w:tr w:rsidR="00AB015F" w14:paraId="5BE64278" w14:textId="77777777" w:rsidTr="00191D64">
        <w:trPr>
          <w:trHeight w:val="321"/>
        </w:trPr>
        <w:tc>
          <w:tcPr>
            <w:tcW w:w="1985" w:type="dxa"/>
          </w:tcPr>
          <w:p w14:paraId="51347C45" w14:textId="77777777" w:rsidR="00AB015F" w:rsidRPr="00135A46" w:rsidRDefault="00AB015F" w:rsidP="00A06763">
            <w:pPr>
              <w:rPr>
                <w:sz w:val="20"/>
                <w:szCs w:val="18"/>
              </w:rPr>
            </w:pPr>
            <w:r>
              <w:rPr>
                <w:sz w:val="20"/>
                <w:szCs w:val="18"/>
              </w:rPr>
              <w:t>Bebbington 2013 ST</w:t>
            </w:r>
          </w:p>
        </w:tc>
        <w:tc>
          <w:tcPr>
            <w:tcW w:w="1134" w:type="dxa"/>
            <w:vAlign w:val="center"/>
          </w:tcPr>
          <w:p w14:paraId="65904093" w14:textId="77777777" w:rsidR="00AB015F" w:rsidRPr="00135A46" w:rsidRDefault="00AB015F" w:rsidP="00A06763">
            <w:pPr>
              <w:jc w:val="center"/>
              <w:rPr>
                <w:sz w:val="20"/>
                <w:szCs w:val="18"/>
              </w:rPr>
            </w:pPr>
            <w:r>
              <w:rPr>
                <w:sz w:val="20"/>
                <w:szCs w:val="18"/>
              </w:rPr>
              <w:t>0.95</w:t>
            </w:r>
          </w:p>
        </w:tc>
        <w:tc>
          <w:tcPr>
            <w:tcW w:w="1134" w:type="dxa"/>
            <w:vAlign w:val="center"/>
          </w:tcPr>
          <w:p w14:paraId="6A0A3B9D" w14:textId="77777777" w:rsidR="00AB015F" w:rsidRPr="00135A46" w:rsidRDefault="00AB015F" w:rsidP="00A06763">
            <w:pPr>
              <w:jc w:val="center"/>
              <w:rPr>
                <w:sz w:val="20"/>
                <w:szCs w:val="18"/>
              </w:rPr>
            </w:pPr>
            <w:r>
              <w:rPr>
                <w:sz w:val="20"/>
                <w:szCs w:val="18"/>
              </w:rPr>
              <w:t>1.65</w:t>
            </w:r>
          </w:p>
        </w:tc>
        <w:tc>
          <w:tcPr>
            <w:tcW w:w="1134" w:type="dxa"/>
            <w:gridSpan w:val="2"/>
            <w:vAlign w:val="center"/>
          </w:tcPr>
          <w:p w14:paraId="259DEBAD" w14:textId="77777777" w:rsidR="00AB015F" w:rsidRPr="00135A46" w:rsidRDefault="00AB015F" w:rsidP="00A06763">
            <w:pPr>
              <w:jc w:val="center"/>
              <w:rPr>
                <w:sz w:val="20"/>
                <w:szCs w:val="18"/>
              </w:rPr>
            </w:pPr>
            <w:r>
              <w:rPr>
                <w:sz w:val="20"/>
                <w:szCs w:val="18"/>
              </w:rPr>
              <w:t>2.42</w:t>
            </w:r>
          </w:p>
        </w:tc>
        <w:tc>
          <w:tcPr>
            <w:tcW w:w="1134" w:type="dxa"/>
            <w:vAlign w:val="center"/>
          </w:tcPr>
          <w:p w14:paraId="36670611" w14:textId="77777777" w:rsidR="00AB015F" w:rsidRPr="00135A46" w:rsidRDefault="00AB015F" w:rsidP="00A06763">
            <w:pPr>
              <w:jc w:val="center"/>
              <w:rPr>
                <w:sz w:val="20"/>
                <w:szCs w:val="18"/>
              </w:rPr>
            </w:pPr>
            <w:r>
              <w:rPr>
                <w:sz w:val="20"/>
                <w:szCs w:val="18"/>
              </w:rPr>
              <w:t>1.48</w:t>
            </w:r>
          </w:p>
        </w:tc>
        <w:tc>
          <w:tcPr>
            <w:tcW w:w="1134" w:type="dxa"/>
            <w:vAlign w:val="center"/>
          </w:tcPr>
          <w:p w14:paraId="29609930" w14:textId="77777777" w:rsidR="00AB015F" w:rsidRDefault="00AB015F" w:rsidP="00A06763">
            <w:pPr>
              <w:jc w:val="center"/>
              <w:rPr>
                <w:sz w:val="20"/>
                <w:szCs w:val="18"/>
              </w:rPr>
            </w:pPr>
            <w:r>
              <w:rPr>
                <w:sz w:val="20"/>
                <w:szCs w:val="18"/>
              </w:rPr>
              <w:t>2.49</w:t>
            </w:r>
          </w:p>
        </w:tc>
        <w:tc>
          <w:tcPr>
            <w:tcW w:w="1134" w:type="dxa"/>
            <w:vAlign w:val="center"/>
          </w:tcPr>
          <w:p w14:paraId="79E18633" w14:textId="77777777" w:rsidR="00AB015F" w:rsidRDefault="00AB015F" w:rsidP="00A06763">
            <w:pPr>
              <w:jc w:val="center"/>
              <w:rPr>
                <w:sz w:val="20"/>
                <w:szCs w:val="18"/>
              </w:rPr>
            </w:pPr>
            <w:r>
              <w:rPr>
                <w:sz w:val="20"/>
                <w:szCs w:val="18"/>
              </w:rPr>
              <w:t>3.64</w:t>
            </w:r>
          </w:p>
        </w:tc>
      </w:tr>
      <w:tr w:rsidR="00AB015F" w14:paraId="6DB9DB0F" w14:textId="77777777" w:rsidTr="00191D64">
        <w:trPr>
          <w:trHeight w:val="272"/>
        </w:trPr>
        <w:tc>
          <w:tcPr>
            <w:tcW w:w="1985" w:type="dxa"/>
          </w:tcPr>
          <w:p w14:paraId="2B90DDD2" w14:textId="77777777" w:rsidR="00AB015F" w:rsidRDefault="00AB015F" w:rsidP="00A06763">
            <w:pPr>
              <w:rPr>
                <w:sz w:val="20"/>
                <w:szCs w:val="18"/>
              </w:rPr>
            </w:pPr>
            <w:r>
              <w:rPr>
                <w:sz w:val="20"/>
                <w:szCs w:val="18"/>
              </w:rPr>
              <w:t xml:space="preserve">Bebbington 2015 </w:t>
            </w:r>
            <w:r w:rsidRPr="00BE2D5F">
              <w:rPr>
                <w:sz w:val="20"/>
                <w:szCs w:val="18"/>
              </w:rPr>
              <w:t>Elliptical boundary emphasis</w:t>
            </w:r>
          </w:p>
        </w:tc>
        <w:tc>
          <w:tcPr>
            <w:tcW w:w="1134" w:type="dxa"/>
            <w:vAlign w:val="center"/>
          </w:tcPr>
          <w:p w14:paraId="6F9A8E2A" w14:textId="77777777" w:rsidR="00AB015F" w:rsidRPr="00135A46" w:rsidRDefault="00AB015F" w:rsidP="00A06763">
            <w:pPr>
              <w:jc w:val="center"/>
              <w:rPr>
                <w:sz w:val="20"/>
                <w:szCs w:val="18"/>
              </w:rPr>
            </w:pPr>
            <w:r>
              <w:rPr>
                <w:sz w:val="20"/>
                <w:szCs w:val="18"/>
              </w:rPr>
              <w:t>0.76</w:t>
            </w:r>
          </w:p>
        </w:tc>
        <w:tc>
          <w:tcPr>
            <w:tcW w:w="1134" w:type="dxa"/>
            <w:vAlign w:val="center"/>
          </w:tcPr>
          <w:p w14:paraId="174CC909" w14:textId="77777777" w:rsidR="00AB015F" w:rsidRPr="00135A46" w:rsidRDefault="00AB015F" w:rsidP="00A06763">
            <w:pPr>
              <w:jc w:val="center"/>
              <w:rPr>
                <w:sz w:val="20"/>
                <w:szCs w:val="18"/>
              </w:rPr>
            </w:pPr>
            <w:r>
              <w:rPr>
                <w:sz w:val="20"/>
                <w:szCs w:val="18"/>
              </w:rPr>
              <w:t>1.64</w:t>
            </w:r>
          </w:p>
        </w:tc>
        <w:tc>
          <w:tcPr>
            <w:tcW w:w="1134" w:type="dxa"/>
            <w:gridSpan w:val="2"/>
            <w:vAlign w:val="center"/>
          </w:tcPr>
          <w:p w14:paraId="77C927C5" w14:textId="77777777" w:rsidR="00AB015F" w:rsidRPr="00135A46" w:rsidRDefault="00AB015F" w:rsidP="00A06763">
            <w:pPr>
              <w:jc w:val="center"/>
              <w:rPr>
                <w:sz w:val="20"/>
                <w:szCs w:val="18"/>
              </w:rPr>
            </w:pPr>
            <w:r>
              <w:rPr>
                <w:sz w:val="20"/>
                <w:szCs w:val="18"/>
              </w:rPr>
              <w:t>2.42</w:t>
            </w:r>
          </w:p>
        </w:tc>
        <w:tc>
          <w:tcPr>
            <w:tcW w:w="1134" w:type="dxa"/>
            <w:vAlign w:val="center"/>
          </w:tcPr>
          <w:p w14:paraId="7B07B809" w14:textId="77777777" w:rsidR="00AB015F" w:rsidRPr="00135A46" w:rsidRDefault="00AB015F" w:rsidP="00A06763">
            <w:pPr>
              <w:jc w:val="center"/>
              <w:rPr>
                <w:sz w:val="20"/>
                <w:szCs w:val="18"/>
              </w:rPr>
            </w:pPr>
            <w:r>
              <w:rPr>
                <w:sz w:val="20"/>
                <w:szCs w:val="18"/>
              </w:rPr>
              <w:t>1.42</w:t>
            </w:r>
          </w:p>
        </w:tc>
        <w:tc>
          <w:tcPr>
            <w:tcW w:w="1134" w:type="dxa"/>
            <w:vAlign w:val="center"/>
          </w:tcPr>
          <w:p w14:paraId="722C1AB1" w14:textId="77777777" w:rsidR="00AB015F" w:rsidRDefault="00AB015F" w:rsidP="00A06763">
            <w:pPr>
              <w:jc w:val="center"/>
              <w:rPr>
                <w:sz w:val="20"/>
                <w:szCs w:val="18"/>
              </w:rPr>
            </w:pPr>
            <w:r>
              <w:rPr>
                <w:sz w:val="20"/>
                <w:szCs w:val="18"/>
              </w:rPr>
              <w:t>2.51</w:t>
            </w:r>
          </w:p>
        </w:tc>
        <w:tc>
          <w:tcPr>
            <w:tcW w:w="1134" w:type="dxa"/>
            <w:vAlign w:val="center"/>
          </w:tcPr>
          <w:p w14:paraId="2108E805" w14:textId="77777777" w:rsidR="00AB015F" w:rsidRDefault="00AB015F" w:rsidP="00A06763">
            <w:pPr>
              <w:jc w:val="center"/>
              <w:rPr>
                <w:sz w:val="20"/>
                <w:szCs w:val="18"/>
              </w:rPr>
            </w:pPr>
            <w:r>
              <w:rPr>
                <w:sz w:val="20"/>
                <w:szCs w:val="18"/>
              </w:rPr>
              <w:t>3.62</w:t>
            </w:r>
          </w:p>
        </w:tc>
      </w:tr>
      <w:tr w:rsidR="00AB015F" w14:paraId="3887F01F" w14:textId="77777777" w:rsidTr="00191D64">
        <w:trPr>
          <w:trHeight w:val="138"/>
        </w:trPr>
        <w:tc>
          <w:tcPr>
            <w:tcW w:w="1985" w:type="dxa"/>
          </w:tcPr>
          <w:p w14:paraId="0E15C716" w14:textId="77777777" w:rsidR="00AB015F" w:rsidRDefault="00AB015F" w:rsidP="00A06763">
            <w:pPr>
              <w:rPr>
                <w:sz w:val="20"/>
                <w:szCs w:val="18"/>
              </w:rPr>
            </w:pPr>
            <w:r>
              <w:rPr>
                <w:sz w:val="20"/>
                <w:szCs w:val="18"/>
              </w:rPr>
              <w:t xml:space="preserve">Bebbington 2015 </w:t>
            </w:r>
            <w:r w:rsidRPr="00BE2D5F">
              <w:rPr>
                <w:sz w:val="20"/>
                <w:szCs w:val="18"/>
              </w:rPr>
              <w:t>Inter-vent clustering emphasis</w:t>
            </w:r>
          </w:p>
        </w:tc>
        <w:tc>
          <w:tcPr>
            <w:tcW w:w="1134" w:type="dxa"/>
            <w:vAlign w:val="center"/>
          </w:tcPr>
          <w:p w14:paraId="74835B8C" w14:textId="77777777" w:rsidR="00AB015F" w:rsidRPr="00135A46" w:rsidRDefault="00AB015F" w:rsidP="00A06763">
            <w:pPr>
              <w:jc w:val="center"/>
              <w:rPr>
                <w:sz w:val="20"/>
                <w:szCs w:val="18"/>
              </w:rPr>
            </w:pPr>
            <w:r>
              <w:rPr>
                <w:sz w:val="20"/>
                <w:szCs w:val="18"/>
              </w:rPr>
              <w:t>1.07</w:t>
            </w:r>
          </w:p>
        </w:tc>
        <w:tc>
          <w:tcPr>
            <w:tcW w:w="1134" w:type="dxa"/>
            <w:vAlign w:val="center"/>
          </w:tcPr>
          <w:p w14:paraId="6E5C11C7" w14:textId="77777777" w:rsidR="00AB015F" w:rsidRPr="00135A46" w:rsidRDefault="00AB015F" w:rsidP="00A06763">
            <w:pPr>
              <w:jc w:val="center"/>
              <w:rPr>
                <w:sz w:val="20"/>
                <w:szCs w:val="18"/>
              </w:rPr>
            </w:pPr>
            <w:r>
              <w:rPr>
                <w:sz w:val="20"/>
                <w:szCs w:val="18"/>
              </w:rPr>
              <w:t>1.73</w:t>
            </w:r>
          </w:p>
        </w:tc>
        <w:tc>
          <w:tcPr>
            <w:tcW w:w="1134" w:type="dxa"/>
            <w:gridSpan w:val="2"/>
            <w:vAlign w:val="center"/>
          </w:tcPr>
          <w:p w14:paraId="5D22EC50" w14:textId="77777777" w:rsidR="00AB015F" w:rsidRPr="00135A46" w:rsidRDefault="00AB015F" w:rsidP="00A06763">
            <w:pPr>
              <w:jc w:val="center"/>
              <w:rPr>
                <w:sz w:val="20"/>
                <w:szCs w:val="18"/>
              </w:rPr>
            </w:pPr>
            <w:r>
              <w:rPr>
                <w:sz w:val="20"/>
                <w:szCs w:val="18"/>
              </w:rPr>
              <w:t>2.42</w:t>
            </w:r>
          </w:p>
        </w:tc>
        <w:tc>
          <w:tcPr>
            <w:tcW w:w="1134" w:type="dxa"/>
            <w:vAlign w:val="center"/>
          </w:tcPr>
          <w:p w14:paraId="1FD09DFE" w14:textId="77777777" w:rsidR="00AB015F" w:rsidRPr="00135A46" w:rsidRDefault="00AB015F" w:rsidP="00A06763">
            <w:pPr>
              <w:jc w:val="center"/>
              <w:rPr>
                <w:sz w:val="20"/>
                <w:szCs w:val="18"/>
              </w:rPr>
            </w:pPr>
            <w:r>
              <w:rPr>
                <w:sz w:val="20"/>
                <w:szCs w:val="18"/>
              </w:rPr>
              <w:t>1.66</w:t>
            </w:r>
          </w:p>
        </w:tc>
        <w:tc>
          <w:tcPr>
            <w:tcW w:w="1134" w:type="dxa"/>
            <w:vAlign w:val="center"/>
          </w:tcPr>
          <w:p w14:paraId="2149E674" w14:textId="77777777" w:rsidR="00AB015F" w:rsidRDefault="00AB015F" w:rsidP="00A06763">
            <w:pPr>
              <w:jc w:val="center"/>
              <w:rPr>
                <w:sz w:val="20"/>
                <w:szCs w:val="18"/>
              </w:rPr>
            </w:pPr>
            <w:r>
              <w:rPr>
                <w:sz w:val="20"/>
                <w:szCs w:val="18"/>
              </w:rPr>
              <w:t>2.67</w:t>
            </w:r>
          </w:p>
        </w:tc>
        <w:tc>
          <w:tcPr>
            <w:tcW w:w="1134" w:type="dxa"/>
            <w:vAlign w:val="center"/>
          </w:tcPr>
          <w:p w14:paraId="2B1AA711" w14:textId="77777777" w:rsidR="00AB015F" w:rsidRDefault="00AB015F" w:rsidP="00A06763">
            <w:pPr>
              <w:jc w:val="center"/>
              <w:rPr>
                <w:sz w:val="20"/>
                <w:szCs w:val="18"/>
              </w:rPr>
            </w:pPr>
            <w:r>
              <w:rPr>
                <w:sz w:val="20"/>
                <w:szCs w:val="18"/>
              </w:rPr>
              <w:t>3.64</w:t>
            </w:r>
          </w:p>
        </w:tc>
      </w:tr>
      <w:tr w:rsidR="00AB015F" w14:paraId="690EC6B1" w14:textId="77777777" w:rsidTr="00191D64">
        <w:trPr>
          <w:trHeight w:val="138"/>
        </w:trPr>
        <w:tc>
          <w:tcPr>
            <w:tcW w:w="1985" w:type="dxa"/>
          </w:tcPr>
          <w:p w14:paraId="5213B0E6" w14:textId="77777777" w:rsidR="00AB015F" w:rsidRDefault="00AB015F" w:rsidP="00A06763">
            <w:pPr>
              <w:rPr>
                <w:sz w:val="20"/>
                <w:szCs w:val="18"/>
              </w:rPr>
            </w:pPr>
            <w:r>
              <w:rPr>
                <w:sz w:val="20"/>
                <w:szCs w:val="18"/>
              </w:rPr>
              <w:t>Uniform distribution</w:t>
            </w:r>
          </w:p>
        </w:tc>
        <w:tc>
          <w:tcPr>
            <w:tcW w:w="1134" w:type="dxa"/>
            <w:vAlign w:val="center"/>
          </w:tcPr>
          <w:p w14:paraId="58764703" w14:textId="77777777" w:rsidR="00AB015F" w:rsidRPr="00DE0608" w:rsidRDefault="00AB015F" w:rsidP="00A06763">
            <w:pPr>
              <w:jc w:val="center"/>
              <w:rPr>
                <w:sz w:val="20"/>
                <w:szCs w:val="18"/>
              </w:rPr>
            </w:pPr>
            <w:r>
              <w:rPr>
                <w:sz w:val="20"/>
                <w:szCs w:val="18"/>
              </w:rPr>
              <w:t>0.82</w:t>
            </w:r>
          </w:p>
        </w:tc>
        <w:tc>
          <w:tcPr>
            <w:tcW w:w="1134" w:type="dxa"/>
            <w:vAlign w:val="center"/>
          </w:tcPr>
          <w:p w14:paraId="4C8F27AA" w14:textId="77777777" w:rsidR="00AB015F" w:rsidRPr="00DE0608" w:rsidRDefault="00AB015F" w:rsidP="00A06763">
            <w:pPr>
              <w:jc w:val="center"/>
              <w:rPr>
                <w:sz w:val="20"/>
                <w:szCs w:val="18"/>
              </w:rPr>
            </w:pPr>
            <w:r>
              <w:rPr>
                <w:sz w:val="20"/>
                <w:szCs w:val="18"/>
              </w:rPr>
              <w:t>1.61</w:t>
            </w:r>
          </w:p>
        </w:tc>
        <w:tc>
          <w:tcPr>
            <w:tcW w:w="1134" w:type="dxa"/>
            <w:gridSpan w:val="2"/>
            <w:vAlign w:val="center"/>
          </w:tcPr>
          <w:p w14:paraId="2AF17BFA" w14:textId="77777777" w:rsidR="00AB015F" w:rsidRPr="00DE0608" w:rsidRDefault="00AB015F" w:rsidP="00A06763">
            <w:pPr>
              <w:jc w:val="center"/>
              <w:rPr>
                <w:sz w:val="20"/>
                <w:szCs w:val="18"/>
              </w:rPr>
            </w:pPr>
            <w:r>
              <w:rPr>
                <w:sz w:val="20"/>
                <w:szCs w:val="18"/>
              </w:rPr>
              <w:t>2.32</w:t>
            </w:r>
          </w:p>
        </w:tc>
        <w:tc>
          <w:tcPr>
            <w:tcW w:w="1134" w:type="dxa"/>
            <w:vAlign w:val="center"/>
          </w:tcPr>
          <w:p w14:paraId="0D2DE9C9" w14:textId="77777777" w:rsidR="00AB015F" w:rsidRPr="00DE0608" w:rsidRDefault="00AB015F" w:rsidP="00A06763">
            <w:pPr>
              <w:jc w:val="center"/>
              <w:rPr>
                <w:sz w:val="20"/>
                <w:szCs w:val="18"/>
              </w:rPr>
            </w:pPr>
            <w:r>
              <w:rPr>
                <w:sz w:val="20"/>
                <w:szCs w:val="18"/>
              </w:rPr>
              <w:t>1.30</w:t>
            </w:r>
          </w:p>
        </w:tc>
        <w:tc>
          <w:tcPr>
            <w:tcW w:w="1134" w:type="dxa"/>
            <w:vAlign w:val="center"/>
          </w:tcPr>
          <w:p w14:paraId="356E6DD5" w14:textId="77777777" w:rsidR="00AB015F" w:rsidRPr="00DE0608" w:rsidRDefault="00AB015F" w:rsidP="00A06763">
            <w:pPr>
              <w:jc w:val="center"/>
              <w:rPr>
                <w:sz w:val="20"/>
                <w:szCs w:val="18"/>
              </w:rPr>
            </w:pPr>
            <w:r>
              <w:rPr>
                <w:sz w:val="20"/>
                <w:szCs w:val="18"/>
              </w:rPr>
              <w:t>2.41</w:t>
            </w:r>
          </w:p>
        </w:tc>
        <w:tc>
          <w:tcPr>
            <w:tcW w:w="1134" w:type="dxa"/>
            <w:vAlign w:val="center"/>
          </w:tcPr>
          <w:p w14:paraId="6878457D" w14:textId="77777777" w:rsidR="00AB015F" w:rsidRPr="00DE0608" w:rsidRDefault="00AB015F" w:rsidP="00A06763">
            <w:pPr>
              <w:jc w:val="center"/>
              <w:rPr>
                <w:sz w:val="20"/>
                <w:szCs w:val="18"/>
              </w:rPr>
            </w:pPr>
            <w:r>
              <w:rPr>
                <w:sz w:val="20"/>
                <w:szCs w:val="18"/>
              </w:rPr>
              <w:t>3.49</w:t>
            </w:r>
          </w:p>
        </w:tc>
      </w:tr>
    </w:tbl>
    <w:p w14:paraId="76E95EEC" w14:textId="77777777" w:rsidR="00AB015F" w:rsidRPr="00AB015F" w:rsidRDefault="00AB015F" w:rsidP="00AB015F"/>
    <w:p w14:paraId="32F6B31F" w14:textId="77777777" w:rsidR="00AB015F" w:rsidRPr="00AB015F" w:rsidRDefault="00AB015F" w:rsidP="00AB015F"/>
    <w:p w14:paraId="56FA500B" w14:textId="691D3E39" w:rsidR="00AB015F" w:rsidRPr="00AB015F" w:rsidRDefault="003F3592" w:rsidP="00AB015F">
      <w:pPr>
        <w:pStyle w:val="Caption"/>
      </w:pPr>
      <w:r>
        <w:rPr>
          <w:rFonts w:cs="Times New Roman"/>
          <w:b/>
          <w:bCs/>
          <w:i w:val="0"/>
          <w:noProof/>
          <w:color w:val="000000" w:themeColor="text1"/>
          <w:sz w:val="20"/>
          <w:szCs w:val="13"/>
        </w:rPr>
        <w:lastRenderedPageBreak/>
        <w:drawing>
          <wp:inline distT="0" distB="0" distL="0" distR="0" wp14:anchorId="093AED72" wp14:editId="4A43BD0E">
            <wp:extent cx="5727700" cy="6297930"/>
            <wp:effectExtent l="0" t="0" r="0" b="1270"/>
            <wp:docPr id="5" name="Picture 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line chart&#10;&#10;Description automatically generated"/>
                    <pic:cNvPicPr/>
                  </pic:nvPicPr>
                  <pic:blipFill>
                    <a:blip r:embed="rId6">
                      <a:extLst>
                        <a:ext uri="{28A0092B-C50C-407E-A947-70E740481C1C}">
                          <a14:useLocalDpi xmlns:a14="http://schemas.microsoft.com/office/drawing/2010/main" val="0"/>
                        </a:ext>
                      </a:extLst>
                    </a:blip>
                    <a:stretch>
                      <a:fillRect/>
                    </a:stretch>
                  </pic:blipFill>
                  <pic:spPr>
                    <a:xfrm>
                      <a:off x="0" y="0"/>
                      <a:ext cx="5727700" cy="6297930"/>
                    </a:xfrm>
                    <a:prstGeom prst="rect">
                      <a:avLst/>
                    </a:prstGeom>
                  </pic:spPr>
                </pic:pic>
              </a:graphicData>
            </a:graphic>
          </wp:inline>
        </w:drawing>
      </w:r>
      <w:r w:rsidRPr="002850E3">
        <w:rPr>
          <w:rFonts w:cs="Times New Roman"/>
          <w:b/>
          <w:bCs/>
          <w:i w:val="0"/>
          <w:color w:val="000000" w:themeColor="text1"/>
          <w:sz w:val="20"/>
          <w:szCs w:val="13"/>
        </w:rPr>
        <w:t xml:space="preserve">Figure </w:t>
      </w:r>
      <w:r w:rsidRPr="002850E3">
        <w:rPr>
          <w:rFonts w:cs="Times New Roman"/>
          <w:b/>
          <w:bCs/>
          <w:i w:val="0"/>
          <w:color w:val="000000" w:themeColor="text1"/>
          <w:sz w:val="20"/>
          <w:szCs w:val="13"/>
        </w:rPr>
        <w:fldChar w:fldCharType="begin"/>
      </w:r>
      <w:r w:rsidRPr="002850E3">
        <w:rPr>
          <w:rFonts w:cs="Times New Roman"/>
          <w:b/>
          <w:bCs/>
          <w:i w:val="0"/>
          <w:color w:val="000000" w:themeColor="text1"/>
          <w:sz w:val="20"/>
          <w:szCs w:val="13"/>
        </w:rPr>
        <w:instrText xml:space="preserve"> SEQ Figure \* ARABIC </w:instrText>
      </w:r>
      <w:r w:rsidRPr="002850E3">
        <w:rPr>
          <w:rFonts w:cs="Times New Roman"/>
          <w:b/>
          <w:bCs/>
          <w:i w:val="0"/>
          <w:color w:val="000000" w:themeColor="text1"/>
          <w:sz w:val="20"/>
          <w:szCs w:val="13"/>
        </w:rPr>
        <w:fldChar w:fldCharType="separate"/>
      </w:r>
      <w:r w:rsidR="006F5979">
        <w:rPr>
          <w:rFonts w:cs="Times New Roman"/>
          <w:b/>
          <w:bCs/>
          <w:i w:val="0"/>
          <w:noProof/>
          <w:color w:val="000000" w:themeColor="text1"/>
          <w:sz w:val="20"/>
          <w:szCs w:val="13"/>
        </w:rPr>
        <w:t>2</w:t>
      </w:r>
      <w:r w:rsidRPr="002850E3">
        <w:rPr>
          <w:rFonts w:cs="Times New Roman"/>
          <w:b/>
          <w:bCs/>
          <w:i w:val="0"/>
          <w:color w:val="000000" w:themeColor="text1"/>
          <w:sz w:val="20"/>
          <w:szCs w:val="13"/>
        </w:rPr>
        <w:fldChar w:fldCharType="end"/>
      </w:r>
      <w:r w:rsidRPr="002850E3">
        <w:rPr>
          <w:rFonts w:cs="Times New Roman"/>
          <w:b/>
          <w:bCs/>
          <w:i w:val="0"/>
          <w:color w:val="000000" w:themeColor="text1"/>
          <w:sz w:val="20"/>
          <w:szCs w:val="13"/>
        </w:rPr>
        <w:t xml:space="preserve"> </w:t>
      </w:r>
      <w:r w:rsidRPr="002850E3">
        <w:rPr>
          <w:rFonts w:cs="Times New Roman"/>
          <w:i w:val="0"/>
          <w:color w:val="000000" w:themeColor="text1"/>
          <w:sz w:val="20"/>
          <w:szCs w:val="13"/>
        </w:rPr>
        <w:t xml:space="preserve">Distribution of </w:t>
      </w:r>
      <w:r>
        <w:rPr>
          <w:rFonts w:cs="Times New Roman"/>
          <w:i w:val="0"/>
          <w:color w:val="000000" w:themeColor="text1"/>
          <w:sz w:val="20"/>
          <w:szCs w:val="13"/>
        </w:rPr>
        <w:t xml:space="preserve">(A) evacuation travel </w:t>
      </w:r>
      <w:r w:rsidRPr="002850E3">
        <w:rPr>
          <w:rFonts w:cs="Times New Roman"/>
          <w:i w:val="0"/>
          <w:color w:val="000000" w:themeColor="text1"/>
          <w:sz w:val="20"/>
          <w:szCs w:val="13"/>
        </w:rPr>
        <w:t xml:space="preserve">times </w:t>
      </w:r>
      <w:r>
        <w:rPr>
          <w:rFonts w:cs="Times New Roman"/>
          <w:i w:val="0"/>
          <w:color w:val="000000" w:themeColor="text1"/>
          <w:sz w:val="20"/>
          <w:szCs w:val="13"/>
        </w:rPr>
        <w:t xml:space="preserve">and (B) population without vehicles </w:t>
      </w:r>
      <w:r w:rsidRPr="002850E3">
        <w:rPr>
          <w:rFonts w:cs="Times New Roman"/>
          <w:i w:val="0"/>
          <w:color w:val="000000" w:themeColor="text1"/>
          <w:sz w:val="20"/>
          <w:szCs w:val="13"/>
        </w:rPr>
        <w:t xml:space="preserve">for spatial </w:t>
      </w:r>
      <w:r>
        <w:rPr>
          <w:rFonts w:cs="Times New Roman"/>
          <w:i w:val="0"/>
          <w:color w:val="000000" w:themeColor="text1"/>
          <w:sz w:val="20"/>
          <w:szCs w:val="13"/>
        </w:rPr>
        <w:t xml:space="preserve">AVF </w:t>
      </w:r>
      <w:r w:rsidRPr="002850E3">
        <w:rPr>
          <w:rFonts w:cs="Times New Roman"/>
          <w:i w:val="0"/>
          <w:color w:val="000000" w:themeColor="text1"/>
          <w:sz w:val="20"/>
          <w:szCs w:val="13"/>
        </w:rPr>
        <w:t xml:space="preserve">vent locations </w:t>
      </w:r>
      <w:r>
        <w:rPr>
          <w:rFonts w:cs="Times New Roman"/>
          <w:i w:val="0"/>
          <w:color w:val="000000" w:themeColor="text1"/>
          <w:sz w:val="20"/>
          <w:szCs w:val="13"/>
        </w:rPr>
        <w:t>models</w:t>
      </w:r>
    </w:p>
    <w:p w14:paraId="6DB07958" w14:textId="6B937C61" w:rsidR="003F3592" w:rsidRPr="00293CCE" w:rsidRDefault="003F3592" w:rsidP="003F3592">
      <w:pPr>
        <w:pStyle w:val="Caption"/>
        <w:rPr>
          <w:rFonts w:cs="Times New Roman"/>
          <w:i w:val="0"/>
          <w:color w:val="000000" w:themeColor="text1"/>
          <w:sz w:val="20"/>
          <w:szCs w:val="13"/>
        </w:rPr>
      </w:pPr>
      <w:bookmarkStart w:id="1" w:name="_Ref56944267"/>
      <w:bookmarkStart w:id="2" w:name="_Ref59039739"/>
      <w:r>
        <w:rPr>
          <w:rFonts w:cs="Times New Roman"/>
          <w:b/>
          <w:bCs/>
          <w:i w:val="0"/>
          <w:noProof/>
          <w:color w:val="000000" w:themeColor="text1"/>
          <w:sz w:val="20"/>
          <w:szCs w:val="13"/>
        </w:rPr>
        <w:lastRenderedPageBreak/>
        <w:drawing>
          <wp:inline distT="0" distB="0" distL="0" distR="0" wp14:anchorId="014063DF" wp14:editId="378EF472">
            <wp:extent cx="5727700" cy="6398895"/>
            <wp:effectExtent l="0" t="0" r="0" b="1905"/>
            <wp:docPr id="6" name="Picture 6" descr="Chart, line 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 line chart, histogram&#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5727700" cy="6398895"/>
                    </a:xfrm>
                    <a:prstGeom prst="rect">
                      <a:avLst/>
                    </a:prstGeom>
                  </pic:spPr>
                </pic:pic>
              </a:graphicData>
            </a:graphic>
          </wp:inline>
        </w:drawing>
      </w:r>
      <w:r w:rsidRPr="002850E3">
        <w:rPr>
          <w:rFonts w:cs="Times New Roman"/>
          <w:b/>
          <w:bCs/>
          <w:i w:val="0"/>
          <w:color w:val="000000" w:themeColor="text1"/>
          <w:sz w:val="20"/>
          <w:szCs w:val="13"/>
        </w:rPr>
        <w:t xml:space="preserve">Figure </w:t>
      </w:r>
      <w:r w:rsidRPr="002850E3">
        <w:rPr>
          <w:rFonts w:cs="Times New Roman"/>
          <w:b/>
          <w:bCs/>
          <w:i w:val="0"/>
          <w:color w:val="000000" w:themeColor="text1"/>
          <w:sz w:val="20"/>
          <w:szCs w:val="13"/>
        </w:rPr>
        <w:fldChar w:fldCharType="begin"/>
      </w:r>
      <w:r w:rsidRPr="002850E3">
        <w:rPr>
          <w:rFonts w:cs="Times New Roman"/>
          <w:b/>
          <w:bCs/>
          <w:i w:val="0"/>
          <w:color w:val="000000" w:themeColor="text1"/>
          <w:sz w:val="20"/>
          <w:szCs w:val="13"/>
        </w:rPr>
        <w:instrText xml:space="preserve"> SEQ Figure \* ARABIC </w:instrText>
      </w:r>
      <w:r w:rsidRPr="002850E3">
        <w:rPr>
          <w:rFonts w:cs="Times New Roman"/>
          <w:b/>
          <w:bCs/>
          <w:i w:val="0"/>
          <w:color w:val="000000" w:themeColor="text1"/>
          <w:sz w:val="20"/>
          <w:szCs w:val="13"/>
        </w:rPr>
        <w:fldChar w:fldCharType="separate"/>
      </w:r>
      <w:r w:rsidR="006F5979">
        <w:rPr>
          <w:rFonts w:cs="Times New Roman"/>
          <w:b/>
          <w:bCs/>
          <w:i w:val="0"/>
          <w:noProof/>
          <w:color w:val="000000" w:themeColor="text1"/>
          <w:sz w:val="20"/>
          <w:szCs w:val="13"/>
        </w:rPr>
        <w:t>3</w:t>
      </w:r>
      <w:r w:rsidRPr="002850E3">
        <w:rPr>
          <w:rFonts w:cs="Times New Roman"/>
          <w:b/>
          <w:bCs/>
          <w:i w:val="0"/>
          <w:color w:val="000000" w:themeColor="text1"/>
          <w:sz w:val="20"/>
          <w:szCs w:val="13"/>
        </w:rPr>
        <w:fldChar w:fldCharType="end"/>
      </w:r>
      <w:bookmarkEnd w:id="1"/>
      <w:r w:rsidRPr="002850E3">
        <w:rPr>
          <w:rFonts w:cs="Times New Roman"/>
          <w:b/>
          <w:bCs/>
          <w:i w:val="0"/>
          <w:color w:val="000000" w:themeColor="text1"/>
          <w:sz w:val="20"/>
          <w:szCs w:val="13"/>
        </w:rPr>
        <w:t xml:space="preserve"> </w:t>
      </w:r>
      <w:r w:rsidRPr="002850E3">
        <w:rPr>
          <w:rFonts w:cs="Times New Roman"/>
          <w:i w:val="0"/>
          <w:color w:val="000000" w:themeColor="text1"/>
          <w:sz w:val="20"/>
          <w:szCs w:val="13"/>
        </w:rPr>
        <w:t xml:space="preserve">Distribution of </w:t>
      </w:r>
      <w:r>
        <w:rPr>
          <w:rFonts w:cs="Times New Roman"/>
          <w:i w:val="0"/>
          <w:color w:val="000000" w:themeColor="text1"/>
          <w:sz w:val="20"/>
          <w:szCs w:val="13"/>
        </w:rPr>
        <w:t xml:space="preserve">evacuation travel </w:t>
      </w:r>
      <w:r w:rsidRPr="002850E3">
        <w:rPr>
          <w:rFonts w:cs="Times New Roman"/>
          <w:i w:val="0"/>
          <w:color w:val="000000" w:themeColor="text1"/>
          <w:sz w:val="20"/>
          <w:szCs w:val="13"/>
        </w:rPr>
        <w:t xml:space="preserve">times for spatial </w:t>
      </w:r>
      <w:r>
        <w:rPr>
          <w:rFonts w:cs="Times New Roman"/>
          <w:i w:val="0"/>
          <w:color w:val="000000" w:themeColor="text1"/>
          <w:sz w:val="20"/>
          <w:szCs w:val="13"/>
        </w:rPr>
        <w:t xml:space="preserve">AVF </w:t>
      </w:r>
      <w:r w:rsidRPr="002850E3">
        <w:rPr>
          <w:rFonts w:cs="Times New Roman"/>
          <w:i w:val="0"/>
          <w:color w:val="000000" w:themeColor="text1"/>
          <w:sz w:val="20"/>
          <w:szCs w:val="13"/>
        </w:rPr>
        <w:t xml:space="preserve">vent locations </w:t>
      </w:r>
      <w:r>
        <w:rPr>
          <w:rFonts w:cs="Times New Roman"/>
          <w:i w:val="0"/>
          <w:color w:val="000000" w:themeColor="text1"/>
          <w:sz w:val="20"/>
          <w:szCs w:val="13"/>
        </w:rPr>
        <w:t>models with (A) 5 km and (B) 10 km vent uncertainty</w:t>
      </w:r>
      <w:bookmarkEnd w:id="2"/>
    </w:p>
    <w:p w14:paraId="7A639451" w14:textId="77777777" w:rsidR="00181DD2" w:rsidRDefault="00181DD2">
      <w:pPr>
        <w:rPr>
          <w:b/>
        </w:rPr>
      </w:pPr>
      <w:r>
        <w:rPr>
          <w:b/>
        </w:rPr>
        <w:br w:type="page"/>
      </w:r>
    </w:p>
    <w:p w14:paraId="593DD605" w14:textId="77777777" w:rsidR="00181DD2" w:rsidRPr="00D065CB" w:rsidRDefault="00181DD2">
      <w:pPr>
        <w:rPr>
          <w:b/>
        </w:rPr>
      </w:pPr>
      <w:r w:rsidRPr="00D065CB">
        <w:rPr>
          <w:b/>
        </w:rPr>
        <w:lastRenderedPageBreak/>
        <w:t>References</w:t>
      </w:r>
    </w:p>
    <w:p w14:paraId="34485B8E" w14:textId="77777777" w:rsidR="00181DD2" w:rsidRDefault="00181DD2"/>
    <w:p w14:paraId="6FEC2D39" w14:textId="77777777" w:rsidR="00191D64" w:rsidRPr="00191D64" w:rsidRDefault="00AB015F" w:rsidP="00191D64">
      <w:pPr>
        <w:pStyle w:val="Bibliography"/>
        <w:rPr>
          <w:lang w:val="en-GB"/>
        </w:rPr>
      </w:pPr>
      <w:r>
        <w:fldChar w:fldCharType="begin"/>
      </w:r>
      <w:r>
        <w:instrText xml:space="preserve"> ADDIN ZOTERO_BIBL {"uncited":[],"omitted":[],"custom":[]} CSL_BIBLIOGRAPHY </w:instrText>
      </w:r>
      <w:r>
        <w:fldChar w:fldCharType="separate"/>
      </w:r>
      <w:r w:rsidR="00191D64" w:rsidRPr="00191D64">
        <w:rPr>
          <w:lang w:val="en-GB"/>
        </w:rPr>
        <w:t>Bebbington, M.S., 2015. Spatio-volumetric hazard estimation in the Auckland volcanic field. Bulletin of Volcanology 77. https://doi.org/10.1007/s00445-015-0921-3</w:t>
      </w:r>
    </w:p>
    <w:p w14:paraId="528FD54C" w14:textId="77777777" w:rsidR="00191D64" w:rsidRPr="00191D64" w:rsidRDefault="00191D64" w:rsidP="00191D64">
      <w:pPr>
        <w:pStyle w:val="Bibliography"/>
        <w:rPr>
          <w:lang w:val="en-GB"/>
        </w:rPr>
      </w:pPr>
      <w:r w:rsidRPr="00191D64">
        <w:rPr>
          <w:lang w:val="en-GB"/>
        </w:rPr>
        <w:t>Bebbington, M.S., 2013. Assessing spatio-temporal eruption forecasts in a monogenetic volcanic field. Journal of Volcanology and Geothermal Research 252, 14–28. https://doi.org/10.1016/j.jvolgeores.2012.11.010</w:t>
      </w:r>
    </w:p>
    <w:p w14:paraId="72F6AC88" w14:textId="77777777" w:rsidR="00191D64" w:rsidRPr="00191D64" w:rsidRDefault="00191D64" w:rsidP="00191D64">
      <w:pPr>
        <w:pStyle w:val="Bibliography"/>
        <w:rPr>
          <w:lang w:val="en-GB"/>
        </w:rPr>
      </w:pPr>
      <w:r w:rsidRPr="00191D64">
        <w:rPr>
          <w:lang w:val="en-GB"/>
        </w:rPr>
        <w:t>Bebbington, M.S., Cronin, S.J., 2011. Spatio-temporal hazard estimation in the Auckland Volcanic Field, New Zealand, with a new event-order model. Bulletin of Volcanology 73, 55–72. https://doi.org/10.1007/s00445-010-0403-6</w:t>
      </w:r>
    </w:p>
    <w:p w14:paraId="7C45DB22" w14:textId="77777777" w:rsidR="00191D64" w:rsidRPr="00191D64" w:rsidRDefault="00191D64" w:rsidP="00191D64">
      <w:pPr>
        <w:pStyle w:val="Bibliography"/>
        <w:rPr>
          <w:lang w:val="en-GB"/>
        </w:rPr>
      </w:pPr>
      <w:r w:rsidRPr="00191D64">
        <w:rPr>
          <w:lang w:val="en-GB"/>
        </w:rPr>
        <w:t>Connor, C.B., Hill, B.E., 1995. Three nonhomogeneous Poisson models for the probability of basaltic volcanism: application to the Yucca Mountain region, Nevada. Journal of Geophysical Research: Solid Earth 100, 10107–10125.</w:t>
      </w:r>
    </w:p>
    <w:p w14:paraId="1EF49FC4" w14:textId="77777777" w:rsidR="00191D64" w:rsidRPr="00191D64" w:rsidRDefault="00191D64" w:rsidP="00191D64">
      <w:pPr>
        <w:pStyle w:val="Bibliography"/>
        <w:rPr>
          <w:lang w:val="en-GB"/>
        </w:rPr>
      </w:pPr>
      <w:r w:rsidRPr="00191D64">
        <w:rPr>
          <w:lang w:val="en-GB"/>
        </w:rPr>
        <w:t>Runge, M.G., Bebbington, M.S., Cronin, S.J., Lindsay, J.M., Moufti, M.R., 2015. Sensitivity to volcanic field boundary. Journal of Applied Volcanology 4, 22–22. https://doi.org/10.1186/s13617-015-0040-z</w:t>
      </w:r>
    </w:p>
    <w:p w14:paraId="29A1D1C9" w14:textId="77777777" w:rsidR="00191D64" w:rsidRPr="00191D64" w:rsidRDefault="00191D64" w:rsidP="00191D64">
      <w:pPr>
        <w:pStyle w:val="Bibliography"/>
        <w:rPr>
          <w:lang w:val="en-GB"/>
        </w:rPr>
      </w:pPr>
      <w:r w:rsidRPr="00191D64">
        <w:rPr>
          <w:lang w:val="en-GB"/>
        </w:rPr>
        <w:t>Tomsen, E., Lindsay, J.M., Gahegan, M., Wilson, T.M., Blake, D.M., 2014. Evacuation planning in the Auckland Volcanic Field, New Zealand: a spatio-temporal approach for emergency management and transportation network decisions. Journal of Applied Volcanology 3, 1–22. https://doi.org/10.1186/2191-5040-3-6</w:t>
      </w:r>
    </w:p>
    <w:p w14:paraId="5C5A6A80" w14:textId="6D2B462D" w:rsidR="00181DD2" w:rsidRDefault="00AB015F">
      <w:r>
        <w:fldChar w:fldCharType="end"/>
      </w:r>
    </w:p>
    <w:sectPr w:rsidR="00181DD2" w:rsidSect="00015442">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68DD"/>
    <w:rsid w:val="0000122C"/>
    <w:rsid w:val="000025B6"/>
    <w:rsid w:val="00015442"/>
    <w:rsid w:val="0009754F"/>
    <w:rsid w:val="00181DD2"/>
    <w:rsid w:val="00191D64"/>
    <w:rsid w:val="002D3CE8"/>
    <w:rsid w:val="003E3D99"/>
    <w:rsid w:val="003F3592"/>
    <w:rsid w:val="004B3DEE"/>
    <w:rsid w:val="005A116A"/>
    <w:rsid w:val="005D7B31"/>
    <w:rsid w:val="006F5979"/>
    <w:rsid w:val="008145A9"/>
    <w:rsid w:val="00A31697"/>
    <w:rsid w:val="00A71952"/>
    <w:rsid w:val="00AB015F"/>
    <w:rsid w:val="00B26DC3"/>
    <w:rsid w:val="00C0259E"/>
    <w:rsid w:val="00C32CE5"/>
    <w:rsid w:val="00C56221"/>
    <w:rsid w:val="00D065CB"/>
    <w:rsid w:val="00D468DD"/>
    <w:rsid w:val="00E03599"/>
    <w:rsid w:val="00E87070"/>
    <w:rsid w:val="00FE1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008E0"/>
  <w14:defaultImageDpi w14:val="32767"/>
  <w15:chartTrackingRefBased/>
  <w15:docId w15:val="{6F92E225-40B5-FD4D-A235-411CEDB16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68DD"/>
    <w:rPr>
      <w:rFonts w:ascii="Times New Roman" w:eastAsia="Times New Roman" w:hAnsi="Times New Roman" w:cs="Times New Roman"/>
      <w:lang w:val="en-N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32CE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2CE5"/>
    <w:rPr>
      <w:rFonts w:ascii="Segoe UI" w:eastAsia="Times New Roman" w:hAnsi="Segoe UI" w:cs="Segoe UI"/>
      <w:sz w:val="18"/>
      <w:szCs w:val="18"/>
      <w:lang w:val="en-NZ"/>
    </w:rPr>
  </w:style>
  <w:style w:type="character" w:styleId="CommentReference">
    <w:name w:val="annotation reference"/>
    <w:basedOn w:val="DefaultParagraphFont"/>
    <w:uiPriority w:val="99"/>
    <w:semiHidden/>
    <w:unhideWhenUsed/>
    <w:rsid w:val="004B3DEE"/>
    <w:rPr>
      <w:sz w:val="16"/>
      <w:szCs w:val="16"/>
    </w:rPr>
  </w:style>
  <w:style w:type="paragraph" w:styleId="CommentText">
    <w:name w:val="annotation text"/>
    <w:basedOn w:val="Normal"/>
    <w:link w:val="CommentTextChar"/>
    <w:uiPriority w:val="99"/>
    <w:unhideWhenUsed/>
    <w:rsid w:val="004B3DEE"/>
    <w:rPr>
      <w:rFonts w:eastAsiaTheme="minorHAnsi" w:cstheme="minorBidi"/>
      <w:sz w:val="20"/>
      <w:szCs w:val="20"/>
    </w:rPr>
  </w:style>
  <w:style w:type="character" w:customStyle="1" w:styleId="CommentTextChar">
    <w:name w:val="Comment Text Char"/>
    <w:basedOn w:val="DefaultParagraphFont"/>
    <w:link w:val="CommentText"/>
    <w:uiPriority w:val="99"/>
    <w:rsid w:val="004B3DEE"/>
    <w:rPr>
      <w:rFonts w:ascii="Times New Roman" w:hAnsi="Times New Roman"/>
      <w:sz w:val="20"/>
      <w:szCs w:val="20"/>
      <w:lang w:val="en-NZ"/>
    </w:rPr>
  </w:style>
  <w:style w:type="paragraph" w:styleId="Caption">
    <w:name w:val="caption"/>
    <w:basedOn w:val="Normal"/>
    <w:next w:val="Normal"/>
    <w:uiPriority w:val="35"/>
    <w:unhideWhenUsed/>
    <w:qFormat/>
    <w:rsid w:val="003F3592"/>
    <w:pPr>
      <w:spacing w:before="120" w:after="200" w:line="360" w:lineRule="auto"/>
      <w:jc w:val="both"/>
    </w:pPr>
    <w:rPr>
      <w:rFonts w:eastAsiaTheme="minorHAnsi" w:cstheme="minorBidi"/>
      <w:i/>
      <w:iCs/>
      <w:color w:val="44546A" w:themeColor="text2"/>
      <w:sz w:val="18"/>
      <w:szCs w:val="18"/>
    </w:rPr>
  </w:style>
  <w:style w:type="table" w:styleId="TableGrid">
    <w:name w:val="Table Grid"/>
    <w:basedOn w:val="TableNormal"/>
    <w:uiPriority w:val="39"/>
    <w:rsid w:val="00AB01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AB015F"/>
    <w:pPr>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84DBFF-F6B2-A34E-8208-BB7DC10AC2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6</Pages>
  <Words>5094</Words>
  <Characters>29039</Characters>
  <Application>Microsoft Office Word</Application>
  <DocSecurity>0</DocSecurity>
  <Lines>241</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alec wild</dc:creator>
  <cp:keywords/>
  <dc:description/>
  <cp:lastModifiedBy>Alec Wild</cp:lastModifiedBy>
  <cp:revision>8</cp:revision>
  <cp:lastPrinted>2021-04-19T19:13:00Z</cp:lastPrinted>
  <dcterms:created xsi:type="dcterms:W3CDTF">2021-03-11T06:15:00Z</dcterms:created>
  <dcterms:modified xsi:type="dcterms:W3CDTF">2021-04-19T19:17:00Z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zotero-version="5.0.96.1"&gt;&lt;session id="jz8vLYCK"/&gt;&lt;style id="http://www.zotero.org/styles/journal-of-volcanology-and-geothermal-research" hasBibliography="1" bibliographyStyleHasBeenSet="1"/&gt;&lt;prefs&gt;&lt;pref name="fieldType" value="Fiel</vt:lpwstr>
  </property>
  <property fmtid="{D5CDD505-2E9C-101B-9397-08002B2CF9AE}" pid="3" name="ZOTERO_PREF_2">
    <vt:lpwstr>d"/&gt;&lt;/prefs&gt;&lt;/data&gt;</vt:lpwstr>
  </property>
</Properties>
</file>