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77C563" w14:textId="1954DE69" w:rsidR="00F00755" w:rsidRDefault="00F00755">
      <w:pPr>
        <w:rPr>
          <w:b/>
        </w:rPr>
      </w:pPr>
      <w:bookmarkStart w:id="0" w:name="_GoBack"/>
      <w:bookmarkEnd w:id="0"/>
    </w:p>
    <w:p w14:paraId="67E5195D" w14:textId="417F89D8" w:rsidR="00F00755" w:rsidRDefault="00F00755">
      <w:pPr>
        <w:rPr>
          <w:b/>
        </w:rPr>
      </w:pPr>
    </w:p>
    <w:p w14:paraId="54D7FEF5" w14:textId="00F6CAAF" w:rsidR="00F00755" w:rsidRDefault="00F00755">
      <w:pPr>
        <w:rPr>
          <w:b/>
        </w:rPr>
      </w:pPr>
    </w:p>
    <w:p w14:paraId="16CA4743" w14:textId="1864CDD8" w:rsidR="00F00755" w:rsidRDefault="00F00755">
      <w:pPr>
        <w:rPr>
          <w:b/>
        </w:rPr>
      </w:pPr>
    </w:p>
    <w:p w14:paraId="6E398BB1" w14:textId="77777777" w:rsidR="00F00755" w:rsidRDefault="00F00755">
      <w:pPr>
        <w:rPr>
          <w:b/>
        </w:rPr>
      </w:pPr>
    </w:p>
    <w:p w14:paraId="74654387" w14:textId="77777777" w:rsidR="00D720D1" w:rsidRDefault="00D720D1">
      <w:pPr>
        <w:rPr>
          <w:b/>
        </w:rPr>
      </w:pPr>
    </w:p>
    <w:p w14:paraId="6F9435AD" w14:textId="77777777" w:rsidR="00D720D1" w:rsidRDefault="00D720D1">
      <w:pPr>
        <w:rPr>
          <w:b/>
        </w:rPr>
      </w:pPr>
    </w:p>
    <w:p w14:paraId="6A3621E6" w14:textId="77777777" w:rsidR="00D720D1" w:rsidRDefault="00D720D1">
      <w:pPr>
        <w:rPr>
          <w:b/>
        </w:rPr>
      </w:pPr>
    </w:p>
    <w:p w14:paraId="0667468C" w14:textId="77777777" w:rsidR="00D720D1" w:rsidRDefault="00D720D1">
      <w:pPr>
        <w:rPr>
          <w:b/>
        </w:rPr>
      </w:pPr>
    </w:p>
    <w:p w14:paraId="39BAB277" w14:textId="2E932343" w:rsidR="00D720D1" w:rsidRPr="00C35785" w:rsidRDefault="00973144" w:rsidP="00D720D1">
      <w:pPr>
        <w:spacing w:line="360" w:lineRule="auto"/>
        <w:jc w:val="center"/>
        <w:rPr>
          <w:b/>
          <w:sz w:val="28"/>
          <w:szCs w:val="28"/>
        </w:rPr>
      </w:pPr>
      <w:r>
        <w:rPr>
          <w:b/>
          <w:sz w:val="28"/>
          <w:szCs w:val="28"/>
        </w:rPr>
        <w:t>The Market R</w:t>
      </w:r>
      <w:r w:rsidR="00C35785" w:rsidRPr="00C35785">
        <w:rPr>
          <w:b/>
          <w:sz w:val="28"/>
          <w:szCs w:val="28"/>
        </w:rPr>
        <w:t xml:space="preserve">eaction to </w:t>
      </w:r>
      <w:r>
        <w:rPr>
          <w:b/>
          <w:sz w:val="28"/>
          <w:szCs w:val="28"/>
        </w:rPr>
        <w:t>Investment T</w:t>
      </w:r>
      <w:r w:rsidR="00C35785" w:rsidRPr="00C35785">
        <w:rPr>
          <w:b/>
          <w:sz w:val="28"/>
          <w:szCs w:val="28"/>
        </w:rPr>
        <w:t>ransparency</w:t>
      </w:r>
    </w:p>
    <w:p w14:paraId="6A86250F" w14:textId="77777777" w:rsidR="00D720D1" w:rsidRPr="00C35785" w:rsidRDefault="00D720D1">
      <w:pPr>
        <w:rPr>
          <w:b/>
        </w:rPr>
      </w:pPr>
    </w:p>
    <w:p w14:paraId="77D6890E" w14:textId="77777777" w:rsidR="00D720D1" w:rsidRPr="00C35785" w:rsidRDefault="00D720D1">
      <w:pPr>
        <w:rPr>
          <w:b/>
        </w:rPr>
      </w:pPr>
    </w:p>
    <w:p w14:paraId="58D6E426" w14:textId="77777777" w:rsidR="00D720D1" w:rsidRPr="00C35785" w:rsidRDefault="00D720D1">
      <w:pPr>
        <w:rPr>
          <w:b/>
        </w:rPr>
      </w:pPr>
    </w:p>
    <w:p w14:paraId="7119ECD8" w14:textId="77777777" w:rsidR="00D720D1" w:rsidRPr="00C35785" w:rsidRDefault="00D720D1">
      <w:pPr>
        <w:rPr>
          <w:b/>
        </w:rPr>
      </w:pPr>
    </w:p>
    <w:p w14:paraId="69814861" w14:textId="63FBCE5E" w:rsidR="00D720D1" w:rsidRPr="00C35785" w:rsidRDefault="00D720D1">
      <w:pPr>
        <w:rPr>
          <w:b/>
        </w:rPr>
      </w:pPr>
    </w:p>
    <w:p w14:paraId="4E28E827" w14:textId="231C9E01" w:rsidR="00D720D1" w:rsidRPr="00C35785" w:rsidRDefault="00D720D1">
      <w:pPr>
        <w:rPr>
          <w:b/>
        </w:rPr>
      </w:pPr>
    </w:p>
    <w:p w14:paraId="1BE65D83" w14:textId="485839F9" w:rsidR="00D720D1" w:rsidRPr="00C35785" w:rsidRDefault="00D720D1">
      <w:pPr>
        <w:rPr>
          <w:b/>
        </w:rPr>
      </w:pPr>
    </w:p>
    <w:p w14:paraId="7BB4E24A" w14:textId="0A64F860" w:rsidR="00D720D1" w:rsidRPr="00C35785" w:rsidRDefault="00D720D1">
      <w:pPr>
        <w:rPr>
          <w:b/>
        </w:rPr>
      </w:pPr>
    </w:p>
    <w:p w14:paraId="5E992DE6" w14:textId="77777777" w:rsidR="00D720D1" w:rsidRPr="00C35785" w:rsidRDefault="00D720D1">
      <w:pPr>
        <w:rPr>
          <w:b/>
        </w:rPr>
      </w:pPr>
    </w:p>
    <w:p w14:paraId="25F95CBE" w14:textId="77777777" w:rsidR="00D720D1" w:rsidRPr="00C35785" w:rsidRDefault="00D720D1">
      <w:pPr>
        <w:rPr>
          <w:b/>
        </w:rPr>
      </w:pPr>
    </w:p>
    <w:p w14:paraId="78978B47" w14:textId="77777777" w:rsidR="00D720D1" w:rsidRPr="00C35785" w:rsidRDefault="00D720D1">
      <w:pPr>
        <w:rPr>
          <w:sz w:val="28"/>
          <w:szCs w:val="28"/>
        </w:rPr>
      </w:pPr>
    </w:p>
    <w:p w14:paraId="789A1450" w14:textId="5BCFAD48" w:rsidR="00D720D1" w:rsidRPr="00C35785" w:rsidRDefault="00D720D1" w:rsidP="00D720D1">
      <w:pPr>
        <w:jc w:val="center"/>
        <w:rPr>
          <w:b/>
          <w:sz w:val="28"/>
          <w:szCs w:val="28"/>
        </w:rPr>
      </w:pPr>
      <w:r w:rsidRPr="00C35785">
        <w:rPr>
          <w:b/>
          <w:sz w:val="28"/>
          <w:szCs w:val="28"/>
        </w:rPr>
        <w:t>JG Chen*</w:t>
      </w:r>
    </w:p>
    <w:p w14:paraId="40B73F2A" w14:textId="3FDDE6D1" w:rsidR="00D720D1" w:rsidRPr="00C35785" w:rsidRDefault="004157B0" w:rsidP="00D720D1">
      <w:pPr>
        <w:jc w:val="center"/>
        <w:rPr>
          <w:sz w:val="28"/>
          <w:szCs w:val="28"/>
        </w:rPr>
      </w:pPr>
      <w:hyperlink r:id="rId8" w:history="1">
        <w:r w:rsidR="00D720D1" w:rsidRPr="00C35785">
          <w:rPr>
            <w:sz w:val="28"/>
            <w:szCs w:val="28"/>
          </w:rPr>
          <w:t>J.G.Chen@massey.ac.nz</w:t>
        </w:r>
      </w:hyperlink>
    </w:p>
    <w:p w14:paraId="605A7DFF" w14:textId="77777777" w:rsidR="00D720D1" w:rsidRPr="00C35785" w:rsidRDefault="00D720D1" w:rsidP="00D720D1">
      <w:pPr>
        <w:jc w:val="center"/>
        <w:rPr>
          <w:sz w:val="28"/>
          <w:szCs w:val="28"/>
        </w:rPr>
      </w:pPr>
    </w:p>
    <w:p w14:paraId="0B77DD4A" w14:textId="5157286D" w:rsidR="00D720D1" w:rsidRPr="00C35785" w:rsidRDefault="00D720D1" w:rsidP="00D720D1">
      <w:pPr>
        <w:jc w:val="center"/>
        <w:rPr>
          <w:b/>
          <w:sz w:val="28"/>
          <w:szCs w:val="28"/>
        </w:rPr>
      </w:pPr>
      <w:r w:rsidRPr="00C35785">
        <w:rPr>
          <w:b/>
          <w:sz w:val="28"/>
          <w:szCs w:val="28"/>
        </w:rPr>
        <w:t>David Smith*</w:t>
      </w:r>
    </w:p>
    <w:p w14:paraId="17B6B2CB" w14:textId="03516252" w:rsidR="00D720D1" w:rsidRPr="00C35785" w:rsidRDefault="00D720D1" w:rsidP="00D720D1">
      <w:pPr>
        <w:jc w:val="center"/>
        <w:rPr>
          <w:sz w:val="28"/>
          <w:szCs w:val="28"/>
        </w:rPr>
      </w:pPr>
      <w:r w:rsidRPr="00C35785">
        <w:rPr>
          <w:sz w:val="28"/>
          <w:szCs w:val="28"/>
        </w:rPr>
        <w:t>D.J.Smith@massey.ac.nz</w:t>
      </w:r>
    </w:p>
    <w:p w14:paraId="2C2D6FC4" w14:textId="7D555F42" w:rsidR="00D720D1" w:rsidRPr="00C35785" w:rsidRDefault="00D720D1" w:rsidP="00D720D1">
      <w:pPr>
        <w:jc w:val="center"/>
        <w:rPr>
          <w:sz w:val="28"/>
          <w:szCs w:val="28"/>
        </w:rPr>
      </w:pPr>
    </w:p>
    <w:p w14:paraId="4F3456EB" w14:textId="40AA3C64" w:rsidR="00D720D1" w:rsidRPr="00C35785" w:rsidRDefault="00D720D1" w:rsidP="00D720D1">
      <w:pPr>
        <w:jc w:val="center"/>
        <w:rPr>
          <w:b/>
          <w:sz w:val="28"/>
          <w:szCs w:val="28"/>
        </w:rPr>
      </w:pPr>
      <w:r w:rsidRPr="00C35785">
        <w:rPr>
          <w:b/>
          <w:sz w:val="28"/>
          <w:szCs w:val="28"/>
        </w:rPr>
        <w:t>Carolyn Wirth*</w:t>
      </w:r>
    </w:p>
    <w:p w14:paraId="5DDB9487" w14:textId="77CD3553" w:rsidR="00D720D1" w:rsidRPr="00C35785" w:rsidRDefault="00D720D1" w:rsidP="00D720D1">
      <w:pPr>
        <w:jc w:val="center"/>
        <w:rPr>
          <w:sz w:val="28"/>
          <w:szCs w:val="28"/>
        </w:rPr>
      </w:pPr>
      <w:r w:rsidRPr="00C35785">
        <w:rPr>
          <w:sz w:val="28"/>
          <w:szCs w:val="28"/>
        </w:rPr>
        <w:t>C.G.Wirth@massey.ac.nz</w:t>
      </w:r>
    </w:p>
    <w:p w14:paraId="46C54751" w14:textId="77777777" w:rsidR="00D720D1" w:rsidRPr="00C35785" w:rsidRDefault="00D720D1" w:rsidP="00D720D1">
      <w:pPr>
        <w:jc w:val="center"/>
        <w:rPr>
          <w:b/>
          <w:sz w:val="28"/>
          <w:szCs w:val="28"/>
        </w:rPr>
      </w:pPr>
    </w:p>
    <w:p w14:paraId="59D37CD6" w14:textId="77777777" w:rsidR="00D720D1" w:rsidRPr="00C35785" w:rsidRDefault="00D720D1" w:rsidP="00D720D1">
      <w:pPr>
        <w:jc w:val="center"/>
        <w:rPr>
          <w:b/>
          <w:sz w:val="28"/>
          <w:szCs w:val="28"/>
        </w:rPr>
      </w:pPr>
    </w:p>
    <w:p w14:paraId="6381EEFC" w14:textId="77777777" w:rsidR="00D720D1" w:rsidRPr="00C35785" w:rsidRDefault="00D720D1" w:rsidP="00D720D1">
      <w:pPr>
        <w:jc w:val="center"/>
        <w:rPr>
          <w:b/>
          <w:sz w:val="28"/>
          <w:szCs w:val="28"/>
        </w:rPr>
      </w:pPr>
    </w:p>
    <w:p w14:paraId="0E1AB48E" w14:textId="77777777" w:rsidR="00D720D1" w:rsidRPr="00C35785" w:rsidRDefault="00D720D1" w:rsidP="00D720D1">
      <w:pPr>
        <w:jc w:val="center"/>
        <w:rPr>
          <w:b/>
          <w:sz w:val="28"/>
          <w:szCs w:val="28"/>
        </w:rPr>
      </w:pPr>
    </w:p>
    <w:p w14:paraId="5D85AE73" w14:textId="77777777" w:rsidR="00D720D1" w:rsidRPr="00C35785" w:rsidRDefault="00D720D1" w:rsidP="00D720D1">
      <w:pPr>
        <w:jc w:val="center"/>
        <w:rPr>
          <w:b/>
          <w:sz w:val="28"/>
          <w:szCs w:val="28"/>
        </w:rPr>
      </w:pPr>
    </w:p>
    <w:p w14:paraId="4FD28198" w14:textId="77777777" w:rsidR="00D720D1" w:rsidRPr="00C35785" w:rsidRDefault="00D720D1" w:rsidP="00D720D1">
      <w:pPr>
        <w:jc w:val="center"/>
        <w:rPr>
          <w:b/>
          <w:sz w:val="28"/>
          <w:szCs w:val="28"/>
        </w:rPr>
      </w:pPr>
    </w:p>
    <w:p w14:paraId="4F52B470" w14:textId="4A0EC2D6" w:rsidR="00D720D1" w:rsidRPr="00C35785" w:rsidRDefault="00D720D1" w:rsidP="00D720D1">
      <w:pPr>
        <w:jc w:val="center"/>
        <w:rPr>
          <w:b/>
          <w:sz w:val="28"/>
          <w:szCs w:val="28"/>
        </w:rPr>
      </w:pPr>
    </w:p>
    <w:p w14:paraId="3355752B" w14:textId="10A661FB" w:rsidR="00D720D1" w:rsidRPr="00C35785" w:rsidRDefault="00B07E12" w:rsidP="00D720D1">
      <w:pPr>
        <w:jc w:val="center"/>
        <w:rPr>
          <w:b/>
          <w:sz w:val="28"/>
          <w:szCs w:val="28"/>
        </w:rPr>
      </w:pPr>
      <w:r>
        <w:rPr>
          <w:b/>
          <w:sz w:val="28"/>
          <w:szCs w:val="28"/>
        </w:rPr>
        <w:t>September</w:t>
      </w:r>
      <w:r w:rsidR="00973144">
        <w:rPr>
          <w:b/>
          <w:sz w:val="28"/>
          <w:szCs w:val="28"/>
        </w:rPr>
        <w:t xml:space="preserve"> 2018</w:t>
      </w:r>
    </w:p>
    <w:p w14:paraId="39E90A82" w14:textId="77777777" w:rsidR="00D720D1" w:rsidRPr="00C35785" w:rsidRDefault="00D720D1" w:rsidP="00D720D1">
      <w:pPr>
        <w:jc w:val="center"/>
        <w:rPr>
          <w:b/>
          <w:sz w:val="28"/>
          <w:szCs w:val="28"/>
        </w:rPr>
      </w:pPr>
    </w:p>
    <w:p w14:paraId="4962B404" w14:textId="77777777" w:rsidR="00D720D1" w:rsidRPr="00C35785" w:rsidRDefault="00D720D1" w:rsidP="00D720D1">
      <w:pPr>
        <w:jc w:val="both"/>
        <w:rPr>
          <w:b/>
        </w:rPr>
      </w:pPr>
    </w:p>
    <w:p w14:paraId="45DDE461" w14:textId="77777777" w:rsidR="00D720D1" w:rsidRPr="00C35785" w:rsidRDefault="00D720D1" w:rsidP="00D720D1">
      <w:pPr>
        <w:jc w:val="both"/>
        <w:rPr>
          <w:b/>
        </w:rPr>
      </w:pPr>
    </w:p>
    <w:p w14:paraId="1D6D1A1A" w14:textId="77777777" w:rsidR="00D720D1" w:rsidRPr="00C35785" w:rsidRDefault="00D720D1" w:rsidP="00D720D1">
      <w:pPr>
        <w:jc w:val="both"/>
        <w:rPr>
          <w:b/>
        </w:rPr>
      </w:pPr>
    </w:p>
    <w:p w14:paraId="00A81068" w14:textId="77777777" w:rsidR="00D720D1" w:rsidRPr="00C35785" w:rsidRDefault="00D720D1" w:rsidP="00D720D1">
      <w:pPr>
        <w:jc w:val="both"/>
        <w:rPr>
          <w:b/>
        </w:rPr>
      </w:pPr>
    </w:p>
    <w:p w14:paraId="4DB2A8C6" w14:textId="77777777" w:rsidR="00D720D1" w:rsidRPr="00C35785" w:rsidRDefault="00D720D1" w:rsidP="00D720D1">
      <w:pPr>
        <w:jc w:val="both"/>
        <w:rPr>
          <w:b/>
        </w:rPr>
      </w:pPr>
    </w:p>
    <w:p w14:paraId="3603459F" w14:textId="77777777" w:rsidR="00D720D1" w:rsidRPr="00C35785" w:rsidRDefault="00D720D1" w:rsidP="00D720D1">
      <w:pPr>
        <w:jc w:val="both"/>
        <w:rPr>
          <w:b/>
        </w:rPr>
      </w:pPr>
    </w:p>
    <w:p w14:paraId="36090DF0" w14:textId="20E1F412" w:rsidR="00D720D1" w:rsidRPr="00C35785" w:rsidRDefault="00D720D1" w:rsidP="00D720D1">
      <w:pPr>
        <w:jc w:val="both"/>
        <w:rPr>
          <w:highlight w:val="yellow"/>
        </w:rPr>
      </w:pPr>
      <w:r w:rsidRPr="00C35785">
        <w:t xml:space="preserve">*The authors are Senior Lecturers at the School of Economics &amp; Finance, Massey University. </w:t>
      </w:r>
    </w:p>
    <w:p w14:paraId="70896282" w14:textId="62878D00" w:rsidR="00A556AF" w:rsidRPr="00C35785" w:rsidRDefault="00A556AF">
      <w:pPr>
        <w:rPr>
          <w:b/>
          <w:highlight w:val="yellow"/>
        </w:rPr>
      </w:pPr>
      <w:r w:rsidRPr="00C35785">
        <w:rPr>
          <w:b/>
          <w:highlight w:val="yellow"/>
        </w:rPr>
        <w:br w:type="page"/>
      </w:r>
    </w:p>
    <w:p w14:paraId="3D292157" w14:textId="77777777" w:rsidR="00C35785" w:rsidRPr="00C35785" w:rsidRDefault="00C35785" w:rsidP="00C35785">
      <w:pPr>
        <w:spacing w:line="360" w:lineRule="auto"/>
        <w:rPr>
          <w:b/>
          <w:sz w:val="28"/>
          <w:szCs w:val="28"/>
        </w:rPr>
      </w:pPr>
      <w:r w:rsidRPr="00C35785">
        <w:rPr>
          <w:b/>
          <w:sz w:val="28"/>
          <w:szCs w:val="28"/>
        </w:rPr>
        <w:lastRenderedPageBreak/>
        <w:t>Market reactions to investment transparency</w:t>
      </w:r>
    </w:p>
    <w:p w14:paraId="4E1A21E8" w14:textId="77777777" w:rsidR="00E7058B" w:rsidRPr="00C35785" w:rsidRDefault="00E7058B" w:rsidP="00797270">
      <w:pPr>
        <w:spacing w:line="360" w:lineRule="auto"/>
        <w:rPr>
          <w:highlight w:val="yellow"/>
        </w:rPr>
      </w:pPr>
    </w:p>
    <w:p w14:paraId="5B939859" w14:textId="77777777" w:rsidR="00B17B86" w:rsidRPr="00C35785" w:rsidRDefault="00B17B86" w:rsidP="00B17B86">
      <w:pPr>
        <w:spacing w:line="360" w:lineRule="auto"/>
        <w:rPr>
          <w:b/>
        </w:rPr>
      </w:pPr>
      <w:r w:rsidRPr="00C35785">
        <w:rPr>
          <w:b/>
        </w:rPr>
        <w:t>Abstract</w:t>
      </w:r>
    </w:p>
    <w:p w14:paraId="48486AB8" w14:textId="77777777" w:rsidR="00B17B86" w:rsidRPr="00C35785" w:rsidRDefault="00B17B86" w:rsidP="00B17B86">
      <w:pPr>
        <w:spacing w:line="360" w:lineRule="auto"/>
        <w:rPr>
          <w:highlight w:val="yellow"/>
        </w:rPr>
      </w:pPr>
    </w:p>
    <w:p w14:paraId="2F08022A" w14:textId="10A8506B" w:rsidR="006A7A3B" w:rsidRPr="00C35785" w:rsidRDefault="006A7A3B" w:rsidP="006A7A3B">
      <w:pPr>
        <w:spacing w:line="360" w:lineRule="auto"/>
        <w:jc w:val="both"/>
        <w:rPr>
          <w:highlight w:val="yellow"/>
        </w:rPr>
      </w:pPr>
      <w:r w:rsidRPr="00D57154">
        <w:t xml:space="preserve">This paper investigates the influence of investment transparency on stock returns and information asymmetry, and finds contrasting outcomes when </w:t>
      </w:r>
      <w:r>
        <w:t xml:space="preserve">a new capital expenditure </w:t>
      </w:r>
      <w:r w:rsidRPr="00D57154">
        <w:t>announcement</w:t>
      </w:r>
      <w:r>
        <w:t>s</w:t>
      </w:r>
      <w:r w:rsidRPr="00D57154">
        <w:t xml:space="preserve"> sample is divided according to the sign (positive/negative) of the announcement period cumulative abnormal returns (</w:t>
      </w:r>
      <w:r w:rsidRPr="006A77ED">
        <w:rPr>
          <w:i/>
        </w:rPr>
        <w:t>CAR</w:t>
      </w:r>
      <w:r w:rsidRPr="00D57154">
        <w:t xml:space="preserve">). The market reacts positively to greater investment transparency only when earnings volatility is at or below median levels, and only for the positive </w:t>
      </w:r>
      <w:r w:rsidRPr="00BC1909">
        <w:rPr>
          <w:i/>
        </w:rPr>
        <w:t>CAR</w:t>
      </w:r>
      <w:r>
        <w:t xml:space="preserve"> subsample</w:t>
      </w:r>
      <w:r w:rsidRPr="00D57154">
        <w:t xml:space="preserve">. </w:t>
      </w:r>
      <w:r w:rsidR="00DA49C2">
        <w:t xml:space="preserve">This suggests that </w:t>
      </w:r>
      <w:r w:rsidR="00DA49C2" w:rsidRPr="00D57154">
        <w:t>investment transparency increases announcement period returns as long as predictive earnings persistence is not hampered</w:t>
      </w:r>
      <w:r w:rsidR="00DA49C2">
        <w:t xml:space="preserve">. </w:t>
      </w:r>
      <w:r w:rsidR="00507163">
        <w:t>We show that firms</w:t>
      </w:r>
      <w:r w:rsidR="00DA49C2">
        <w:t xml:space="preserve"> experiencing positive market reactions to their announcements</w:t>
      </w:r>
      <w:r w:rsidR="00507163">
        <w:t xml:space="preserve"> have better real growth options and suffer less from information asymmetry. In contrast, </w:t>
      </w:r>
      <w:r w:rsidR="007C40E6">
        <w:t xml:space="preserve">firms that experience negative reactions </w:t>
      </w:r>
      <w:r w:rsidR="00DA49C2">
        <w:t xml:space="preserve">to their announcements </w:t>
      </w:r>
      <w:r w:rsidR="00B57F43">
        <w:t>have</w:t>
      </w:r>
      <w:r w:rsidRPr="003D6E55">
        <w:t xml:space="preserve"> greater information asymmetry prior to the announcement</w:t>
      </w:r>
      <w:r w:rsidR="007C40E6">
        <w:t xml:space="preserve"> when the level of</w:t>
      </w:r>
      <w:r w:rsidR="00B07A37">
        <w:t xml:space="preserve"> their announcement</w:t>
      </w:r>
      <w:r w:rsidR="00DA49C2">
        <w:t xml:space="preserve"> </w:t>
      </w:r>
      <w:r w:rsidR="007C40E6">
        <w:t xml:space="preserve">transparency is low, </w:t>
      </w:r>
      <w:r w:rsidRPr="00EA16B3">
        <w:t>a</w:t>
      </w:r>
      <w:r w:rsidRPr="00D57154">
        <w:t>nd experience the greatest reduction in information asymmetry</w:t>
      </w:r>
      <w:r w:rsidR="007C40E6">
        <w:t xml:space="preserve"> following the announcement.</w:t>
      </w:r>
      <w:r w:rsidR="00FB2A57">
        <w:t xml:space="preserve"> </w:t>
      </w:r>
      <w:r w:rsidR="00507163">
        <w:t xml:space="preserve">Our evidence suggests that firms have a predilection for transparency which is </w:t>
      </w:r>
      <w:r w:rsidR="007C40E6">
        <w:t xml:space="preserve">negatively </w:t>
      </w:r>
      <w:r w:rsidR="00507163">
        <w:t xml:space="preserve">associated with information asymmetry </w:t>
      </w:r>
      <w:r w:rsidR="007C40E6">
        <w:t>in the days surrounding</w:t>
      </w:r>
      <w:r w:rsidR="00507163">
        <w:t xml:space="preserve"> the announcement. </w:t>
      </w:r>
      <w:r w:rsidRPr="00D57154">
        <w:t xml:space="preserve"> </w:t>
      </w:r>
    </w:p>
    <w:p w14:paraId="3905E0CC" w14:textId="77777777" w:rsidR="00D57154" w:rsidRDefault="00D57154" w:rsidP="00C44D82">
      <w:pPr>
        <w:spacing w:line="360" w:lineRule="auto"/>
        <w:jc w:val="both"/>
      </w:pPr>
    </w:p>
    <w:p w14:paraId="2D604B5B" w14:textId="62538443" w:rsidR="0080388D" w:rsidRPr="00C35785" w:rsidRDefault="002C3A91" w:rsidP="00C44D82">
      <w:pPr>
        <w:spacing w:line="360" w:lineRule="auto"/>
        <w:jc w:val="both"/>
        <w:rPr>
          <w:highlight w:val="yellow"/>
        </w:rPr>
      </w:pPr>
      <w:r w:rsidRPr="00360B5F">
        <w:t>Keywords: Investment transparency, capital expenditures</w:t>
      </w:r>
      <w:r w:rsidR="00360B5F" w:rsidRPr="00360B5F">
        <w:t xml:space="preserve">, </w:t>
      </w:r>
      <w:r w:rsidR="00C44D82" w:rsidRPr="00360B5F">
        <w:t>information asymmetry</w:t>
      </w:r>
      <w:r w:rsidR="00C44D82">
        <w:t xml:space="preserve">, </w:t>
      </w:r>
      <w:r w:rsidR="00360B5F" w:rsidRPr="00360B5F">
        <w:t xml:space="preserve">management forecasts, </w:t>
      </w:r>
      <w:r w:rsidR="00C44D82" w:rsidRPr="00360B5F">
        <w:t>information disclosure</w:t>
      </w:r>
      <w:r w:rsidR="00C44D82" w:rsidRPr="00C35785">
        <w:rPr>
          <w:highlight w:val="yellow"/>
        </w:rPr>
        <w:t xml:space="preserve"> </w:t>
      </w:r>
      <w:r w:rsidR="0080388D" w:rsidRPr="00C35785">
        <w:rPr>
          <w:highlight w:val="yellow"/>
        </w:rPr>
        <w:br w:type="page"/>
      </w:r>
    </w:p>
    <w:p w14:paraId="6237A92A" w14:textId="28B577EF" w:rsidR="00E7058B" w:rsidRPr="00AE197B" w:rsidRDefault="00654228" w:rsidP="00C05EFB">
      <w:pPr>
        <w:spacing w:line="360" w:lineRule="auto"/>
        <w:jc w:val="both"/>
        <w:rPr>
          <w:b/>
        </w:rPr>
      </w:pPr>
      <w:r>
        <w:rPr>
          <w:b/>
        </w:rPr>
        <w:lastRenderedPageBreak/>
        <w:t>1.</w:t>
      </w:r>
      <w:r>
        <w:rPr>
          <w:b/>
        </w:rPr>
        <w:tab/>
      </w:r>
      <w:r w:rsidR="00E7058B" w:rsidRPr="00AE197B">
        <w:rPr>
          <w:b/>
        </w:rPr>
        <w:t>Introduction</w:t>
      </w:r>
    </w:p>
    <w:p w14:paraId="0C619890" w14:textId="77777777" w:rsidR="0046370E" w:rsidRPr="00AE197B" w:rsidRDefault="0046370E">
      <w:pPr>
        <w:spacing w:line="360" w:lineRule="auto"/>
        <w:jc w:val="both"/>
      </w:pPr>
    </w:p>
    <w:p w14:paraId="47D8029D" w14:textId="19E352C4" w:rsidR="000566E4" w:rsidRDefault="008642E0" w:rsidP="007801A8">
      <w:pPr>
        <w:spacing w:line="360" w:lineRule="auto"/>
        <w:jc w:val="both"/>
        <w:rPr>
          <w:b/>
        </w:rPr>
      </w:pPr>
      <w:r w:rsidRPr="00AE197B">
        <w:t xml:space="preserve">What are the economic consequences of firms’ decisions </w:t>
      </w:r>
      <w:r w:rsidR="00FF23EA">
        <w:t>regarding</w:t>
      </w:r>
      <w:r w:rsidRPr="00AE197B">
        <w:t xml:space="preserve"> the</w:t>
      </w:r>
      <w:r w:rsidR="00FF23EA">
        <w:t>ir</w:t>
      </w:r>
      <w:r w:rsidRPr="00AE197B">
        <w:t xml:space="preserve"> level of </w:t>
      </w:r>
      <w:r w:rsidR="00FF23EA">
        <w:t xml:space="preserve">capital expenditure project </w:t>
      </w:r>
      <w:r w:rsidRPr="00AE197B">
        <w:t>disclosure</w:t>
      </w:r>
      <w:r w:rsidR="004E1B4F">
        <w:t>s</w:t>
      </w:r>
      <w:r w:rsidRPr="00AE197B">
        <w:t xml:space="preserve">? The extensiveness of an investment disclosure is described as investment transparency, and has been studied </w:t>
      </w:r>
      <w:r w:rsidR="00401B7C" w:rsidRPr="00AE197B">
        <w:t xml:space="preserve">recently </w:t>
      </w:r>
      <w:r w:rsidR="00AE197B" w:rsidRPr="00AE197B">
        <w:t>with respect to</w:t>
      </w:r>
      <w:r w:rsidRPr="00AE197B">
        <w:t xml:space="preserve"> motivations for disclosure </w:t>
      </w:r>
      <w:r w:rsidR="00401B7C" w:rsidRPr="00AE197B">
        <w:fldChar w:fldCharType="begin">
          <w:fldData xml:space="preserve">PEVuZE5vdGU+PENpdGU+PEF1dGhvcj5DYW5uaXp6YXJvPC9BdXRob3I+PFllYXI+MjAxNTwvWWVh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</w:fldData>
        </w:fldChar>
      </w:r>
      <w:r w:rsidR="00826291">
        <w:instrText xml:space="preserve"> ADDIN EN.CITE </w:instrText>
      </w:r>
      <w:r w:rsidR="00826291">
        <w:fldChar w:fldCharType="begin">
          <w:fldData xml:space="preserve">PEVuZE5vdGU+PENpdGU+PEF1dGhvcj5DYW5uaXp6YXJvPC9BdXRob3I+PFllYXI+MjAxNTwvWWVh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</w:fldData>
        </w:fldChar>
      </w:r>
      <w:r w:rsidR="00826291">
        <w:instrText xml:space="preserve"> ADDIN EN.CITE.DATA </w:instrText>
      </w:r>
      <w:r w:rsidR="00826291">
        <w:fldChar w:fldCharType="end"/>
      </w:r>
      <w:r w:rsidR="00401B7C" w:rsidRPr="00AE197B">
        <w:fldChar w:fldCharType="separate"/>
      </w:r>
      <w:r w:rsidR="00826291">
        <w:rPr>
          <w:noProof/>
        </w:rPr>
        <w:t>(</w:t>
      </w:r>
      <w:hyperlink w:anchor="_ENREF_9" w:tooltip="Cannizzaro, 2015 #1979" w:history="1">
        <w:r w:rsidR="006C57ED">
          <w:rPr>
            <w:noProof/>
          </w:rPr>
          <w:t>Cannizzaro &amp; Weiner, 2015</w:t>
        </w:r>
      </w:hyperlink>
      <w:r w:rsidR="00826291">
        <w:rPr>
          <w:noProof/>
        </w:rPr>
        <w:t xml:space="preserve">; </w:t>
      </w:r>
      <w:hyperlink w:anchor="_ENREF_41" w:tooltip="Mohamed, 2016 #2123" w:history="1">
        <w:r w:rsidR="006C57ED">
          <w:rPr>
            <w:noProof/>
          </w:rPr>
          <w:t>Mohamed &amp; Schwienbacher, 2016</w:t>
        </w:r>
      </w:hyperlink>
      <w:r w:rsidR="00826291">
        <w:rPr>
          <w:noProof/>
        </w:rPr>
        <w:t>)</w:t>
      </w:r>
      <w:r w:rsidR="00401B7C" w:rsidRPr="00AE197B">
        <w:fldChar w:fldCharType="end"/>
      </w:r>
      <w:r w:rsidR="00AE197B" w:rsidRPr="00AE197B">
        <w:t xml:space="preserve"> and its impact on investment efficiency </w:t>
      </w:r>
      <w:r w:rsidR="00AE197B" w:rsidRPr="00AE197B">
        <w:fldChar w:fldCharType="begin"/>
      </w:r>
      <w:r w:rsidR="00DD7C4E">
        <w:instrText xml:space="preserve"> ADDIN EN.CITE &lt;EndNote&gt;&lt;Cite&gt;&lt;Author&gt;Chen&lt;/Author&gt;&lt;Year&gt;2017&lt;/Year&gt;&lt;RecNum&gt;2299&lt;/RecNum&gt;&lt;DisplayText&gt;(Chen, Smith, &amp;amp; Wirth, 2017)&lt;/DisplayText&gt;&lt;record&gt;&lt;rec-number&gt;2299&lt;/rec-number&gt;&lt;foreign-keys&gt;&lt;key app="EN" db-id="20p2wrv0m2av96e55d1pzxv2zxx5pvw55d55" timestamp="1504219323"&gt;2299&lt;/key&gt;&lt;/foreign-keys&gt;&lt;ref-type name="Report"&gt;27&lt;/ref-type&gt;&lt;contributors&gt;&lt;authors&gt;&lt;author&gt;Chen, J.G.&lt;/author&gt;&lt;author&gt;Smith, D.J.&lt;/author&gt;&lt;author&gt;Wirth, C.G.&lt;/author&gt;&lt;/authors&gt;&lt;/contributors&gt;&lt;titles&gt;&lt;title&gt;How is investment efficiency related to investment transparency?&lt;/title&gt;&lt;secondary-title&gt;30th Australasian Finance &amp;amp; Banking Conference&lt;/secondary-title&gt;&lt;/titles&gt;&lt;pages&gt;39&lt;/pages&gt;&lt;keywords&gt;&lt;keyword&gt;investment transparency, investment efficiency, information disclosure, capital expenditures&lt;/keyword&gt;&lt;/keywords&gt;&lt;dates&gt;&lt;year&gt;2017&lt;/year&gt;&lt;/dates&gt;&lt;pub-location&gt;Available at SSRN&lt;/pub-location&gt;&lt;publisher&gt;https://papers.ssrn.com/sol3/papers.cfm?abstract_id=3005686&lt;/publisher&gt;&lt;work-type&gt;30th Australasian Finance &amp;amp; Banking Conference&lt;/work-type&gt;&lt;urls&gt;&lt;/urls&gt;&lt;/record&gt;&lt;/Cite&gt;&lt;/EndNote&gt;</w:instrText>
      </w:r>
      <w:r w:rsidR="00AE197B" w:rsidRPr="00AE197B">
        <w:fldChar w:fldCharType="separate"/>
      </w:r>
      <w:r w:rsidR="00AE197B" w:rsidRPr="00AE197B">
        <w:rPr>
          <w:noProof/>
        </w:rPr>
        <w:t>(</w:t>
      </w:r>
      <w:hyperlink w:anchor="_ENREF_11" w:tooltip="Chen, 2017 #2299" w:history="1">
        <w:r w:rsidR="006C57ED" w:rsidRPr="00AE197B">
          <w:rPr>
            <w:noProof/>
          </w:rPr>
          <w:t>Chen, Smith, &amp; Wirth, 2017</w:t>
        </w:r>
      </w:hyperlink>
      <w:r w:rsidR="00AE197B" w:rsidRPr="00AE197B">
        <w:rPr>
          <w:noProof/>
        </w:rPr>
        <w:t>)</w:t>
      </w:r>
      <w:r w:rsidR="00AE197B" w:rsidRPr="00AE197B">
        <w:fldChar w:fldCharType="end"/>
      </w:r>
      <w:r w:rsidR="00401B7C" w:rsidRPr="00AE197B">
        <w:t xml:space="preserve">. But little is known about how investment transparency affects stock </w:t>
      </w:r>
      <w:r w:rsidR="00D57154">
        <w:t>returns</w:t>
      </w:r>
      <w:r w:rsidR="00401B7C" w:rsidRPr="00AE197B">
        <w:t xml:space="preserve"> and information asymmetry. </w:t>
      </w:r>
      <w:r w:rsidR="00AE197B" w:rsidRPr="00AE197B">
        <w:t>In contrast to</w:t>
      </w:r>
      <w:r w:rsidR="00401B7C" w:rsidRPr="00AE197B">
        <w:t xml:space="preserve"> the US and other jurisdictions, continuous disclosure requirements in Australia require listed firms to </w:t>
      </w:r>
      <w:r w:rsidR="00140520">
        <w:t>immediately disclose their decision</w:t>
      </w:r>
      <w:r w:rsidR="009C0D2F">
        <w:t>s</w:t>
      </w:r>
      <w:r w:rsidR="00140520">
        <w:t xml:space="preserve"> to undertake a price-sensitive capital expenditure. </w:t>
      </w:r>
      <w:r w:rsidR="00526172" w:rsidRPr="00526172">
        <w:t xml:space="preserve">Project announcements </w:t>
      </w:r>
      <w:r w:rsidR="00526172">
        <w:t xml:space="preserve">can </w:t>
      </w:r>
      <w:r w:rsidR="00526172" w:rsidRPr="00526172">
        <w:t xml:space="preserve">contain project cost information and earnings-related projections that may be </w:t>
      </w:r>
      <w:r w:rsidR="001B53AD">
        <w:t>helpful</w:t>
      </w:r>
      <w:r w:rsidR="00526172" w:rsidRPr="00526172">
        <w:t xml:space="preserve"> to investors in forecasting firm-wide earnings and assessing firm valuation.</w:t>
      </w:r>
      <w:r w:rsidR="00526172">
        <w:t xml:space="preserve"> </w:t>
      </w:r>
      <w:r w:rsidR="0095453D">
        <w:t>Yet</w:t>
      </w:r>
      <w:r w:rsidR="00140520" w:rsidRPr="009C0D2F">
        <w:t>,</w:t>
      </w:r>
      <w:r w:rsidR="00EE0DC1" w:rsidRPr="009C0D2F">
        <w:t xml:space="preserve"> </w:t>
      </w:r>
      <w:r w:rsidR="00465F1B" w:rsidRPr="009C0D2F">
        <w:t>in practice</w:t>
      </w:r>
      <w:r w:rsidR="00526172">
        <w:t>,</w:t>
      </w:r>
      <w:r w:rsidR="00465F1B" w:rsidRPr="009C0D2F">
        <w:t xml:space="preserve"> the level of </w:t>
      </w:r>
      <w:r w:rsidR="002A64B7">
        <w:t>transparency</w:t>
      </w:r>
      <w:r w:rsidR="009C0D2F">
        <w:t xml:space="preserve"> regarding the financial implications of the investment</w:t>
      </w:r>
      <w:r w:rsidR="00465F1B" w:rsidRPr="009C0D2F">
        <w:t xml:space="preserve"> varies considerably</w:t>
      </w:r>
      <w:r w:rsidR="009C0D2F" w:rsidRPr="009C0D2F">
        <w:t>.</w:t>
      </w:r>
      <w:r w:rsidR="00DE569A">
        <w:t xml:space="preserve"> </w:t>
      </w:r>
      <w:r w:rsidR="00AF3F21">
        <w:t xml:space="preserve">Further, while past research </w:t>
      </w:r>
      <w:r w:rsidR="00A37696">
        <w:t xml:space="preserve">generally </w:t>
      </w:r>
      <w:r w:rsidR="00AF3F21">
        <w:t xml:space="preserve">finds positive </w:t>
      </w:r>
      <w:r w:rsidR="00DE569A">
        <w:t>average stock market reactions to capital expenditure announcements</w:t>
      </w:r>
      <w:r w:rsidR="00A37696">
        <w:t xml:space="preserve"> </w:t>
      </w:r>
      <w:r w:rsidR="00A37696">
        <w:fldChar w:fldCharType="begin">
          <w:fldData xml:space="preserve">PEVuZE5vdGU+PENpdGU+PEF1dGhvcj5DaGVuPC9BdXRob3I+PFllYXI+MjAwNjwvWWVhcj48UmVj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</w:fldData>
        </w:fldChar>
      </w:r>
      <w:r w:rsidR="00A37696">
        <w:instrText xml:space="preserve"> ADDIN EN.CITE </w:instrText>
      </w:r>
      <w:r w:rsidR="00A37696">
        <w:fldChar w:fldCharType="begin">
          <w:fldData xml:space="preserve">PEVuZE5vdGU+PENpdGU+PEF1dGhvcj5DaGVuPC9BdXRob3I+PFllYXI+MjAwNjwvWWVhcj48UmVj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</w:fldData>
        </w:fldChar>
      </w:r>
      <w:r w:rsidR="00A37696">
        <w:instrText xml:space="preserve"> ADDIN EN.CITE.DATA </w:instrText>
      </w:r>
      <w:r w:rsidR="00A37696">
        <w:fldChar w:fldCharType="end"/>
      </w:r>
      <w:r w:rsidR="00A37696">
        <w:fldChar w:fldCharType="separate"/>
      </w:r>
      <w:r w:rsidR="00A37696">
        <w:rPr>
          <w:noProof/>
        </w:rPr>
        <w:t xml:space="preserve">(e.g. </w:t>
      </w:r>
      <w:hyperlink w:anchor="_ENREF_8" w:tooltip="Brailsford, 2004 #626" w:history="1">
        <w:r w:rsidR="006C57ED">
          <w:rPr>
            <w:noProof/>
          </w:rPr>
          <w:t>Brailsford &amp; Yeoh, 2004</w:t>
        </w:r>
      </w:hyperlink>
      <w:r w:rsidR="00A37696">
        <w:rPr>
          <w:noProof/>
        </w:rPr>
        <w:t xml:space="preserve">; </w:t>
      </w:r>
      <w:hyperlink w:anchor="_ENREF_12" w:tooltip="Chen, 2006 #363" w:history="1">
        <w:r w:rsidR="006C57ED">
          <w:rPr>
            <w:noProof/>
          </w:rPr>
          <w:t>Chen, 2006</w:t>
        </w:r>
      </w:hyperlink>
      <w:r w:rsidR="00A37696">
        <w:rPr>
          <w:noProof/>
        </w:rPr>
        <w:t>)</w:t>
      </w:r>
      <w:r w:rsidR="00A37696">
        <w:fldChar w:fldCharType="end"/>
      </w:r>
      <w:r w:rsidR="00A37696">
        <w:t xml:space="preserve">, </w:t>
      </w:r>
      <w:r w:rsidR="00AF3F21">
        <w:t>other literature suggests that</w:t>
      </w:r>
      <w:r w:rsidR="00783498">
        <w:t xml:space="preserve"> there can be considerable asymmetry in market reactions to new information due to </w:t>
      </w:r>
      <w:r w:rsidR="000566E4">
        <w:t xml:space="preserve">factors such as </w:t>
      </w:r>
      <w:r w:rsidR="00A37696">
        <w:t>ambiguity aversion</w:t>
      </w:r>
      <w:r w:rsidR="00783498">
        <w:t xml:space="preserve"> </w:t>
      </w:r>
      <w:r w:rsidR="00783498">
        <w:fldChar w:fldCharType="begin"/>
      </w:r>
      <w:r w:rsidR="00783498">
        <w:instrText xml:space="preserve"> ADDIN EN.CITE &lt;EndNote&gt;&lt;Cite&gt;&lt;Author&gt;Epstein&lt;/Author&gt;&lt;Year&gt;2008&lt;/Year&gt;&lt;RecNum&gt;2329&lt;/RecNum&gt;&lt;DisplayText&gt;(Epstein &amp;amp; Schneider, 2008)&lt;/DisplayText&gt;&lt;record&gt;&lt;rec-number&gt;2329&lt;/rec-number&gt;&lt;foreign-keys&gt;&lt;key app="EN" db-id="20p2wrv0m2av96e55d1pzxv2zxx5pvw55d55" timestamp="1522105165"&gt;2329&lt;/key&gt;&lt;/foreign-keys&gt;&lt;ref-type name="Journal Article"&gt;17&lt;/ref-type&gt;&lt;contributors&gt;&lt;authors&gt;&lt;author&gt;Epstein, L. G.&lt;/author&gt;&lt;author&gt;Schneider, M.&lt;/author&gt;&lt;/authors&gt;&lt;/contributors&gt;&lt;auth-address&gt;Department of Economics, Boston University&amp;#xD;Department of Economics, NYU, Federal Reserve Bank of Minneapolis&lt;/auth-address&gt;&lt;titles&gt;&lt;title&gt;Ambiguity, information quality, and asset pricing&lt;/title&gt;&lt;secondary-title&gt;Journal of Finance&lt;/secondary-title&gt;&lt;/titles&gt;&lt;periodical&gt;&lt;full-title&gt;Journal of Finance&lt;/full-title&gt;&lt;/periodical&gt;&lt;pages&gt;197-228&lt;/pages&gt;&lt;volume&gt;63&lt;/volume&gt;&lt;number&gt;1&lt;/number&gt;&lt;dates&gt;&lt;year&gt;2008&lt;/year&gt;&lt;/dates&gt;&lt;work-type&gt;Article&lt;/work-type&gt;&lt;urls&gt;&lt;related-urls&gt;&lt;url&gt;https://www.scopus.com/inward/record.uri?eid=2-s2.0-38149027568&amp;amp;doi=10.1111%2fj.1540-6261.2008.01314.x&amp;amp;partnerID=40&amp;amp;md5=254e294a004ba93b5c941999a50d6e39&lt;/url&gt;&lt;url&gt;https://onlinelibrary.wiley.com/doi/pdf/10.1111/j.1540-6261.2008.01314.x&lt;/url&gt;&lt;/related-urls&gt;&lt;/urls&gt;&lt;electronic-resource-num&gt;10.1111/j.1540-6261.2008.01314.x&lt;/electronic-resource-num&gt;&lt;remote-database-name&gt;Scopus&lt;/remote-database-name&gt;&lt;/record&gt;&lt;/Cite&gt;&lt;/EndNote&gt;</w:instrText>
      </w:r>
      <w:r w:rsidR="00783498">
        <w:fldChar w:fldCharType="separate"/>
      </w:r>
      <w:r w:rsidR="00783498">
        <w:rPr>
          <w:noProof/>
        </w:rPr>
        <w:t>(</w:t>
      </w:r>
      <w:hyperlink w:anchor="_ENREF_19" w:tooltip="Epstein, 2008 #2329" w:history="1">
        <w:r w:rsidR="006C57ED">
          <w:rPr>
            <w:noProof/>
          </w:rPr>
          <w:t>Epstein &amp; Schneider, 2008</w:t>
        </w:r>
      </w:hyperlink>
      <w:r w:rsidR="00783498">
        <w:rPr>
          <w:noProof/>
        </w:rPr>
        <w:t>)</w:t>
      </w:r>
      <w:r w:rsidR="00783498">
        <w:fldChar w:fldCharType="end"/>
      </w:r>
      <w:r w:rsidR="00A37696">
        <w:t xml:space="preserve">, </w:t>
      </w:r>
      <w:r w:rsidR="00F2360D">
        <w:t xml:space="preserve">disclosure credibility </w:t>
      </w:r>
      <w:r w:rsidR="00F2360D">
        <w:fldChar w:fldCharType="begin"/>
      </w:r>
      <w:r w:rsidR="00F2360D">
        <w:instrText xml:space="preserve"> ADDIN EN.CITE &lt;EndNote&gt;&lt;Cite&gt;&lt;Author&gt;Gu&lt;/Author&gt;&lt;Year&gt;2007&lt;/Year&gt;&lt;RecNum&gt;2139&lt;/RecNum&gt;&lt;DisplayText&gt;(Gu &amp;amp; Li, 2007)&lt;/DisplayText&gt;&lt;record&gt;&lt;rec-number&gt;2139&lt;/rec-number&gt;&lt;foreign-keys&gt;&lt;key app="EN" db-id="20p2wrv0m2av96e55d1pzxv2zxx5pvw55d55" timestamp="1481505711"&gt;2139&lt;/key&gt;&lt;/foreign-keys&gt;&lt;ref-type name="Journal Article"&gt;17&lt;/ref-type&gt;&lt;contributors&gt;&lt;authors&gt;&lt;author&gt;Gu, Feng&lt;/author&gt;&lt;author&gt;Li, John Q.&lt;/author&gt;&lt;/authors&gt;&lt;/contributors&gt;&lt;titles&gt;&lt;title&gt;The credibility of voluntary disclosure and insider stock transactions&lt;/title&gt;&lt;secondary-title&gt;Journal of Accounting Research&lt;/secondary-title&gt;&lt;/titles&gt;&lt;periodical&gt;&lt;full-title&gt;Journal of Accounting Research&lt;/full-title&gt;&lt;/periodical&gt;&lt;pages&gt;771-810&lt;/pages&gt;&lt;volume&gt;45&lt;/volume&gt;&lt;number&gt;4&lt;/number&gt;&lt;dates&gt;&lt;year&gt;2007&lt;/year&gt;&lt;pub-dates&gt;&lt;date&gt;Sep&lt;/date&gt;&lt;/pub-dates&gt;&lt;/dates&gt;&lt;isbn&gt;0021-8456&lt;/isbn&gt;&lt;accession-num&gt;WOS:000248306500004&lt;/accession-num&gt;&lt;urls&gt;&lt;related-urls&gt;&lt;url&gt;&amp;lt;Go to ISI&amp;gt;://WOS:000248306500004&lt;/url&gt;&lt;url&gt;http://onlinelibrary.wiley.com/store/10.1111/j.1475-679X.2007.00250.x/asset/j.1475-679X.2007.00250.x.pdf?v=1&amp;amp;t=iwle9k4q&amp;amp;s=30a0f330cd3a2df078ccd098e82adaa463153768&lt;/url&gt;&lt;/related-urls&gt;&lt;/urls&gt;&lt;electronic-resource-num&gt;10.1111/j.1475-679X.2007.00250.x&lt;/electronic-resource-num&gt;&lt;/record&gt;&lt;/Cite&gt;&lt;/EndNote&gt;</w:instrText>
      </w:r>
      <w:r w:rsidR="00F2360D">
        <w:fldChar w:fldCharType="separate"/>
      </w:r>
      <w:r w:rsidR="00F2360D">
        <w:rPr>
          <w:noProof/>
        </w:rPr>
        <w:t>(</w:t>
      </w:r>
      <w:hyperlink w:anchor="_ENREF_24" w:tooltip="Gu, 2007 #2139" w:history="1">
        <w:r w:rsidR="006C57ED">
          <w:rPr>
            <w:noProof/>
          </w:rPr>
          <w:t>Gu &amp; Li, 2007</w:t>
        </w:r>
      </w:hyperlink>
      <w:r w:rsidR="00F2360D">
        <w:rPr>
          <w:noProof/>
        </w:rPr>
        <w:t>)</w:t>
      </w:r>
      <w:r w:rsidR="00F2360D">
        <w:fldChar w:fldCharType="end"/>
      </w:r>
      <w:r w:rsidR="00F2360D">
        <w:t xml:space="preserve">, firm overinvestment </w:t>
      </w:r>
      <w:r w:rsidR="00F2360D">
        <w:fldChar w:fldCharType="begin"/>
      </w:r>
      <w:r w:rsidR="00F2360D">
        <w:instrText xml:space="preserve"> ADDIN EN.CITE &lt;EndNote&gt;&lt;Cite&gt;&lt;Author&gt;Titman&lt;/Author&gt;&lt;Year&gt;2004&lt;/Year&gt;&lt;RecNum&gt;1078&lt;/RecNum&gt;&lt;DisplayText&gt;(Titman, Wei, &amp;amp; Xie, 2004)&lt;/DisplayText&gt;&lt;record&gt;&lt;rec-number&gt;1078&lt;/rec-number&gt;&lt;foreign-keys&gt;&lt;key app="EN" db-id="20p2wrv0m2av96e55d1pzxv2zxx5pvw55d55" timestamp="0"&gt;1078&lt;/key&gt;&lt;/foreign-keys&gt;&lt;ref-type name="Journal Article"&gt;17&lt;/ref-type&gt;&lt;contributors&gt;&lt;authors&gt;&lt;author&gt;Titman, S.&lt;/author&gt;&lt;author&gt;Wei, K. C. J.&lt;/author&gt;&lt;author&gt;Xie, F.&lt;/author&gt;&lt;/authors&gt;&lt;/contributors&gt;&lt;titles&gt;&lt;title&gt;Capital investments and stock returns&lt;/title&gt;&lt;secondary-title&gt;Journal of Financial and Quantitative Analysis&lt;/secondary-title&gt;&lt;/titles&gt;&lt;periodical&gt;&lt;full-title&gt;Journal of Financial and Quantitative Analysis&lt;/full-title&gt;&lt;/periodical&gt;&lt;pages&gt;677-700&lt;/pages&gt;&lt;volume&gt;39&lt;/volume&gt;&lt;number&gt;4&lt;/number&gt;&lt;dates&gt;&lt;year&gt;2004&lt;/year&gt;&lt;/dates&gt;&lt;label&gt;Essay 3/capital expenditures/event study/stock returns/free cash flow/debt&lt;/label&gt;&lt;urls&gt;&lt;related-urls&gt;&lt;url&gt;http://www.scopus.com/inward/record.url?eid=2-s2.0-11244349868&amp;amp;partnerID=40 &lt;/url&gt;&lt;/related-urls&gt;&lt;/urls&gt;&lt;/record&gt;&lt;/Cite&gt;&lt;/EndNote&gt;</w:instrText>
      </w:r>
      <w:r w:rsidR="00F2360D">
        <w:fldChar w:fldCharType="separate"/>
      </w:r>
      <w:r w:rsidR="00F2360D">
        <w:rPr>
          <w:noProof/>
        </w:rPr>
        <w:t>(</w:t>
      </w:r>
      <w:hyperlink w:anchor="_ENREF_45" w:tooltip="Titman, 2004 #1078" w:history="1">
        <w:r w:rsidR="006C57ED">
          <w:rPr>
            <w:noProof/>
          </w:rPr>
          <w:t>Titman, Wei, &amp; Xie, 2004</w:t>
        </w:r>
      </w:hyperlink>
      <w:r w:rsidR="00F2360D">
        <w:rPr>
          <w:noProof/>
        </w:rPr>
        <w:t>)</w:t>
      </w:r>
      <w:r w:rsidR="00F2360D">
        <w:fldChar w:fldCharType="end"/>
      </w:r>
      <w:r w:rsidR="00F2360D">
        <w:t>,</w:t>
      </w:r>
      <w:r w:rsidR="00032FA4">
        <w:t xml:space="preserve"> and</w:t>
      </w:r>
      <w:r w:rsidR="00F2360D">
        <w:t xml:space="preserve"> </w:t>
      </w:r>
      <w:r w:rsidR="00032FA4">
        <w:t xml:space="preserve">heterogeneity of </w:t>
      </w:r>
      <w:r w:rsidR="00A37696">
        <w:t>investor</w:t>
      </w:r>
      <w:r w:rsidR="00032FA4">
        <w:t>s</w:t>
      </w:r>
      <w:r w:rsidR="00A37696">
        <w:t xml:space="preserve"> </w:t>
      </w:r>
      <w:r w:rsidR="00A37696">
        <w:fldChar w:fldCharType="begin"/>
      </w:r>
      <w:r w:rsidR="00A37696">
        <w:instrText xml:space="preserve"> ADDIN EN.CITE &lt;EndNote&gt;&lt;Cite&gt;&lt;Author&gt;Frank&lt;/Author&gt;&lt;Year&gt;2018&lt;/Year&gt;&lt;RecNum&gt;2382&lt;/RecNum&gt;&lt;DisplayText&gt;(Frank &amp;amp; Sanati, 2018)&lt;/DisplayText&gt;&lt;record&gt;&lt;rec-number&gt;2382&lt;/rec-number&gt;&lt;foreign-keys&gt;&lt;key app="EN" db-id="20p2wrv0m2av96e55d1pzxv2zxx5pvw55d55" timestamp="1533786512"&gt;2382&lt;/key&gt;&lt;/foreign-keys&gt;&lt;ref-type name="Journal Article"&gt;17&lt;/ref-type&gt;&lt;contributors&gt;&lt;authors&gt;&lt;author&gt;Frank, M. Z.&lt;/author&gt;&lt;author&gt;Sanati, A.&lt;/author&gt;&lt;/authors&gt;&lt;/contributors&gt;&lt;auth-address&gt;Carlson School of Management, University of Minnesota, 321 19th Ave South, Minneapolis, MN, United States&amp;#xD;Kogod School of Business, American University, 4400 Massachusetts Ave NW, Washington, DC, United States&lt;/auth-address&gt;&lt;titles&gt;&lt;title&gt;How does the stock market absorb shocks?&lt;/title&gt;&lt;secondary-title&gt;Journal of Financial Economics&lt;/secondary-title&gt;&lt;/titles&gt;&lt;periodical&gt;&lt;full-title&gt;Journal of Financial Economics&lt;/full-title&gt;&lt;/periodical&gt;&lt;pages&gt;136-153&lt;/pages&gt;&lt;volume&gt;129&lt;/volume&gt;&lt;number&gt;1&lt;/number&gt;&lt;keywords&gt;&lt;keyword&gt;Limited attention&lt;/keyword&gt;&lt;keyword&gt;Limits to arbitrage&lt;/keyword&gt;&lt;keyword&gt;News&lt;/keyword&gt;&lt;keyword&gt;Overreaction&lt;/keyword&gt;&lt;keyword&gt;Stock return predictability&lt;/keyword&gt;&lt;keyword&gt;Text analysis&lt;/keyword&gt;&lt;keyword&gt;Underreaction&lt;/keyword&gt;&lt;/keywords&gt;&lt;dates&gt;&lt;year&gt;2018&lt;/year&gt;&lt;/dates&gt;&lt;work-type&gt;Article&lt;/work-type&gt;&lt;urls&gt;&lt;related-urls&gt;&lt;url&gt;https://www.scopus.com/inward/record.uri?eid=2-s2.0-85046127311&amp;amp;doi=10.1016%2fj.jfineco.2018.04.002&amp;amp;partnerID=40&amp;amp;md5=8f76b93e18a6bd43e93530bf5396e973&lt;/url&gt;&lt;/related-urls&gt;&lt;/urls&gt;&lt;electronic-resource-num&gt;10.1016/j.jfineco.2018.04.002&lt;/electronic-resource-num&gt;&lt;remote-database-name&gt;Scopus&lt;/remote-database-name&gt;&lt;/record&gt;&lt;/Cite&gt;&lt;/EndNote&gt;</w:instrText>
      </w:r>
      <w:r w:rsidR="00A37696">
        <w:fldChar w:fldCharType="separate"/>
      </w:r>
      <w:r w:rsidR="00A37696">
        <w:rPr>
          <w:noProof/>
        </w:rPr>
        <w:t>(</w:t>
      </w:r>
      <w:hyperlink w:anchor="_ENREF_22" w:tooltip="Frank, 2018 #2382" w:history="1">
        <w:r w:rsidR="006C57ED">
          <w:rPr>
            <w:noProof/>
          </w:rPr>
          <w:t>Frank &amp; Sanati, 2018</w:t>
        </w:r>
      </w:hyperlink>
      <w:r w:rsidR="00A37696">
        <w:rPr>
          <w:noProof/>
        </w:rPr>
        <w:t>)</w:t>
      </w:r>
      <w:r w:rsidR="00A37696">
        <w:fldChar w:fldCharType="end"/>
      </w:r>
      <w:r w:rsidR="00F2360D">
        <w:t>.</w:t>
      </w:r>
      <w:r w:rsidR="00783498">
        <w:t xml:space="preserve"> </w:t>
      </w:r>
      <w:r w:rsidR="00D26AF1">
        <w:t>This suggests that</w:t>
      </w:r>
      <w:r w:rsidR="00783498">
        <w:t xml:space="preserve"> it is important to analyse positive and negative </w:t>
      </w:r>
      <w:r w:rsidR="006A77ED">
        <w:t xml:space="preserve">market </w:t>
      </w:r>
      <w:r w:rsidR="00783498">
        <w:t>reactions separately to avoid averaging different influences.</w:t>
      </w:r>
      <w:r w:rsidR="00F2360D">
        <w:t xml:space="preserve"> </w:t>
      </w:r>
      <w:r w:rsidR="000566E4">
        <w:t>Accordingly, t</w:t>
      </w:r>
      <w:r w:rsidR="00F2360D">
        <w:t xml:space="preserve">he aim of </w:t>
      </w:r>
      <w:r w:rsidR="00F2360D" w:rsidRPr="000566E4">
        <w:t xml:space="preserve">this paper is to </w:t>
      </w:r>
      <w:r w:rsidR="000566E4" w:rsidRPr="000566E4">
        <w:t>g</w:t>
      </w:r>
      <w:r w:rsidR="000566E4" w:rsidRPr="007801A8">
        <w:t xml:space="preserve">ain a better understanding of the influence of investment transparency on stock returns and information asymmetry </w:t>
      </w:r>
      <w:r w:rsidR="0074480D">
        <w:t>while allowing for</w:t>
      </w:r>
      <w:r w:rsidR="000566E4" w:rsidRPr="007801A8">
        <w:t xml:space="preserve"> asymmetric market responses to </w:t>
      </w:r>
      <w:r w:rsidR="00D26AF1">
        <w:t>capital expenditure</w:t>
      </w:r>
      <w:r w:rsidR="000566E4" w:rsidRPr="007801A8">
        <w:t xml:space="preserve"> announcements</w:t>
      </w:r>
      <w:r w:rsidR="00D26AF1">
        <w:t>.</w:t>
      </w:r>
    </w:p>
    <w:p w14:paraId="27E96BD2" w14:textId="34848A13" w:rsidR="009700FF" w:rsidRDefault="009700FF" w:rsidP="0031482B">
      <w:pPr>
        <w:spacing w:line="360" w:lineRule="auto"/>
        <w:jc w:val="both"/>
      </w:pPr>
    </w:p>
    <w:p w14:paraId="5676051E" w14:textId="585472E1" w:rsidR="001F26C0" w:rsidRDefault="001F26C0" w:rsidP="007801A8">
      <w:pPr>
        <w:spacing w:line="360" w:lineRule="auto"/>
        <w:jc w:val="both"/>
      </w:pPr>
      <w:r>
        <w:t xml:space="preserve">To achieve this, </w:t>
      </w:r>
      <w:r w:rsidR="00D30345">
        <w:t xml:space="preserve">new capital expenditures </w:t>
      </w:r>
      <w:r>
        <w:t xml:space="preserve">announcements to the </w:t>
      </w:r>
      <w:r w:rsidR="00FA7C0A">
        <w:t>Australian Stock Exchange (</w:t>
      </w:r>
      <w:r>
        <w:t>ASX</w:t>
      </w:r>
      <w:r w:rsidR="00FA7C0A">
        <w:t>)</w:t>
      </w:r>
      <w:r w:rsidR="00D30345">
        <w:t xml:space="preserve"> made by listed companies from 2008 to 2014 are analysed for their content </w:t>
      </w:r>
      <w:r w:rsidR="00D30345" w:rsidRPr="008F41FA">
        <w:t xml:space="preserve">regarding the </w:t>
      </w:r>
      <w:r w:rsidR="001141B0">
        <w:t xml:space="preserve">cost and </w:t>
      </w:r>
      <w:r w:rsidR="00D30345" w:rsidRPr="008F41FA">
        <w:t xml:space="preserve">profitability of </w:t>
      </w:r>
      <w:r w:rsidR="00D30345">
        <w:t xml:space="preserve">the </w:t>
      </w:r>
      <w:r w:rsidR="00D30345" w:rsidRPr="008F41FA">
        <w:t>project</w:t>
      </w:r>
      <w:r w:rsidR="00D30345">
        <w:t>.</w:t>
      </w:r>
      <w:r w:rsidR="00D30345" w:rsidRPr="008F41FA">
        <w:t xml:space="preserve"> </w:t>
      </w:r>
      <w:r w:rsidR="00D30345">
        <w:t xml:space="preserve">The stock </w:t>
      </w:r>
      <w:r w:rsidR="00772D02">
        <w:t xml:space="preserve">cumulative abnormal </w:t>
      </w:r>
      <w:r w:rsidR="00D30345">
        <w:t>returns</w:t>
      </w:r>
      <w:r w:rsidR="00772D02">
        <w:t xml:space="preserve"> (</w:t>
      </w:r>
      <w:r w:rsidR="00772D02" w:rsidRPr="00CF4E8D">
        <w:rPr>
          <w:i/>
        </w:rPr>
        <w:t>CAR</w:t>
      </w:r>
      <w:r w:rsidR="00772D02">
        <w:t>)</w:t>
      </w:r>
      <w:r w:rsidR="00D30345">
        <w:t xml:space="preserve"> around </w:t>
      </w:r>
      <w:r w:rsidR="00CD7263">
        <w:t xml:space="preserve">a three day [0,+2] </w:t>
      </w:r>
      <w:r w:rsidR="00D30345">
        <w:t xml:space="preserve">announcement window are analysed and then </w:t>
      </w:r>
      <w:r w:rsidR="002927F3">
        <w:t xml:space="preserve">classified </w:t>
      </w:r>
      <w:r w:rsidR="00D30345">
        <w:t xml:space="preserve">according to the return being positive or negative. </w:t>
      </w:r>
      <w:r w:rsidR="007C1DAA">
        <w:t xml:space="preserve">Although their focus is post-event performance, Frank and Sanati </w:t>
      </w:r>
      <w:r w:rsidR="007C1DAA">
        <w:fldChar w:fldCharType="begin"/>
      </w:r>
      <w:r w:rsidR="007C1DAA">
        <w:instrText xml:space="preserve"> ADDIN EN.CITE &lt;EndNote&gt;&lt;Cite ExcludeAuth="1"&gt;&lt;Author&gt;Frank&lt;/Author&gt;&lt;Year&gt;2018&lt;/Year&gt;&lt;RecNum&gt;2382&lt;/RecNum&gt;&lt;DisplayText&gt;(2018)&lt;/DisplayText&gt;&lt;record&gt;&lt;rec-number&gt;2382&lt;/rec-number&gt;&lt;foreign-keys&gt;&lt;key app="EN" db-id="20p2wrv0m2av96e55d1pzxv2zxx5pvw55d55" timestamp="1533786512"&gt;2382&lt;/key&gt;&lt;/foreign-keys&gt;&lt;ref-type name="Journal Article"&gt;17&lt;/ref-type&gt;&lt;contributors&gt;&lt;authors&gt;&lt;author&gt;Frank, M. Z.&lt;/author&gt;&lt;author&gt;Sanati, A.&lt;/author&gt;&lt;/authors&gt;&lt;/contributors&gt;&lt;auth-address&gt;Carlson School of Management, University of Minnesota, 321 19th Ave South, Minneapolis, MN, United States&amp;#xD;Kogod School of Business, American University, 4400 Massachusetts Ave NW, Washington, DC, United States&lt;/auth-address&gt;&lt;titles&gt;&lt;title&gt;How does the stock market absorb shocks?&lt;/title&gt;&lt;secondary-title&gt;Journal of Financial Economics&lt;/secondary-title&gt;&lt;/titles&gt;&lt;periodical&gt;&lt;full-title&gt;Journal of Financial Economics&lt;/full-title&gt;&lt;/periodical&gt;&lt;pages&gt;136-153&lt;/pages&gt;&lt;volume&gt;129&lt;/volume&gt;&lt;number&gt;1&lt;/number&gt;&lt;keywords&gt;&lt;keyword&gt;Limited attention&lt;/keyword&gt;&lt;keyword&gt;Limits to arbitrage&lt;/keyword&gt;&lt;keyword&gt;News&lt;/keyword&gt;&lt;keyword&gt;Overreaction&lt;/keyword&gt;&lt;keyword&gt;Stock return predictability&lt;/keyword&gt;&lt;keyword&gt;Text analysis&lt;/keyword&gt;&lt;keyword&gt;Underreaction&lt;/keyword&gt;&lt;/keywords&gt;&lt;dates&gt;&lt;year&gt;2018&lt;/year&gt;&lt;/dates&gt;&lt;work-type&gt;Article&lt;/work-type&gt;&lt;urls&gt;&lt;related-urls&gt;&lt;url&gt;https://www.scopus.com/inward/record.uri?eid=2-s2.0-85046127311&amp;amp;doi=10.1016%2fj.jfineco.2018.04.002&amp;amp;partnerID=40&amp;amp;md5=8f76b93e18a6bd43e93530bf5396e973&lt;/url&gt;&lt;/related-urls&gt;&lt;/urls&gt;&lt;electronic-resource-num&gt;10.1016/j.jfineco.2018.04.002&lt;/electronic-resource-num&gt;&lt;remote-database-name&gt;Scopus&lt;/remote-database-name&gt;&lt;/record&gt;&lt;/Cite&gt;&lt;/EndNote&gt;</w:instrText>
      </w:r>
      <w:r w:rsidR="007C1DAA">
        <w:fldChar w:fldCharType="separate"/>
      </w:r>
      <w:r w:rsidR="007C1DAA">
        <w:rPr>
          <w:noProof/>
        </w:rPr>
        <w:t>(</w:t>
      </w:r>
      <w:hyperlink w:anchor="_ENREF_22" w:tooltip="Frank, 2018 #2382" w:history="1">
        <w:r w:rsidR="006C57ED">
          <w:rPr>
            <w:noProof/>
          </w:rPr>
          <w:t>2018</w:t>
        </w:r>
      </w:hyperlink>
      <w:r w:rsidR="007C1DAA">
        <w:rPr>
          <w:noProof/>
        </w:rPr>
        <w:t>)</w:t>
      </w:r>
      <w:r w:rsidR="007C1DAA">
        <w:fldChar w:fldCharType="end"/>
      </w:r>
      <w:r w:rsidR="007C1DAA">
        <w:t xml:space="preserve"> point out that</w:t>
      </w:r>
      <w:r w:rsidR="007C1DAA" w:rsidRPr="00A91CA5">
        <w:t xml:space="preserve"> </w:t>
      </w:r>
      <w:r w:rsidR="007C1DAA">
        <w:t>the tendency for past studies to analyse full samples produces averages that fail to consider potential asymmetry of responses. We also find that t</w:t>
      </w:r>
      <w:r w:rsidR="00D30345">
        <w:t>he sign of the return is important in distinguishing</w:t>
      </w:r>
      <w:r w:rsidR="002927F3">
        <w:t xml:space="preserve"> factors influencing</w:t>
      </w:r>
      <w:r w:rsidR="00D30345">
        <w:t xml:space="preserve"> the market reaction</w:t>
      </w:r>
      <w:r w:rsidR="002927F3">
        <w:t xml:space="preserve"> to investment transparency.</w:t>
      </w:r>
      <w:r w:rsidR="00D30345">
        <w:t xml:space="preserve"> </w:t>
      </w:r>
    </w:p>
    <w:p w14:paraId="4FB465D9" w14:textId="77777777" w:rsidR="00C2149B" w:rsidRDefault="00C2149B" w:rsidP="00CF4E8D">
      <w:pPr>
        <w:jc w:val="both"/>
        <w:rPr>
          <w:b/>
        </w:rPr>
      </w:pPr>
    </w:p>
    <w:p w14:paraId="07202788" w14:textId="03B16E8B" w:rsidR="00C2149B" w:rsidRDefault="00D65DF3" w:rsidP="00CF4E8D">
      <w:pPr>
        <w:spacing w:line="360" w:lineRule="auto"/>
        <w:jc w:val="both"/>
      </w:pPr>
      <w:r>
        <w:t>On average, t</w:t>
      </w:r>
      <w:r w:rsidR="008678CA" w:rsidRPr="007801A8">
        <w:t>he results reveal positive stock market re</w:t>
      </w:r>
      <w:r>
        <w:t xml:space="preserve">turns </w:t>
      </w:r>
      <w:r w:rsidR="008678CA" w:rsidRPr="007801A8">
        <w:t xml:space="preserve">to capital expenditure announcements, </w:t>
      </w:r>
      <w:r>
        <w:t xml:space="preserve">but there are considerable differences between the positive and negative </w:t>
      </w:r>
      <w:r w:rsidR="00C80A4D" w:rsidRPr="00C80A4D">
        <w:rPr>
          <w:i/>
        </w:rPr>
        <w:t>CAR</w:t>
      </w:r>
      <w:r>
        <w:t xml:space="preserve"> </w:t>
      </w:r>
      <w:r w:rsidR="00EA217C">
        <w:t>subsample</w:t>
      </w:r>
      <w:r>
        <w:t>s with respect to the importance of investment transparency in explaining the market response.</w:t>
      </w:r>
      <w:r w:rsidR="00A91CA5">
        <w:t xml:space="preserve"> </w:t>
      </w:r>
      <w:r w:rsidR="00A91CA5" w:rsidRPr="00A91CA5">
        <w:t xml:space="preserve">The market </w:t>
      </w:r>
      <w:r w:rsidR="00A91CA5" w:rsidRPr="00A91CA5">
        <w:lastRenderedPageBreak/>
        <w:t xml:space="preserve">reacts positively to greater investment transparency only for the positive </w:t>
      </w:r>
      <w:r w:rsidR="00C80A4D" w:rsidRPr="00C80A4D">
        <w:rPr>
          <w:i/>
        </w:rPr>
        <w:t>CAR</w:t>
      </w:r>
      <w:r w:rsidR="00A91CA5" w:rsidRPr="00A91CA5">
        <w:t xml:space="preserve"> </w:t>
      </w:r>
      <w:r w:rsidR="00EA217C">
        <w:t>subsample</w:t>
      </w:r>
      <w:r w:rsidR="00A91CA5" w:rsidRPr="00A91CA5">
        <w:t xml:space="preserve">. </w:t>
      </w:r>
      <w:r w:rsidR="00D4395F" w:rsidRPr="00D4395F">
        <w:t xml:space="preserve">For the negative </w:t>
      </w:r>
      <w:r w:rsidR="00C80A4D" w:rsidRPr="00C80A4D">
        <w:rPr>
          <w:i/>
        </w:rPr>
        <w:t>CAR</w:t>
      </w:r>
      <w:r w:rsidR="00D4395F" w:rsidRPr="00D4395F">
        <w:t xml:space="preserve"> </w:t>
      </w:r>
      <w:r w:rsidR="00EA217C">
        <w:t>subsample</w:t>
      </w:r>
      <w:r w:rsidR="00D4395F" w:rsidRPr="00D4395F">
        <w:t xml:space="preserve">, greater disclosure does not result in greater abnormal returns. </w:t>
      </w:r>
    </w:p>
    <w:p w14:paraId="4A707AD7" w14:textId="6EB3598A" w:rsidR="0087343D" w:rsidRDefault="0087343D" w:rsidP="00CF4E8D">
      <w:pPr>
        <w:spacing w:line="360" w:lineRule="auto"/>
        <w:jc w:val="both"/>
      </w:pPr>
    </w:p>
    <w:p w14:paraId="717EEA15" w14:textId="43131CB0" w:rsidR="0087343D" w:rsidRDefault="00C80A4D" w:rsidP="00CF4E8D">
      <w:pPr>
        <w:spacing w:line="360" w:lineRule="auto"/>
        <w:jc w:val="both"/>
      </w:pPr>
      <w:r>
        <w:t>Further</w:t>
      </w:r>
      <w:r w:rsidR="0087343D">
        <w:t xml:space="preserve">, </w:t>
      </w:r>
      <w:r w:rsidR="0074480D">
        <w:t xml:space="preserve">our </w:t>
      </w:r>
      <w:r w:rsidR="0087343D">
        <w:t xml:space="preserve">empirical evidence </w:t>
      </w:r>
      <w:r w:rsidR="00D2119B">
        <w:t>indicates</w:t>
      </w:r>
      <w:r w:rsidR="0087343D">
        <w:t xml:space="preserve"> that </w:t>
      </w:r>
      <w:r w:rsidR="00D2119B">
        <w:t xml:space="preserve">the benefits of </w:t>
      </w:r>
      <w:r w:rsidR="0087343D">
        <w:t xml:space="preserve">investment transparency </w:t>
      </w:r>
      <w:r w:rsidR="00D2119B">
        <w:t>depend upon the level of</w:t>
      </w:r>
      <w:r w:rsidR="00D2119B" w:rsidRPr="00A91CA5">
        <w:t xml:space="preserve"> earnings volatility</w:t>
      </w:r>
      <w:r w:rsidR="00D2119B">
        <w:t xml:space="preserve">. At low levels of volatility, greater disclosure is associated with higher </w:t>
      </w:r>
      <w:r w:rsidRPr="00C80A4D">
        <w:rPr>
          <w:i/>
        </w:rPr>
        <w:t>CAR</w:t>
      </w:r>
      <w:r w:rsidR="00D2119B">
        <w:t xml:space="preserve">, more so for the positive </w:t>
      </w:r>
      <w:r w:rsidRPr="00C80A4D">
        <w:rPr>
          <w:i/>
        </w:rPr>
        <w:t>CAR</w:t>
      </w:r>
      <w:r w:rsidR="00D2119B">
        <w:t xml:space="preserve"> </w:t>
      </w:r>
      <w:r w:rsidR="00EA217C">
        <w:t>subsample</w:t>
      </w:r>
      <w:r w:rsidR="00D2119B">
        <w:t xml:space="preserve">. This finding is consistent with real options theory, suggesting that </w:t>
      </w:r>
      <w:r w:rsidR="00D2119B" w:rsidRPr="00D2119B">
        <w:t xml:space="preserve">the presence of valuable growth options creates a positive relationship between a firm’s stock returns and </w:t>
      </w:r>
      <w:r w:rsidR="00D2119B">
        <w:t xml:space="preserve">historical </w:t>
      </w:r>
      <w:r w:rsidR="00D2119B" w:rsidRPr="00D2119B">
        <w:t>return volatility</w:t>
      </w:r>
      <w:r w:rsidR="00D2119B">
        <w:t xml:space="preserve"> </w:t>
      </w:r>
      <w:r w:rsidR="00D2119B">
        <w:fldChar w:fldCharType="begin"/>
      </w:r>
      <w:r w:rsidR="00D2119B">
        <w:instrText xml:space="preserve"> ADDIN EN.CITE &lt;EndNote&gt;&lt;Cite&gt;&lt;Author&gt;Grullon&lt;/Author&gt;&lt;Year&gt;2012&lt;/Year&gt;&lt;RecNum&gt;2378&lt;/RecNum&gt;&lt;DisplayText&gt;(Grullon, Lyandres, &amp;amp; Zhdanov, 2012)&lt;/DisplayText&gt;&lt;record&gt;&lt;rec-number&gt;2378&lt;/rec-number&gt;&lt;foreign-keys&gt;&lt;key app="EN" db-id="20p2wrv0m2av96e55d1pzxv2zxx5pvw55d55" timestamp="1533011221"&gt;2378&lt;/key&gt;&lt;/foreign-keys&gt;&lt;ref-type name="Journal Article"&gt;17&lt;/ref-type&gt;&lt;contributors&gt;&lt;authors&gt;&lt;author&gt;Grullon, G.&lt;/author&gt;&lt;author&gt;Lyandres, E.&lt;/author&gt;&lt;author&gt;Zhdanov, A.&lt;/author&gt;&lt;/authors&gt;&lt;/contributors&gt;&lt;auth-address&gt;Jesse H. Jones Graduate School of Business, Rice Univerisity, United States&amp;#xD;The School of Management, Boston University, United States&amp;#xD;University of Lausanne, Swiss Finance Institute, Switzerland&lt;/auth-address&gt;&lt;titles&gt;&lt;title&gt;Real Options, Volatility, and Stock Returns&lt;/title&gt;&lt;secondary-title&gt;Journal of Finance&lt;/secondary-title&gt;&lt;/titles&gt;&lt;periodical&gt;&lt;full-title&gt;Journal of Finance&lt;/full-title&gt;&lt;/periodical&gt;&lt;pages&gt;1499-1537&lt;/pages&gt;&lt;volume&gt;67&lt;/volume&gt;&lt;number&gt;4&lt;/number&gt;&lt;dates&gt;&lt;year&gt;2012&lt;/year&gt;&lt;/dates&gt;&lt;work-type&gt;Article&lt;/work-type&gt;&lt;urls&gt;&lt;related-urls&gt;&lt;url&gt;https://www.scopus.com/inward/record.uri?eid=2-s2.0-84864042165&amp;amp;doi=10.1111%2fj.1540-6261.2012.01754.x&amp;amp;partnerID=40&amp;amp;md5=1b3bb4a912097c29c05051f5f9d36339&lt;/url&gt;&lt;/related-urls&gt;&lt;/urls&gt;&lt;electronic-resource-num&gt;10.1111/j.1540-6261.2012.01754.x&lt;/electronic-resource-num&gt;&lt;remote-database-name&gt;Scopus&lt;/remote-database-name&gt;&lt;/record&gt;&lt;/Cite&gt;&lt;/EndNote&gt;</w:instrText>
      </w:r>
      <w:r w:rsidR="00D2119B">
        <w:fldChar w:fldCharType="separate"/>
      </w:r>
      <w:r w:rsidR="00D2119B">
        <w:rPr>
          <w:noProof/>
        </w:rPr>
        <w:t>(</w:t>
      </w:r>
      <w:hyperlink w:anchor="_ENREF_23" w:tooltip="Grullon, 2012 #2378" w:history="1">
        <w:r w:rsidR="006C57ED">
          <w:rPr>
            <w:noProof/>
          </w:rPr>
          <w:t>Grullon, Lyandres, &amp; Zhdanov, 2012</w:t>
        </w:r>
      </w:hyperlink>
      <w:r w:rsidR="00D2119B">
        <w:rPr>
          <w:noProof/>
        </w:rPr>
        <w:t>)</w:t>
      </w:r>
      <w:r w:rsidR="00D2119B">
        <w:fldChar w:fldCharType="end"/>
      </w:r>
      <w:r w:rsidR="00D2119B" w:rsidRPr="00D2119B">
        <w:t>.</w:t>
      </w:r>
      <w:r w:rsidR="002421DA">
        <w:t xml:space="preserve"> Consistent with this, </w:t>
      </w:r>
      <w:r w:rsidR="00CD7263">
        <w:t xml:space="preserve">we present evidence to show that </w:t>
      </w:r>
      <w:r w:rsidR="00CB5CAC">
        <w:t>the</w:t>
      </w:r>
      <w:r w:rsidR="002421DA">
        <w:t xml:space="preserve"> positive </w:t>
      </w:r>
      <w:r w:rsidRPr="00C80A4D">
        <w:rPr>
          <w:i/>
        </w:rPr>
        <w:t>CAR</w:t>
      </w:r>
      <w:r w:rsidR="002421DA">
        <w:t xml:space="preserve"> </w:t>
      </w:r>
      <w:r w:rsidR="00EA217C">
        <w:t>subsample</w:t>
      </w:r>
      <w:r w:rsidR="0074480D">
        <w:t xml:space="preserve"> </w:t>
      </w:r>
      <w:r w:rsidR="002421DA">
        <w:t xml:space="preserve">have better growth options than the negative </w:t>
      </w:r>
      <w:r w:rsidRPr="00C80A4D">
        <w:rPr>
          <w:i/>
        </w:rPr>
        <w:t>CAR</w:t>
      </w:r>
      <w:r w:rsidR="002421DA">
        <w:t xml:space="preserve"> </w:t>
      </w:r>
      <w:r w:rsidR="00EA217C">
        <w:t>subsample</w:t>
      </w:r>
      <w:r w:rsidR="002421DA">
        <w:t xml:space="preserve">. </w:t>
      </w:r>
      <w:r w:rsidR="00CD7263">
        <w:t xml:space="preserve">An alternate explanation </w:t>
      </w:r>
      <w:r w:rsidR="0026395D">
        <w:t xml:space="preserve">follows from </w:t>
      </w:r>
      <w:hyperlink w:anchor="_ENREF_18" w:tooltip="Dichev, 2009 #2369" w:history="1">
        <w:r w:rsidR="006C57ED">
          <w:fldChar w:fldCharType="begin"/>
        </w:r>
        <w:r w:rsidR="006C57ED">
          <w:instrText xml:space="preserve"> ADDIN EN.CITE &lt;EndNote&gt;&lt;Cite AuthorYear="1"&gt;&lt;Author&gt;Dichev&lt;/Author&gt;&lt;Year&gt;2009&lt;/Year&gt;&lt;RecNum&gt;2369&lt;/RecNum&gt;&lt;DisplayText&gt;Dichev and Tang (2009)&lt;/DisplayText&gt;&lt;record&gt;&lt;rec-number&gt;2369&lt;/rec-number&gt;&lt;foreign-keys&gt;&lt;key app="EN" db-id="20p2wrv0m2av96e55d1pzxv2zxx5pvw55d55" timestamp="1528429607"&gt;2369&lt;/key&gt;&lt;/foreign-keys&gt;&lt;ref-type name="Journal Article"&gt;17&lt;/ref-type&gt;&lt;contributors&gt;&lt;authors&gt;&lt;author&gt;Dichev, I. D.&lt;/author&gt;&lt;author&gt;Tang, V. W.&lt;/author&gt;&lt;/authors&gt;&lt;/contributors&gt;&lt;auth-address&gt;Stephen M. Ross School of Business, University of Michigan, 701 Tappan St, Ann Arbor, MI 48109, United States&amp;#xD;McDonough School of Business, Georgetown University, United States&lt;/auth-address&gt;&lt;titles&gt;&lt;title&gt;Earnings volatility and earnings predictability&lt;/title&gt;&lt;secondary-title&gt;Journal of Accounting and Economics&lt;/secondary-title&gt;&lt;/titles&gt;&lt;periodical&gt;&lt;full-title&gt;Journal of Accounting and Economics&lt;/full-title&gt;&lt;/periodical&gt;&lt;pages&gt;160-181&lt;/pages&gt;&lt;volume&gt;47&lt;/volume&gt;&lt;number&gt;1-2&lt;/number&gt;&lt;keywords&gt;&lt;keyword&gt;Analyst forecasts&lt;/keyword&gt;&lt;keyword&gt;Earnings predictability&lt;/keyword&gt;&lt;keyword&gt;Earnings volatility&lt;/keyword&gt;&lt;keyword&gt;Fundamental analysis&lt;/keyword&gt;&lt;/keywords&gt;&lt;dates&gt;&lt;year&gt;2009&lt;/year&gt;&lt;/dates&gt;&lt;work-type&gt;Article&lt;/work-type&gt;&lt;urls&gt;&lt;related-urls&gt;&lt;url&gt;https://www.scopus.com/inward/record.uri?eid=2-s2.0-59749097824&amp;amp;doi=10.1016%2fj.jacceco.2008.09.005&amp;amp;partnerID=40&amp;amp;md5=8b7642fd36d5d488f47e0b4a4e9f968b&lt;/url&gt;&lt;/related-urls&gt;&lt;/urls&gt;&lt;electronic-resource-num&gt;10.1016/j.jacceco.2008.09.005&lt;/electronic-resource-num&gt;&lt;remote-database-name&gt;Scopus&lt;/remote-database-name&gt;&lt;/record&gt;&lt;/Cite&gt;&lt;/EndNote&gt;</w:instrText>
        </w:r>
        <w:r w:rsidR="006C57ED">
          <w:fldChar w:fldCharType="separate"/>
        </w:r>
        <w:r w:rsidR="006C57ED">
          <w:rPr>
            <w:noProof/>
          </w:rPr>
          <w:t>Dichev and Tang (2009)</w:t>
        </w:r>
        <w:r w:rsidR="006C57ED">
          <w:fldChar w:fldCharType="end"/>
        </w:r>
      </w:hyperlink>
      <w:r w:rsidR="0026395D">
        <w:t xml:space="preserve">  who show </w:t>
      </w:r>
      <w:r w:rsidR="00D2119B">
        <w:t xml:space="preserve">that </w:t>
      </w:r>
      <w:r w:rsidR="00D2119B" w:rsidRPr="00673B7A">
        <w:t>stocks with low historical earnings volatility have high future earnings persistence, while stocks with high historical earnings volatility hav</w:t>
      </w:r>
      <w:r w:rsidR="00D2119B">
        <w:t>e little predictive persistence</w:t>
      </w:r>
      <w:r w:rsidR="002421DA">
        <w:t xml:space="preserve">. Our results show that investment transparency is negatively associated with </w:t>
      </w:r>
      <w:r w:rsidRPr="00C80A4D">
        <w:rPr>
          <w:i/>
        </w:rPr>
        <w:t>CAR</w:t>
      </w:r>
      <w:r w:rsidR="002421DA">
        <w:t xml:space="preserve"> when earnings volatility is high, suggesting that </w:t>
      </w:r>
      <w:r w:rsidR="00A2433C">
        <w:t>detailed forecasts</w:t>
      </w:r>
      <w:r w:rsidR="002421DA" w:rsidRPr="002421DA">
        <w:t xml:space="preserve"> may be viewed sceptically by investors </w:t>
      </w:r>
      <w:r w:rsidR="002421DA">
        <w:t xml:space="preserve">when </w:t>
      </w:r>
      <w:r w:rsidR="002421DA" w:rsidRPr="002421DA">
        <w:t>predictive earnings persistence</w:t>
      </w:r>
      <w:r w:rsidR="002421DA">
        <w:t xml:space="preserve"> is low.</w:t>
      </w:r>
      <w:r w:rsidR="002421DA" w:rsidRPr="002421DA">
        <w:t xml:space="preserve"> </w:t>
      </w:r>
      <w:r w:rsidR="002421DA">
        <w:t xml:space="preserve">  </w:t>
      </w:r>
    </w:p>
    <w:p w14:paraId="0A9A191D" w14:textId="6B9BDDE4" w:rsidR="00F1787B" w:rsidRDefault="00F1787B" w:rsidP="00CF4E8D">
      <w:pPr>
        <w:spacing w:line="360" w:lineRule="auto"/>
        <w:jc w:val="both"/>
      </w:pPr>
    </w:p>
    <w:p w14:paraId="4457FFA9" w14:textId="77777777" w:rsidR="00124F06" w:rsidRDefault="00124F06" w:rsidP="00124F06">
      <w:pPr>
        <w:spacing w:line="360" w:lineRule="auto"/>
        <w:jc w:val="both"/>
      </w:pPr>
      <w:r>
        <w:t xml:space="preserve">Finally, our findings reveal that low transparency investment announcements reduce information asymmetry in the negative </w:t>
      </w:r>
      <w:r w:rsidRPr="00D20E8F">
        <w:rPr>
          <w:i/>
        </w:rPr>
        <w:t>CAR</w:t>
      </w:r>
      <w:r>
        <w:t xml:space="preserve"> subsample. These firms have relatively greater information asymmetry (as proxied by bid-ask spread) prior to the announcement and experience the greatest reduction in information asymmetry following the announcement. Nevertheless, the bid-ask spread continues to remain higher for those firms displaying low transparency</w:t>
      </w:r>
      <w:r w:rsidRPr="00DF0AEA">
        <w:t xml:space="preserve">. In contrast, firms making high transparency announcements </w:t>
      </w:r>
      <w:r w:rsidRPr="00D20E8F">
        <w:t xml:space="preserve">receive more investor attention prior to the announcement, and </w:t>
      </w:r>
      <w:r w:rsidRPr="00DF0AEA">
        <w:t xml:space="preserve">experience much lower information asymmetry both before and after their announcements. </w:t>
      </w:r>
      <w:r>
        <w:t xml:space="preserve">For these firms, </w:t>
      </w:r>
      <w:r w:rsidRPr="00311B57">
        <w:t>there is l</w:t>
      </w:r>
      <w:r>
        <w:t>ittle</w:t>
      </w:r>
      <w:r w:rsidRPr="00311B57">
        <w:t xml:space="preserve"> scope for </w:t>
      </w:r>
      <w:r>
        <w:t>more informative disclosures</w:t>
      </w:r>
      <w:r w:rsidRPr="00311B57">
        <w:t xml:space="preserve"> to reduce information asymmetry</w:t>
      </w:r>
      <w:r>
        <w:t xml:space="preserve"> any</w:t>
      </w:r>
      <w:r w:rsidRPr="00311B57">
        <w:t xml:space="preserve"> further.</w:t>
      </w:r>
      <w:r>
        <w:t xml:space="preserve"> </w:t>
      </w:r>
      <w:r w:rsidRPr="00DD1499">
        <w:t xml:space="preserve">Rather, our evidence suggests that it is firms’ pre-disposition to high disclosure that lowers information asymmetry as opposed to the level of transparency of the announcement. </w:t>
      </w:r>
      <w:r>
        <w:t xml:space="preserve"> </w:t>
      </w:r>
    </w:p>
    <w:p w14:paraId="5F874E56" w14:textId="77777777" w:rsidR="00C2149B" w:rsidRDefault="00C2149B" w:rsidP="00CF4E8D">
      <w:pPr>
        <w:spacing w:line="360" w:lineRule="auto"/>
        <w:jc w:val="both"/>
        <w:rPr>
          <w:b/>
        </w:rPr>
      </w:pPr>
    </w:p>
    <w:p w14:paraId="617FCDCD" w14:textId="66D94C5D" w:rsidR="00C2149B" w:rsidRDefault="007608EC" w:rsidP="007801A8">
      <w:pPr>
        <w:spacing w:line="360" w:lineRule="auto"/>
        <w:jc w:val="both"/>
      </w:pPr>
      <w:r>
        <w:t>The initial analysis uses e</w:t>
      </w:r>
      <w:r w:rsidR="00950FE0">
        <w:t>vent study methodology to evaluate the mean daily market-adjusted returns for 239 new project announcements</w:t>
      </w:r>
      <w:r w:rsidR="00CE1844">
        <w:t xml:space="preserve"> to the ASX</w:t>
      </w:r>
      <w:r w:rsidR="00950FE0">
        <w:t xml:space="preserve"> from January 2008 to 2014 over different short-term event windows.</w:t>
      </w:r>
      <w:r w:rsidR="00D57ADC">
        <w:t xml:space="preserve"> A positive event-window </w:t>
      </w:r>
      <w:r w:rsidR="00C80A4D" w:rsidRPr="00C80A4D">
        <w:rPr>
          <w:i/>
        </w:rPr>
        <w:t>CAR</w:t>
      </w:r>
      <w:r w:rsidR="00D57ADC">
        <w:t xml:space="preserve"> is expected, indicating that on average, the announcements of new capital expenditures are valued positively by the market. </w:t>
      </w:r>
      <w:r w:rsidR="00AA34E0">
        <w:t>In the second test</w:t>
      </w:r>
      <w:r w:rsidR="00950FE0">
        <w:t xml:space="preserve">, cross-sectional regression is </w:t>
      </w:r>
      <w:r w:rsidR="00AA34E0">
        <w:t>employed</w:t>
      </w:r>
      <w:r w:rsidR="00950FE0">
        <w:t xml:space="preserve"> to </w:t>
      </w:r>
      <w:r w:rsidR="00772D02">
        <w:t>assess</w:t>
      </w:r>
      <w:r w:rsidR="00950FE0">
        <w:t xml:space="preserve"> the impact of investment transparency on </w:t>
      </w:r>
      <w:r w:rsidR="00772D02">
        <w:t xml:space="preserve">the three day </w:t>
      </w:r>
      <w:r w:rsidR="00726037">
        <w:t>[</w:t>
      </w:r>
      <w:r w:rsidR="00772D02">
        <w:t>0,+2</w:t>
      </w:r>
      <w:r w:rsidR="00726037">
        <w:t>]</w:t>
      </w:r>
      <w:r w:rsidR="00772D02">
        <w:t xml:space="preserve"> project announcement </w:t>
      </w:r>
      <w:r w:rsidR="00C80A4D" w:rsidRPr="00C80A4D">
        <w:rPr>
          <w:i/>
        </w:rPr>
        <w:t>CAR</w:t>
      </w:r>
      <w:r w:rsidR="00772D02">
        <w:t>.</w:t>
      </w:r>
      <w:r w:rsidR="00D57ADC">
        <w:t xml:space="preserve"> If investors value investment transparency, then the relationship with project announcement </w:t>
      </w:r>
      <w:r w:rsidR="00C80A4D" w:rsidRPr="00C80A4D">
        <w:rPr>
          <w:i/>
        </w:rPr>
        <w:t>CAR</w:t>
      </w:r>
      <w:r w:rsidR="00D57ADC">
        <w:t xml:space="preserve"> is expected to be positive.</w:t>
      </w:r>
      <w:r>
        <w:t xml:space="preserve"> These tests are applied to the </w:t>
      </w:r>
      <w:r>
        <w:lastRenderedPageBreak/>
        <w:t xml:space="preserve">entire sample as well as </w:t>
      </w:r>
      <w:r w:rsidR="00CE1844">
        <w:t xml:space="preserve">separately </w:t>
      </w:r>
      <w:r>
        <w:t xml:space="preserve">to </w:t>
      </w:r>
      <w:r w:rsidR="00CE1844">
        <w:t xml:space="preserve">each of </w:t>
      </w:r>
      <w:r>
        <w:t xml:space="preserve">the positive and negative </w:t>
      </w:r>
      <w:r w:rsidR="00C80A4D" w:rsidRPr="00C80A4D">
        <w:rPr>
          <w:i/>
        </w:rPr>
        <w:t>CAR</w:t>
      </w:r>
      <w:r>
        <w:t xml:space="preserve"> subsamples to consider the potential for </w:t>
      </w:r>
      <w:r w:rsidRPr="00730B15">
        <w:t>asymmetric market responses</w:t>
      </w:r>
      <w:r>
        <w:t>.</w:t>
      </w:r>
      <w:r w:rsidR="00950FE0">
        <w:t xml:space="preserve"> </w:t>
      </w:r>
      <w:r w:rsidR="00D57896">
        <w:t>Additional</w:t>
      </w:r>
      <w:r w:rsidR="00AA34E0">
        <w:t xml:space="preserve"> tests focus upon the relationship between investment transparency and information asymmetry. Managers may be pre-disposed to a particular level of transparency – for example, </w:t>
      </w:r>
      <w:r w:rsidR="00AA34E0">
        <w:rPr>
          <w:rFonts w:ascii="Calibri" w:eastAsia="Calibri" w:hAnsi="Calibri" w:cs="Calibri"/>
        </w:rPr>
        <w:t>firms facing high information asymmetry prior to a project announcement may be more forthcoming in their disclosures and reveal greater information in an attempt to reduce problems of information asymmetry</w:t>
      </w:r>
      <w:r w:rsidR="00AA34E0">
        <w:t xml:space="preserve"> </w:t>
      </w:r>
      <w:r w:rsidR="00AA34E0">
        <w:fldChar w:fldCharType="begin"/>
      </w:r>
      <w:r w:rsidR="00AA34E0">
        <w:instrText xml:space="preserve"> ADDIN EN.CITE &lt;EndNote&gt;&lt;Cite&gt;&lt;Author&gt;Coller&lt;/Author&gt;&lt;Year&gt;1997&lt;/Year&gt;&lt;RecNum&gt;2291&lt;/RecNum&gt;&lt;DisplayText&gt;(Coller &amp;amp; Yohn, 1997)&lt;/DisplayText&gt;&lt;record&gt;&lt;rec-number&gt;2291&lt;/rec-number&gt;&lt;foreign-keys&gt;&lt;key app="EN" db-id="20p2wrv0m2av96e55d1pzxv2zxx5pvw55d55" timestamp="1502848742"&gt;2291&lt;/key&gt;&lt;/foreign-keys&gt;&lt;ref-type name="Journal Article"&gt;17&lt;/ref-type&gt;&lt;contributors&gt;&lt;authors&gt;&lt;author&gt;Coller, M.&lt;/author&gt;&lt;author&gt;Yohn, T. L.&lt;/author&gt;&lt;/authors&gt;&lt;/contributors&gt;&lt;titles&gt;&lt;title&gt;Management forecasts and information asymmetry: An examination of bid-ask spreads&lt;/title&gt;&lt;secondary-title&gt;Journal of Accounting Research&lt;/secondary-title&gt;&lt;/titles&gt;&lt;periodical&gt;&lt;full-title&gt;Journal of Accounting Research&lt;/full-title&gt;&lt;/periodical&gt;&lt;pages&gt;181-191&lt;/pages&gt;&lt;volume&gt;35&lt;/volume&gt;&lt;number&gt;2&lt;/number&gt;&lt;dates&gt;&lt;year&gt;1997&lt;/year&gt;&lt;pub-dates&gt;&lt;date&gt;Fal&lt;/date&gt;&lt;/pub-dates&gt;&lt;/dates&gt;&lt;isbn&gt;0021-8456&lt;/isbn&gt;&lt;accession-num&gt;WOS:A1997YF54600003&lt;/accession-num&gt;&lt;urls&gt;&lt;related-urls&gt;&lt;url&gt;&amp;lt;Go to ISI&amp;gt;://WOS:A1997YF54600003&lt;/url&gt;&lt;/related-urls&gt;&lt;/urls&gt;&lt;electronic-resource-num&gt;10.2307/2491359&lt;/electronic-resource-num&gt;&lt;/record&gt;&lt;/Cite&gt;&lt;/EndNote&gt;</w:instrText>
      </w:r>
      <w:r w:rsidR="00AA34E0">
        <w:fldChar w:fldCharType="separate"/>
      </w:r>
      <w:r w:rsidR="00AA34E0">
        <w:rPr>
          <w:noProof/>
        </w:rPr>
        <w:t>(</w:t>
      </w:r>
      <w:hyperlink w:anchor="_ENREF_15" w:tooltip="Coller, 1997 #2291" w:history="1">
        <w:r w:rsidR="006C57ED">
          <w:rPr>
            <w:noProof/>
          </w:rPr>
          <w:t>Coller &amp; Yohn, 1997</w:t>
        </w:r>
      </w:hyperlink>
      <w:r w:rsidR="00AA34E0">
        <w:rPr>
          <w:noProof/>
        </w:rPr>
        <w:t>)</w:t>
      </w:r>
      <w:r w:rsidR="00AA34E0">
        <w:fldChar w:fldCharType="end"/>
      </w:r>
      <w:r w:rsidR="00AA34E0">
        <w:t xml:space="preserve">. So </w:t>
      </w:r>
      <w:r>
        <w:t>a probit model is used to assess the determinants of firms’ choice of high</w:t>
      </w:r>
      <w:r w:rsidR="002A64B7">
        <w:t xml:space="preserve"> transparency</w:t>
      </w:r>
      <w:r>
        <w:t xml:space="preserve"> in t</w:t>
      </w:r>
      <w:r w:rsidR="00772D02">
        <w:t xml:space="preserve">he 20 days prior to the investment announcement </w:t>
      </w:r>
      <w:r w:rsidR="00134659">
        <w:t>[-20,-1]</w:t>
      </w:r>
      <w:r w:rsidR="00AA34E0" w:rsidRPr="001F261C">
        <w:t xml:space="preserve">. </w:t>
      </w:r>
      <w:r w:rsidR="00772D02" w:rsidRPr="001F261C">
        <w:t xml:space="preserve"> </w:t>
      </w:r>
      <w:r w:rsidR="001F261C" w:rsidRPr="001F261C">
        <w:t>T</w:t>
      </w:r>
      <w:r w:rsidR="00BE720A" w:rsidRPr="001F261C">
        <w:t>he last</w:t>
      </w:r>
      <w:r w:rsidR="00BE720A" w:rsidRPr="007801A8">
        <w:t xml:space="preserve"> cross-sectional regression</w:t>
      </w:r>
      <w:r w:rsidR="000049FB">
        <w:t>s</w:t>
      </w:r>
      <w:r w:rsidR="001F261C" w:rsidRPr="007801A8">
        <w:t xml:space="preserve"> of the full, positive and negative </w:t>
      </w:r>
      <w:r w:rsidR="00C80A4D" w:rsidRPr="00C80A4D">
        <w:rPr>
          <w:i/>
        </w:rPr>
        <w:t>CAR</w:t>
      </w:r>
      <w:r w:rsidR="001F261C" w:rsidRPr="007801A8">
        <w:t xml:space="preserve"> </w:t>
      </w:r>
      <w:r w:rsidR="00D55C0B">
        <w:t>sub</w:t>
      </w:r>
      <w:r w:rsidR="001F261C" w:rsidRPr="007801A8">
        <w:t xml:space="preserve">samples test the relationship between investment transparency and information asymmetry as proxied by </w:t>
      </w:r>
      <w:r w:rsidR="00BE720A" w:rsidRPr="001F261C">
        <w:t>bid-ask spread.</w:t>
      </w:r>
      <w:r w:rsidR="001F261C" w:rsidRPr="001F261C">
        <w:t xml:space="preserve"> It is expected</w:t>
      </w:r>
      <w:r w:rsidR="001F261C">
        <w:t xml:space="preserve"> that greater investment transparency should reduce information asymmetry.</w:t>
      </w:r>
      <w:r w:rsidR="00772D02">
        <w:t xml:space="preserve">  </w:t>
      </w:r>
    </w:p>
    <w:p w14:paraId="47537027" w14:textId="77777777" w:rsidR="00950FE0" w:rsidRPr="007801A8" w:rsidRDefault="00950FE0" w:rsidP="007801A8">
      <w:pPr>
        <w:spacing w:line="360" w:lineRule="auto"/>
      </w:pPr>
    </w:p>
    <w:p w14:paraId="42365F4E" w14:textId="0BAAC01F" w:rsidR="00C95D99" w:rsidRDefault="000049FB" w:rsidP="00CF4E8D">
      <w:pPr>
        <w:spacing w:line="360" w:lineRule="auto"/>
      </w:pPr>
      <w:r>
        <w:t>This paper contributes mainly to the literature on the stock market response to public disclosures. A vast literature considers the market implications of public disclosures</w:t>
      </w:r>
      <w:r w:rsidR="009F2E5B">
        <w:t>, much of it</w:t>
      </w:r>
      <w:r>
        <w:t xml:space="preserve"> in the context of financial reporting and earnings announcements</w:t>
      </w:r>
      <w:r w:rsidR="009F2E5B">
        <w:t xml:space="preserve"> </w:t>
      </w:r>
      <w:r w:rsidR="009F2E5B">
        <w:fldChar w:fldCharType="begin">
          <w:fldData xml:space="preserve">PEVuZE5vdGU+PENpdGU+PEF1dGhvcj5Db3JlPC9BdXRob3I+PFllYXI+MjAwMTwvWWVhcj48UmVj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</w:fldData>
        </w:fldChar>
      </w:r>
      <w:r w:rsidR="001E7A64">
        <w:instrText xml:space="preserve"> ADDIN EN.CITE </w:instrText>
      </w:r>
      <w:r w:rsidR="001E7A64">
        <w:fldChar w:fldCharType="begin">
          <w:fldData xml:space="preserve">PEVuZE5vdGU+PENpdGU+PEF1dGhvcj5Db3JlPC9BdXRob3I+PFllYXI+MjAwMTwvWWVhcj48UmVj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</w:fldData>
        </w:fldChar>
      </w:r>
      <w:r w:rsidR="001E7A64">
        <w:instrText xml:space="preserve"> ADDIN EN.CITE.DATA </w:instrText>
      </w:r>
      <w:r w:rsidR="001E7A64">
        <w:fldChar w:fldCharType="end"/>
      </w:r>
      <w:r w:rsidR="009F2E5B">
        <w:fldChar w:fldCharType="separate"/>
      </w:r>
      <w:r w:rsidR="001E7A64">
        <w:rPr>
          <w:noProof/>
        </w:rPr>
        <w:t xml:space="preserve">(e.g.  </w:t>
      </w:r>
      <w:hyperlink w:anchor="_ENREF_16" w:tooltip="Core, 2001 #440" w:history="1">
        <w:r w:rsidR="006C57ED">
          <w:rPr>
            <w:noProof/>
          </w:rPr>
          <w:t>Core, 2001</w:t>
        </w:r>
      </w:hyperlink>
      <w:r w:rsidR="001E7A64">
        <w:rPr>
          <w:noProof/>
        </w:rPr>
        <w:t xml:space="preserve">; </w:t>
      </w:r>
      <w:hyperlink w:anchor="_ENREF_29" w:tooltip="Healy, 2001 #439" w:history="1">
        <w:r w:rsidR="006C57ED">
          <w:rPr>
            <w:noProof/>
          </w:rPr>
          <w:t>Healy &amp; Palepu, 2001</w:t>
        </w:r>
      </w:hyperlink>
      <w:r w:rsidR="001E7A64">
        <w:rPr>
          <w:noProof/>
        </w:rPr>
        <w:t xml:space="preserve">; </w:t>
      </w:r>
      <w:hyperlink w:anchor="_ENREF_46" w:tooltip="Verrecchia, 2001 #437" w:history="1">
        <w:r w:rsidR="006C57ED">
          <w:rPr>
            <w:noProof/>
          </w:rPr>
          <w:t>Verrecchia, 2001</w:t>
        </w:r>
      </w:hyperlink>
      <w:r w:rsidR="001E7A64">
        <w:rPr>
          <w:noProof/>
        </w:rPr>
        <w:t>)</w:t>
      </w:r>
      <w:r w:rsidR="009F2E5B">
        <w:fldChar w:fldCharType="end"/>
      </w:r>
      <w:r>
        <w:t xml:space="preserve">.  Comparatively little is known about how investors react to investment transparency.  </w:t>
      </w:r>
    </w:p>
    <w:p w14:paraId="0D6F1CE6" w14:textId="77777777" w:rsidR="000049FB" w:rsidRDefault="000049FB" w:rsidP="00CF4E8D">
      <w:pPr>
        <w:spacing w:line="360" w:lineRule="auto"/>
      </w:pPr>
    </w:p>
    <w:p w14:paraId="378BAC5D" w14:textId="085D8319" w:rsidR="00F44E85" w:rsidRPr="007801A8" w:rsidRDefault="00D1002C" w:rsidP="00C05EFB">
      <w:pPr>
        <w:spacing w:line="360" w:lineRule="auto"/>
        <w:jc w:val="both"/>
      </w:pPr>
      <w:r w:rsidRPr="00D1002C">
        <w:t xml:space="preserve">According to the investment opportunities theory, shareholder wealth maximisation </w:t>
      </w:r>
      <w:r>
        <w:t>is</w:t>
      </w:r>
      <w:r w:rsidRPr="00D1002C">
        <w:t xml:space="preserve"> achieved when managers accept projects with positive net present values </w:t>
      </w:r>
      <w:r w:rsidR="00AB2581">
        <w:fldChar w:fldCharType="begin"/>
      </w:r>
      <w:r w:rsidR="00AB2581">
        <w:instrText xml:space="preserve"> ADDIN EN.CITE &lt;EndNote&gt;&lt;Cite&gt;&lt;Author&gt;Miller&lt;/Author&gt;&lt;Year&gt;1961&lt;/Year&gt;&lt;RecNum&gt;1275&lt;/RecNum&gt;&lt;DisplayText&gt;(Miller &amp;amp; Modigliani, 1961)&lt;/DisplayText&gt;&lt;record&gt;&lt;rec-number&gt;1275&lt;/rec-number&gt;&lt;foreign-keys&gt;&lt;key app="EN" db-id="20p2wrv0m2av96e55d1pzxv2zxx5pvw55d55" timestamp="0"&gt;1275&lt;/key&gt;&lt;/foreign-keys&gt;&lt;ref-type name="Journal Article"&gt;17&lt;/ref-type&gt;&lt;contributors&gt;&lt;authors&gt;&lt;author&gt;Miller, M.H.&lt;/author&gt;&lt;author&gt;Modigliani, F.&lt;/author&gt;&lt;/authors&gt;&lt;/contributors&gt;&lt;titles&gt;&lt;title&gt;Dividend policy, growth, and the valuation of shares&lt;/title&gt;&lt;secondary-title&gt;Journal of Business&lt;/secondary-title&gt;&lt;/titles&gt;&lt;periodical&gt;&lt;full-title&gt;Journal of Business&lt;/full-title&gt;&lt;/periodical&gt;&lt;pages&gt;411-433&lt;/pages&gt;&lt;volume&gt;34&lt;/volume&gt;&lt;number&gt;4&lt;/number&gt;&lt;dates&gt;&lt;year&gt;1961&lt;/year&gt;&lt;pub-dates&gt;&lt;date&gt;October&lt;/date&gt;&lt;/pub-dates&gt;&lt;/dates&gt;&lt;urls&gt;&lt;/urls&gt;&lt;/record&gt;&lt;/Cite&gt;&lt;/EndNote&gt;</w:instrText>
      </w:r>
      <w:r w:rsidR="00AB2581">
        <w:fldChar w:fldCharType="separate"/>
      </w:r>
      <w:r w:rsidR="00AB2581">
        <w:rPr>
          <w:noProof/>
        </w:rPr>
        <w:t>(</w:t>
      </w:r>
      <w:hyperlink w:anchor="_ENREF_40" w:tooltip="Miller, 1961 #1275" w:history="1">
        <w:r w:rsidR="006C57ED">
          <w:rPr>
            <w:noProof/>
          </w:rPr>
          <w:t>Miller &amp; Modigliani, 1961</w:t>
        </w:r>
      </w:hyperlink>
      <w:r w:rsidR="00AB2581">
        <w:rPr>
          <w:noProof/>
        </w:rPr>
        <w:t>)</w:t>
      </w:r>
      <w:r w:rsidR="00AB2581">
        <w:fldChar w:fldCharType="end"/>
      </w:r>
      <w:r>
        <w:t>. Consistent with this, pas</w:t>
      </w:r>
      <w:r w:rsidR="00000847">
        <w:t>t</w:t>
      </w:r>
      <w:r>
        <w:t xml:space="preserve"> research </w:t>
      </w:r>
      <w:r w:rsidR="004E0648">
        <w:t xml:space="preserve">generally </w:t>
      </w:r>
      <w:r w:rsidR="000839FB">
        <w:t>reveal</w:t>
      </w:r>
      <w:r w:rsidR="004E0648">
        <w:t>s</w:t>
      </w:r>
      <w:r w:rsidR="000839FB">
        <w:t xml:space="preserve"> </w:t>
      </w:r>
      <w:r>
        <w:t xml:space="preserve">positive </w:t>
      </w:r>
      <w:r w:rsidR="00AB2581">
        <w:t xml:space="preserve">stock price </w:t>
      </w:r>
      <w:r>
        <w:t>reaction</w:t>
      </w:r>
      <w:r w:rsidR="00AB2581">
        <w:t>s</w:t>
      </w:r>
      <w:r>
        <w:t xml:space="preserve"> to</w:t>
      </w:r>
      <w:r w:rsidR="00AB2581">
        <w:t xml:space="preserve"> new capital expenditure announcements.</w:t>
      </w:r>
      <w:r w:rsidR="000839FB">
        <w:t xml:space="preserve"> For example, p</w:t>
      </w:r>
      <w:r w:rsidR="00AB2581">
        <w:t>ositive cumulative abnormal returns (</w:t>
      </w:r>
      <w:r w:rsidR="00C80A4D" w:rsidRPr="00C80A4D">
        <w:rPr>
          <w:i/>
        </w:rPr>
        <w:t>CAR</w:t>
      </w:r>
      <w:r w:rsidR="00AB2581">
        <w:t xml:space="preserve">) have been documented </w:t>
      </w:r>
      <w:r w:rsidR="000839FB">
        <w:t>to be</w:t>
      </w:r>
      <w:r w:rsidR="008F26EF">
        <w:t xml:space="preserve"> between 0.92% and 1.65% </w:t>
      </w:r>
      <w:r w:rsidR="00E04B94">
        <w:t xml:space="preserve">over a five day window </w:t>
      </w:r>
      <w:r w:rsidR="008F26EF">
        <w:t xml:space="preserve">[-2,2] </w:t>
      </w:r>
      <w:r w:rsidR="00AB2581">
        <w:t xml:space="preserve">in Australia </w:t>
      </w:r>
      <w:r w:rsidR="00AB2581">
        <w:fldChar w:fldCharType="begin">
          <w:fldData xml:space="preserve">PEVuZE5vdGU+PENpdGU+PEF1dGhvcj5CcmFpbHNmb3JkPC9BdXRob3I+PFllYXI+MjAwNDwvWWVh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</w:fldData>
        </w:fldChar>
      </w:r>
      <w:r w:rsidR="00AB2581">
        <w:instrText xml:space="preserve"> ADDIN EN.CITE </w:instrText>
      </w:r>
      <w:r w:rsidR="00AB2581">
        <w:fldChar w:fldCharType="begin">
          <w:fldData xml:space="preserve">PEVuZE5vdGU+PENpdGU+PEF1dGhvcj5CcmFpbHNmb3JkPC9BdXRob3I+PFllYXI+MjAwNDwvWWVh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</w:fldData>
        </w:fldChar>
      </w:r>
      <w:r w:rsidR="00AB2581">
        <w:instrText xml:space="preserve"> ADDIN EN.CITE.DATA </w:instrText>
      </w:r>
      <w:r w:rsidR="00AB2581">
        <w:fldChar w:fldCharType="end"/>
      </w:r>
      <w:r w:rsidR="00AB2581">
        <w:fldChar w:fldCharType="separate"/>
      </w:r>
      <w:r w:rsidR="00AB2581">
        <w:rPr>
          <w:noProof/>
        </w:rPr>
        <w:t>(</w:t>
      </w:r>
      <w:hyperlink w:anchor="_ENREF_8" w:tooltip="Brailsford, 2004 #626" w:history="1">
        <w:r w:rsidR="006C57ED">
          <w:rPr>
            <w:noProof/>
          </w:rPr>
          <w:t>Brailsford &amp; Yeoh, 2004</w:t>
        </w:r>
      </w:hyperlink>
      <w:r w:rsidR="00AB2581">
        <w:rPr>
          <w:noProof/>
        </w:rPr>
        <w:t xml:space="preserve">; </w:t>
      </w:r>
      <w:hyperlink w:anchor="_ENREF_43" w:tooltip="Powell, 2012 #1474" w:history="1">
        <w:r w:rsidR="006C57ED">
          <w:rPr>
            <w:noProof/>
          </w:rPr>
          <w:t>Powell, Moltchanski, &amp; Nagm, 2012</w:t>
        </w:r>
      </w:hyperlink>
      <w:r w:rsidR="00AB2581">
        <w:rPr>
          <w:noProof/>
        </w:rPr>
        <w:t>)</w:t>
      </w:r>
      <w:r w:rsidR="00AB2581">
        <w:fldChar w:fldCharType="end"/>
      </w:r>
      <w:r w:rsidR="00E04B94">
        <w:t xml:space="preserve"> and</w:t>
      </w:r>
      <w:r w:rsidR="00AB2581">
        <w:t xml:space="preserve"> </w:t>
      </w:r>
      <w:r w:rsidR="008F26EF">
        <w:t xml:space="preserve">0.86% </w:t>
      </w:r>
      <w:r w:rsidR="00E04B94">
        <w:t xml:space="preserve">over a three day window </w:t>
      </w:r>
      <w:r w:rsidR="008F26EF">
        <w:t>[0</w:t>
      </w:r>
      <w:r w:rsidR="00E04B94">
        <w:t xml:space="preserve">,2] in New Zealand </w:t>
      </w:r>
      <w:r w:rsidR="00E04B94">
        <w:fldChar w:fldCharType="begin"/>
      </w:r>
      <w:r w:rsidR="00E04B94">
        <w:instrText xml:space="preserve"> ADDIN EN.CITE &lt;EndNote&gt;&lt;Cite&gt;&lt;Author&gt;Wirth&lt;/Author&gt;&lt;Year&gt;2013&lt;/Year&gt;&lt;RecNum&gt;1601&lt;/RecNum&gt;&lt;DisplayText&gt;(Wirth, Chi, &amp;amp; Young, 2013)&lt;/DisplayText&gt;&lt;record&gt;&lt;rec-number&gt;1601&lt;/rec-number&gt;&lt;foreign-keys&gt;&lt;key app="EN" db-id="20p2wrv0m2av96e55d1pzxv2zxx5pvw55d55" timestamp="1358371362"&gt;1601&lt;/key&gt;&lt;/foreign-keys&gt;&lt;ref-type name="Journal Article"&gt;17&lt;/ref-type&gt;&lt;contributors&gt;&lt;authors&gt;&lt;author&gt;Wirth, Carolyn&lt;/author&gt;&lt;author&gt;Chi, Jing&lt;/author&gt;&lt;author&gt;Young, Martin&lt;/author&gt;&lt;/authors&gt;&lt;/contributors&gt;&lt;titles&gt;&lt;title&gt;The economic impact of capital expenditures: Environmental regulatory delay as a source of competitive advantage?&lt;/title&gt;&lt;secondary-title&gt;Journal of Business Finance &amp;amp; Accounting&lt;/secondary-title&gt;&lt;/titles&gt;&lt;periodical&gt;&lt;full-title&gt;Journal of Business Finance &amp;amp; Accounting&lt;/full-title&gt;&lt;/periodical&gt;&lt;pages&gt;115-141&lt;/pages&gt;&lt;volume&gt;40&lt;/volume&gt;&lt;number&gt;1-2&lt;/number&gt;&lt;keywords&gt;&lt;keyword&gt;regulatory delay&lt;/keyword&gt;&lt;keyword&gt;capital investments&lt;/keyword&gt;&lt;keyword&gt;competitive advantage&lt;/keyword&gt;&lt;keyword&gt;shareholder wealth creation&lt;/keyword&gt;&lt;keyword&gt;market valuation&lt;/keyword&gt;&lt;keyword&gt;environmental regulation&lt;/keyword&gt;&lt;keyword&gt;compliance costs&lt;/keyword&gt;&lt;keyword&gt;non-financial information&lt;/keyword&gt;&lt;keyword&gt;strategy&lt;/keyword&gt;&lt;keyword&gt;New Zealand&lt;/keyword&gt;&lt;/keywords&gt;&lt;dates&gt;&lt;year&gt;2013&lt;/year&gt;&lt;/dates&gt;&lt;publisher&gt;Blackwell Publishing Ltd&lt;/publisher&gt;&lt;isbn&gt;1468-5957&lt;/isbn&gt;&lt;urls&gt;&lt;/urls&gt;&lt;electronic-resource-num&gt;10.1111/jbfa.12009&lt;/electronic-resource-num&gt;&lt;/record&gt;&lt;/Cite&gt;&lt;/EndNote&gt;</w:instrText>
      </w:r>
      <w:r w:rsidR="00E04B94">
        <w:fldChar w:fldCharType="separate"/>
      </w:r>
      <w:r w:rsidR="00E04B94">
        <w:rPr>
          <w:noProof/>
        </w:rPr>
        <w:t>(</w:t>
      </w:r>
      <w:hyperlink w:anchor="_ENREF_48" w:tooltip="Wirth, 2013 #1601" w:history="1">
        <w:r w:rsidR="006C57ED">
          <w:rPr>
            <w:noProof/>
          </w:rPr>
          <w:t>Wirth, Chi, &amp; Young, 2013</w:t>
        </w:r>
      </w:hyperlink>
      <w:r w:rsidR="00E04B94">
        <w:rPr>
          <w:noProof/>
        </w:rPr>
        <w:t>)</w:t>
      </w:r>
      <w:r w:rsidR="00E04B94">
        <w:fldChar w:fldCharType="end"/>
      </w:r>
      <w:r w:rsidR="00E04B94">
        <w:t xml:space="preserve"> </w:t>
      </w:r>
      <w:r w:rsidR="000839FB">
        <w:t>around</w:t>
      </w:r>
      <w:r w:rsidR="00E04B94">
        <w:t xml:space="preserve"> physical capital expenditure announcements and 1.65% over a five day window [-2,2] around</w:t>
      </w:r>
      <w:r w:rsidR="004E0648">
        <w:t xml:space="preserve"> US</w:t>
      </w:r>
      <w:r w:rsidR="00E04B94">
        <w:t xml:space="preserve"> venture capital investments </w:t>
      </w:r>
      <w:r w:rsidR="00E04B94">
        <w:fldChar w:fldCharType="begin"/>
      </w:r>
      <w:r w:rsidR="00E04B94">
        <w:instrText xml:space="preserve"> ADDIN EN.CITE &lt;EndNote&gt;&lt;Cite&gt;&lt;Author&gt;Mohamed&lt;/Author&gt;&lt;Year&gt;2016&lt;/Year&gt;&lt;RecNum&gt;2123&lt;/RecNum&gt;&lt;DisplayText&gt;(Mohamed &amp;amp; Schwienbacher, 2016)&lt;/DisplayText&gt;&lt;record&gt;&lt;rec-number&gt;2123&lt;/rec-number&gt;&lt;foreign-keys&gt;&lt;key app="EN" db-id="20p2wrv0m2av96e55d1pzxv2zxx5pvw55d55" timestamp="1481498571"&gt;2123&lt;/key&gt;&lt;/foreign-keys&gt;&lt;ref-type name="Journal Article"&gt;17&lt;/ref-type&gt;&lt;contributors&gt;&lt;authors&gt;&lt;author&gt;Mohamed, Abdulkadir&lt;/author&gt;&lt;author&gt;Schwienbacher, Armin&lt;/author&gt;&lt;/authors&gt;&lt;/contributors&gt;&lt;titles&gt;&lt;title&gt;Voluntary disclosure of corporate venture capital investments&lt;/title&gt;&lt;secondary-title&gt;Journal of Banking &amp;amp; Finance&lt;/secondary-title&gt;&lt;/titles&gt;&lt;periodical&gt;&lt;full-title&gt;Journal of Banking &amp;amp; Finance&lt;/full-title&gt;&lt;/periodical&gt;&lt;pages&gt;69-83&lt;/pages&gt;&lt;volume&gt;68&lt;/volume&gt;&lt;dates&gt;&lt;year&gt;2016&lt;/year&gt;&lt;pub-dates&gt;&lt;date&gt;Jul&lt;/date&gt;&lt;/pub-dates&gt;&lt;/dates&gt;&lt;isbn&gt;0378-4266&lt;/isbn&gt;&lt;accession-num&gt;WOS:000377837000006&lt;/accession-num&gt;&lt;urls&gt;&lt;related-urls&gt;&lt;url&gt;&amp;lt;Go to ISI&amp;gt;://WOS:000377837000006&lt;/url&gt;&lt;url&gt;http://ac.els-cdn.com/S0378426616300036/1-s2.0-S0378426616300036-main.pdf?_tid=f9e12f7c-bff8-11e6-a937-00000aacb360&amp;amp;acdnat=1481498854_a93fa08d9d8c7bf9b0bd86dbc43ad43a&lt;/url&gt;&lt;/related-urls&gt;&lt;/urls&gt;&lt;electronic-resource-num&gt;10.1016/j.jbankfin.2016.03.001&lt;/electronic-resource-num&gt;&lt;/record&gt;&lt;/Cite&gt;&lt;/EndNote&gt;</w:instrText>
      </w:r>
      <w:r w:rsidR="00E04B94">
        <w:fldChar w:fldCharType="separate"/>
      </w:r>
      <w:r w:rsidR="00E04B94">
        <w:rPr>
          <w:noProof/>
        </w:rPr>
        <w:t>(</w:t>
      </w:r>
      <w:hyperlink w:anchor="_ENREF_41" w:tooltip="Mohamed, 2016 #2123" w:history="1">
        <w:r w:rsidR="006C57ED">
          <w:rPr>
            <w:noProof/>
          </w:rPr>
          <w:t>Mohamed &amp; Schwienbacher, 2016</w:t>
        </w:r>
      </w:hyperlink>
      <w:r w:rsidR="00E04B94">
        <w:rPr>
          <w:noProof/>
        </w:rPr>
        <w:t>)</w:t>
      </w:r>
      <w:r w:rsidR="00E04B94">
        <w:fldChar w:fldCharType="end"/>
      </w:r>
      <w:r w:rsidR="00E04B94">
        <w:t xml:space="preserve">. </w:t>
      </w:r>
      <w:r w:rsidR="001C77CB">
        <w:t xml:space="preserve">These results suggest that on average, </w:t>
      </w:r>
      <w:r w:rsidR="004E0648">
        <w:t>investment</w:t>
      </w:r>
      <w:r w:rsidR="001C77CB">
        <w:t xml:space="preserve"> announcements are considered</w:t>
      </w:r>
      <w:r w:rsidR="006F0A84">
        <w:t xml:space="preserve"> </w:t>
      </w:r>
      <w:r w:rsidR="00396B3F">
        <w:t xml:space="preserve">by the markets to be </w:t>
      </w:r>
      <w:r w:rsidR="006F0A84">
        <w:t>good news that add</w:t>
      </w:r>
      <w:r w:rsidR="00396B3F">
        <w:t>s</w:t>
      </w:r>
      <w:r w:rsidR="006F0A84">
        <w:t xml:space="preserve"> value to the firm.</w:t>
      </w:r>
      <w:r w:rsidR="00373B19">
        <w:t xml:space="preserve"> </w:t>
      </w:r>
      <w:r w:rsidR="006F0A84" w:rsidRPr="00F44E85">
        <w:t xml:space="preserve">Nevertheless, a positive mean </w:t>
      </w:r>
      <w:r w:rsidR="00C80A4D" w:rsidRPr="00C80A4D">
        <w:rPr>
          <w:i/>
        </w:rPr>
        <w:t>CAR</w:t>
      </w:r>
      <w:r w:rsidR="000839FB" w:rsidRPr="00F44E85">
        <w:t xml:space="preserve"> </w:t>
      </w:r>
      <w:r w:rsidR="006F0A84" w:rsidRPr="00F44E85">
        <w:t xml:space="preserve">indicates nothing about </w:t>
      </w:r>
      <w:r w:rsidR="001C77CB" w:rsidRPr="00F44E85">
        <w:t xml:space="preserve">the variation in market responses resulting from </w:t>
      </w:r>
      <w:r w:rsidR="00E04B94" w:rsidRPr="00F44E85">
        <w:t>the level of informati</w:t>
      </w:r>
      <w:r w:rsidR="001C77CB" w:rsidRPr="00F44E85">
        <w:t>veness of</w:t>
      </w:r>
      <w:r w:rsidR="00E04B94" w:rsidRPr="00F44E85">
        <w:t xml:space="preserve"> the announcements</w:t>
      </w:r>
      <w:r w:rsidR="001C77CB" w:rsidRPr="00F44E85">
        <w:t>.</w:t>
      </w:r>
      <w:r w:rsidR="00E04B94" w:rsidRPr="00F44E85">
        <w:t xml:space="preserve"> </w:t>
      </w:r>
    </w:p>
    <w:p w14:paraId="10797CE8" w14:textId="77777777" w:rsidR="00F44E85" w:rsidRDefault="00F44E85" w:rsidP="00C05EFB">
      <w:pPr>
        <w:spacing w:line="360" w:lineRule="auto"/>
        <w:jc w:val="both"/>
        <w:rPr>
          <w:highlight w:val="yellow"/>
        </w:rPr>
      </w:pPr>
    </w:p>
    <w:p w14:paraId="477F2DBB" w14:textId="7FC3EC4C" w:rsidR="00005D4C" w:rsidRPr="00CF4E8D" w:rsidRDefault="00926199" w:rsidP="00C05EFB">
      <w:pPr>
        <w:spacing w:line="360" w:lineRule="auto"/>
        <w:jc w:val="both"/>
      </w:pPr>
      <w:r w:rsidRPr="00CF4E8D">
        <w:t>Using a two-period rational expect</w:t>
      </w:r>
      <w:r w:rsidR="007849EB" w:rsidRPr="00CF4E8D">
        <w:t>at</w:t>
      </w:r>
      <w:r w:rsidRPr="00CF4E8D">
        <w:t xml:space="preserve">ions model, Kim and Verrecchia </w:t>
      </w:r>
      <w:r w:rsidRPr="00CF4E8D">
        <w:fldChar w:fldCharType="begin"/>
      </w:r>
      <w:r w:rsidRPr="00CF4E8D">
        <w:instrText xml:space="preserve"> ADDIN EN.CITE &lt;EndNote&gt;&lt;Cite ExcludeAuth="1"&gt;&lt;Author&gt;Kim&lt;/Author&gt;&lt;Year&gt;1991&lt;/Year&gt;&lt;RecNum&gt;983&lt;/RecNum&gt;&lt;DisplayText&gt;(1991)&lt;/DisplayText&gt;&lt;record&gt;&lt;rec-number&gt;983&lt;/rec-number&gt;&lt;foreign-keys&gt;&lt;key app="EN" db-id="20p2wrv0m2av96e55d1pzxv2zxx5pvw55d55" timestamp="0"&gt;983&lt;/key&gt;&lt;/foreign-keys&gt;&lt;ref-type name="Journal Article"&gt;17&lt;/ref-type&gt;&lt;contributors&gt;&lt;authors&gt;&lt;author&gt;Kim, O.&lt;/author&gt;&lt;author&gt;Verrecchia, R. E.&lt;/author&gt;&lt;/authors&gt;&lt;/contributors&gt;&lt;titles&gt;&lt;title&gt;Trading volume and price reactions to public announcements&lt;/title&gt;&lt;secondary-title&gt;Journal of Accounting Research&lt;/secondary-title&gt;&lt;/titles&gt;&lt;periodical&gt;&lt;full-title&gt;Journal of Accounting Research&lt;/full-title&gt;&lt;/periodical&gt;&lt;pages&gt;302-321&lt;/pages&gt;&lt;volume&gt;29&lt;/volume&gt;&lt;number&gt;2&lt;/number&gt;&lt;keywords&gt;&lt;keyword&gt;RATIONAL-EXPECTATIONS ECONOMY&lt;/keyword&gt;&lt;keyword&gt;EARNINGS ANNOUNCEMENTS&lt;/keyword&gt;&lt;keyword&gt;SECURITIES&lt;/keyword&gt;&lt;keyword&gt;MARKETS&lt;/keyword&gt;&lt;keyword&gt;INFORMATION&lt;/keyword&gt;&lt;keyword&gt;BEHAVIOR&lt;/keyword&gt;&lt;keyword&gt;AGGREGATION&lt;/keyword&gt;&lt;/keywords&gt;&lt;dates&gt;&lt;year&gt;1991&lt;/year&gt;&lt;pub-dates&gt;&lt;date&gt;Fal&lt;/date&gt;&lt;/pub-dates&gt;&lt;/dates&gt;&lt;isbn&gt;0021-8456&lt;/isbn&gt;&lt;accession-num&gt;ISI:A1991GZ67300005&lt;/accession-num&gt;&lt;label&gt;Essay 1/theory/rational expectations/volume&lt;/label&gt;&lt;urls&gt;&lt;related-urls&gt;&lt;url&gt;&amp;lt;Go to ISI&amp;gt;://A1991GZ67300005 &lt;/url&gt;&lt;/related-urls&gt;&lt;/urls&gt;&lt;/record&gt;&lt;/Cite&gt;&lt;/EndNote&gt;</w:instrText>
      </w:r>
      <w:r w:rsidRPr="00CF4E8D">
        <w:fldChar w:fldCharType="separate"/>
      </w:r>
      <w:r w:rsidRPr="00CF4E8D">
        <w:rPr>
          <w:noProof/>
        </w:rPr>
        <w:t>(</w:t>
      </w:r>
      <w:hyperlink w:anchor="_ENREF_36" w:tooltip="Kim, 1991 #983" w:history="1">
        <w:r w:rsidR="006C57ED" w:rsidRPr="00CF4E8D">
          <w:rPr>
            <w:noProof/>
          </w:rPr>
          <w:t>1991</w:t>
        </w:r>
      </w:hyperlink>
      <w:r w:rsidRPr="00CF4E8D">
        <w:rPr>
          <w:noProof/>
        </w:rPr>
        <w:t>)</w:t>
      </w:r>
      <w:r w:rsidRPr="00CF4E8D">
        <w:fldChar w:fldCharType="end"/>
      </w:r>
      <w:r w:rsidRPr="00CF4E8D">
        <w:t xml:space="preserve"> show that stock price changes are positively related to the precision of an announcem</w:t>
      </w:r>
      <w:r w:rsidR="00AA19EB" w:rsidRPr="00CF4E8D">
        <w:t>ent. Consistent with this, some evidence suggests that more transparency in the form of capital guidance</w:t>
      </w:r>
      <w:r w:rsidR="00DC4B1F" w:rsidRPr="00CF4E8D">
        <w:t xml:space="preserve"> issued by firms</w:t>
      </w:r>
      <w:r w:rsidR="00AA19EB" w:rsidRPr="00CF4E8D">
        <w:t xml:space="preserve"> creates a feedback effect that enhances investment efficiency and improves long-term stock returns </w:t>
      </w:r>
      <w:r w:rsidR="00AA19EB" w:rsidRPr="00CF4E8D">
        <w:fldChar w:fldCharType="begin"/>
      </w:r>
      <w:r w:rsidR="00AA19EB" w:rsidRPr="00CF4E8D">
        <w:instrText xml:space="preserve"> ADDIN EN.CITE &lt;EndNote&gt;&lt;Cite&gt;&lt;Author&gt;Bae&lt;/Author&gt;&lt;Year&gt;2017&lt;/Year&gt;&lt;RecNum&gt;2253&lt;/RecNum&gt;&lt;DisplayText&gt;(Bae, Biddle, &amp;amp; Park, 2017)&lt;/DisplayText&gt;&lt;record&gt;&lt;rec-number&gt;2253&lt;/rec-number&gt;&lt;foreign-keys&gt;&lt;key app="EN" db-id="20p2wrv0m2av96e55d1pzxv2zxx5pvw55d55" timestamp="1500589555"&gt;2253&lt;/key&gt;&lt;/foreign-keys&gt;&lt;ref-type name="Report"&gt;27&lt;/ref-type&gt;&lt;contributors&gt;&lt;authors&gt;&lt;author&gt;Bae, J.&lt;/author&gt;&lt;author&gt;Biddle, G. C.&lt;/author&gt;&lt;author&gt;Park, C.W.&lt;/author&gt;&lt;/authors&gt;&lt;/contributors&gt;&lt;titles&gt;&lt;title&gt;Voluntary capex guidance, analyst feedback and capital investment efficiency&lt;/title&gt;&lt;/titles&gt;&lt;keywords&gt;&lt;keyword&gt;Capex guidance&lt;/keyword&gt;&lt;keyword&gt;Capital Investment efficiency&lt;/keyword&gt;&lt;keyword&gt;Transparency&lt;/keyword&gt;&lt;keyword&gt;Monitoring&lt;/keyword&gt;&lt;keyword&gt;Feedback&lt;/keyword&gt;&lt;/keywords&gt;&lt;dates&gt;&lt;year&gt;2017&lt;/year&gt;&lt;pub-dates&gt;&lt;date&gt;13 November&lt;/date&gt;&lt;/pub-dates&gt;&lt;/dates&gt;&lt;pub-location&gt;Available at SSRN&lt;/pub-location&gt;&lt;publisher&gt;https://papers.ssrn.com/sol3/papers.cfm?abstract_id=2788381&lt;/publisher&gt;&lt;urls&gt;&lt;/urls&gt;&lt;/record&gt;&lt;/Cite&gt;&lt;/EndNote&gt;</w:instrText>
      </w:r>
      <w:r w:rsidR="00AA19EB" w:rsidRPr="00CF4E8D">
        <w:fldChar w:fldCharType="separate"/>
      </w:r>
      <w:r w:rsidR="00AA19EB" w:rsidRPr="00CF4E8D">
        <w:rPr>
          <w:noProof/>
        </w:rPr>
        <w:t>(</w:t>
      </w:r>
      <w:hyperlink w:anchor="_ENREF_4" w:tooltip="Bae, 2017 #2253" w:history="1">
        <w:r w:rsidR="006C57ED" w:rsidRPr="00CF4E8D">
          <w:rPr>
            <w:noProof/>
          </w:rPr>
          <w:t>Bae, Biddle, &amp; Park, 2017</w:t>
        </w:r>
      </w:hyperlink>
      <w:r w:rsidR="00AA19EB" w:rsidRPr="00CF4E8D">
        <w:rPr>
          <w:noProof/>
        </w:rPr>
        <w:t>)</w:t>
      </w:r>
      <w:r w:rsidR="00AA19EB" w:rsidRPr="00CF4E8D">
        <w:fldChar w:fldCharType="end"/>
      </w:r>
      <w:r w:rsidR="00AA19EB" w:rsidRPr="00CF4E8D">
        <w:t xml:space="preserve">. Further, large increases in capital expenditure are associated with higher stock </w:t>
      </w:r>
      <w:r w:rsidR="00AA19EB" w:rsidRPr="00CF4E8D">
        <w:lastRenderedPageBreak/>
        <w:t>returns when firm-level disclosur</w:t>
      </w:r>
      <w:r w:rsidR="00446286" w:rsidRPr="00CF4E8D">
        <w:t xml:space="preserve">e transparency is high, while projects that destroy value are predominantly </w:t>
      </w:r>
      <w:r w:rsidR="00733933" w:rsidRPr="00CF4E8D">
        <w:t xml:space="preserve">found </w:t>
      </w:r>
      <w:r w:rsidR="00446286" w:rsidRPr="00CF4E8D">
        <w:t>in firms with lower disclosure ratings</w:t>
      </w:r>
      <w:r w:rsidR="00733933" w:rsidRPr="00CF4E8D">
        <w:t xml:space="preserve"> </w:t>
      </w:r>
      <w:r w:rsidR="00733933" w:rsidRPr="00CF4E8D">
        <w:fldChar w:fldCharType="begin"/>
      </w:r>
      <w:r w:rsidR="00733933" w:rsidRPr="00CF4E8D">
        <w:instrText xml:space="preserve"> ADDIN EN.CITE &lt;EndNote&gt;&lt;Cite&gt;&lt;Author&gt;Huang&lt;/Author&gt;&lt;Year&gt;2012&lt;/Year&gt;&lt;RecNum&gt;1982&lt;/RecNum&gt;&lt;DisplayText&gt;(Huang &amp;amp; Zhang, 2012)&lt;/DisplayText&gt;&lt;record&gt;&lt;rec-number&gt;1982&lt;/rec-number&gt;&lt;foreign-keys&gt;&lt;key app="EN" db-id="20p2wrv0m2av96e55d1pzxv2zxx5pvw55d55" timestamp="1432178856"&gt;1982&lt;/key&gt;&lt;/foreign-keys&gt;&lt;ref-type name="Journal Article"&gt;17&lt;/ref-type&gt;&lt;contributors&gt;&lt;authors&gt;&lt;author&gt;Huang, P.&lt;/author&gt;&lt;author&gt;Zhang, Y.&lt;/author&gt;&lt;/authors&gt;&lt;/contributors&gt;&lt;auth-address&gt;National Cheng Kung University, Taiwan&amp;#xD;Binghamton University, SUNY, United States&lt;/auth-address&gt;&lt;titles&gt;&lt;title&gt;Does enhanced disclosure really reduce agency costs? Evidence from the diversion of corporate resources&lt;/title&gt;&lt;secondary-title&gt;Accounting Review&lt;/secondary-title&gt;&lt;/titles&gt;&lt;periodical&gt;&lt;full-title&gt;Accounting Review&lt;/full-title&gt;&lt;/periodical&gt;&lt;pages&gt;199-229&lt;/pages&gt;&lt;volume&gt;87&lt;/volume&gt;&lt;number&gt;1&lt;/number&gt;&lt;keywords&gt;&lt;keyword&gt;Cash holdings&lt;/keyword&gt;&lt;keyword&gt;Corporate disclosure&lt;/keyword&gt;&lt;keyword&gt;Corporate governance&lt;/keyword&gt;&lt;keyword&gt;Transparency&lt;/keyword&gt;&lt;/keywords&gt;&lt;dates&gt;&lt;year&gt;2012&lt;/year&gt;&lt;/dates&gt;&lt;urls&gt;&lt;related-urls&gt;&lt;url&gt;http://www.scopus.com/inward/record.url?eid=2-s2.0-84863172153&amp;amp;partnerID=40&amp;amp;md5=142bd7202e8be0d2f664714aaa2931a5&lt;/url&gt;&lt;/related-urls&gt;&lt;/urls&gt;&lt;electronic-resource-num&gt;10.2308/accr-10160&lt;/electronic-resource-num&gt;&lt;remote-database-name&gt;Scopus&lt;/remote-database-name&gt;&lt;/record&gt;&lt;/Cite&gt;&lt;/EndNote&gt;</w:instrText>
      </w:r>
      <w:r w:rsidR="00733933" w:rsidRPr="00CF4E8D">
        <w:fldChar w:fldCharType="separate"/>
      </w:r>
      <w:r w:rsidR="00733933" w:rsidRPr="00CF4E8D">
        <w:rPr>
          <w:noProof/>
        </w:rPr>
        <w:t>(</w:t>
      </w:r>
      <w:hyperlink w:anchor="_ENREF_31" w:tooltip="Huang, 2012 #1982" w:history="1">
        <w:r w:rsidR="006C57ED" w:rsidRPr="00CF4E8D">
          <w:rPr>
            <w:noProof/>
          </w:rPr>
          <w:t>Huang &amp; Zhang, 2012</w:t>
        </w:r>
      </w:hyperlink>
      <w:r w:rsidR="00733933" w:rsidRPr="00CF4E8D">
        <w:rPr>
          <w:noProof/>
        </w:rPr>
        <w:t>)</w:t>
      </w:r>
      <w:r w:rsidR="00733933" w:rsidRPr="00CF4E8D">
        <w:fldChar w:fldCharType="end"/>
      </w:r>
      <w:r w:rsidR="00446286" w:rsidRPr="00CF4E8D">
        <w:t xml:space="preserve">.  </w:t>
      </w:r>
      <w:r w:rsidR="0063096B" w:rsidRPr="00CF4E8D">
        <w:t>Yet the literature is silent on whether or not investment transparency at the project-level is helpful to investors in their pricing decisions.</w:t>
      </w:r>
      <w:r w:rsidR="007801A8" w:rsidRPr="00CF4E8D">
        <w:t xml:space="preserve"> </w:t>
      </w:r>
    </w:p>
    <w:p w14:paraId="58F14F2C" w14:textId="47AD93F1" w:rsidR="00005D4C" w:rsidRDefault="00005D4C" w:rsidP="00C05EFB">
      <w:pPr>
        <w:spacing w:line="360" w:lineRule="auto"/>
        <w:jc w:val="both"/>
        <w:rPr>
          <w:highlight w:val="yellow"/>
        </w:rPr>
      </w:pPr>
    </w:p>
    <w:p w14:paraId="0BAA201F" w14:textId="3A7087FA" w:rsidR="00FA4EE2" w:rsidRDefault="00005D4C" w:rsidP="00FA4EE2">
      <w:pPr>
        <w:spacing w:line="360" w:lineRule="auto"/>
        <w:jc w:val="both"/>
      </w:pPr>
      <w:r w:rsidRPr="00CF4E8D">
        <w:t xml:space="preserve">Recent research has highlighted the need to separately consider </w:t>
      </w:r>
      <w:r w:rsidR="000E181D" w:rsidRPr="00CF4E8D">
        <w:t xml:space="preserve">positive and negative </w:t>
      </w:r>
      <w:r w:rsidRPr="00CF4E8D">
        <w:t xml:space="preserve">reactions to news </w:t>
      </w:r>
      <w:r w:rsidR="000E181D" w:rsidRPr="00CF4E8D">
        <w:t>that are interpreted as market overreactions and underreactions resulting in price reversals and drifts</w:t>
      </w:r>
      <w:r w:rsidR="00032FA4" w:rsidRPr="00CF4E8D">
        <w:t xml:space="preserve"> </w:t>
      </w:r>
      <w:r w:rsidR="00032FA4" w:rsidRPr="00CF4E8D">
        <w:fldChar w:fldCharType="begin"/>
      </w:r>
      <w:r w:rsidR="00032FA4" w:rsidRPr="00CF4E8D">
        <w:instrText xml:space="preserve"> ADDIN EN.CITE &lt;EndNote&gt;&lt;Cite&gt;&lt;Author&gt;Frank&lt;/Author&gt;&lt;Year&gt;2018&lt;/Year&gt;&lt;RecNum&gt;2382&lt;/RecNum&gt;&lt;DisplayText&gt;(Frank &amp;amp; Sanati, 2018)&lt;/DisplayText&gt;&lt;record&gt;&lt;rec-number&gt;2382&lt;/rec-number&gt;&lt;foreign-keys&gt;&lt;key app="EN" db-id="20p2wrv0m2av96e55d1pzxv2zxx5pvw55d55" timestamp="1533786512"&gt;2382&lt;/key&gt;&lt;/foreign-keys&gt;&lt;ref-type name="Journal Article"&gt;17&lt;/ref-type&gt;&lt;contributors&gt;&lt;authors&gt;&lt;author&gt;Frank, M. Z.&lt;/author&gt;&lt;author&gt;Sanati, A.&lt;/author&gt;&lt;/authors&gt;&lt;/contributors&gt;&lt;auth-address&gt;Carlson School of Management, University of Minnesota, 321 19th Ave South, Minneapolis, MN, United States&amp;#xD;Kogod School of Business, American University, 4400 Massachusetts Ave NW, Washington, DC, United States&lt;/auth-address&gt;&lt;titles&gt;&lt;title&gt;How does the stock market absorb shocks?&lt;/title&gt;&lt;secondary-title&gt;Journal of Financial Economics&lt;/secondary-title&gt;&lt;/titles&gt;&lt;periodical&gt;&lt;full-title&gt;Journal of Financial Economics&lt;/full-title&gt;&lt;/periodical&gt;&lt;pages&gt;136-153&lt;/pages&gt;&lt;volume&gt;129&lt;/volume&gt;&lt;number&gt;1&lt;/number&gt;&lt;keywords&gt;&lt;keyword&gt;Limited attention&lt;/keyword&gt;&lt;keyword&gt;Limits to arbitrage&lt;/keyword&gt;&lt;keyword&gt;News&lt;/keyword&gt;&lt;keyword&gt;Overreaction&lt;/keyword&gt;&lt;keyword&gt;Stock return predictability&lt;/keyword&gt;&lt;keyword&gt;Text analysis&lt;/keyword&gt;&lt;keyword&gt;Underreaction&lt;/keyword&gt;&lt;/keywords&gt;&lt;dates&gt;&lt;year&gt;2018&lt;/year&gt;&lt;/dates&gt;&lt;work-type&gt;Article&lt;/work-type&gt;&lt;urls&gt;&lt;related-urls&gt;&lt;url&gt;https://www.scopus.com/inward/record.uri?eid=2-s2.0-85046127311&amp;amp;doi=10.1016%2fj.jfineco.2018.04.002&amp;amp;partnerID=40&amp;amp;md5=8f76b93e18a6bd43e93530bf5396e973&lt;/url&gt;&lt;/related-urls&gt;&lt;/urls&gt;&lt;electronic-resource-num&gt;10.1016/j.jfineco.2018.04.002&lt;/electronic-resource-num&gt;&lt;remote-database-name&gt;Scopus&lt;/remote-database-name&gt;&lt;/record&gt;&lt;/Cite&gt;&lt;/EndNote&gt;</w:instrText>
      </w:r>
      <w:r w:rsidR="00032FA4" w:rsidRPr="00CF4E8D">
        <w:fldChar w:fldCharType="separate"/>
      </w:r>
      <w:r w:rsidR="00032FA4" w:rsidRPr="00CF4E8D">
        <w:rPr>
          <w:noProof/>
        </w:rPr>
        <w:t>(</w:t>
      </w:r>
      <w:hyperlink w:anchor="_ENREF_22" w:tooltip="Frank, 2018 #2382" w:history="1">
        <w:r w:rsidR="006C57ED" w:rsidRPr="00CF4E8D">
          <w:rPr>
            <w:noProof/>
          </w:rPr>
          <w:t>Frank &amp; Sanati, 2018</w:t>
        </w:r>
      </w:hyperlink>
      <w:r w:rsidR="00032FA4" w:rsidRPr="00CF4E8D">
        <w:rPr>
          <w:noProof/>
        </w:rPr>
        <w:t>)</w:t>
      </w:r>
      <w:r w:rsidR="00032FA4" w:rsidRPr="00CF4E8D">
        <w:fldChar w:fldCharType="end"/>
      </w:r>
      <w:r w:rsidR="000E181D" w:rsidRPr="00CF4E8D">
        <w:t xml:space="preserve">. </w:t>
      </w:r>
      <w:r w:rsidR="00032FA4" w:rsidRPr="00CF4E8D">
        <w:t xml:space="preserve">Asymmetric market reactions can arise </w:t>
      </w:r>
      <w:r w:rsidR="00FF4DFD" w:rsidRPr="00CF4E8D">
        <w:t xml:space="preserve">due to informational factors, such as </w:t>
      </w:r>
      <w:r w:rsidR="00032FA4" w:rsidRPr="00CF4E8D">
        <w:t xml:space="preserve">when information quality is poor </w:t>
      </w:r>
      <w:r w:rsidR="00032FA4" w:rsidRPr="00CF4E8D">
        <w:fldChar w:fldCharType="begin"/>
      </w:r>
      <w:r w:rsidR="00032FA4" w:rsidRPr="00CF4E8D">
        <w:instrText xml:space="preserve"> ADDIN EN.CITE &lt;EndNote&gt;&lt;Cite&gt;&lt;Author&gt;Epstein&lt;/Author&gt;&lt;Year&gt;2008&lt;/Year&gt;&lt;RecNum&gt;2329&lt;/RecNum&gt;&lt;DisplayText&gt;(Epstein &amp;amp; Schneider, 2008)&lt;/DisplayText&gt;&lt;record&gt;&lt;rec-number&gt;2329&lt;/rec-number&gt;&lt;foreign-keys&gt;&lt;key app="EN" db-id="20p2wrv0m2av96e55d1pzxv2zxx5pvw55d55" timestamp="1522105165"&gt;2329&lt;/key&gt;&lt;/foreign-keys&gt;&lt;ref-type name="Journal Article"&gt;17&lt;/ref-type&gt;&lt;contributors&gt;&lt;authors&gt;&lt;author&gt;Epstein, L. G.&lt;/author&gt;&lt;author&gt;Schneider, M.&lt;/author&gt;&lt;/authors&gt;&lt;/contributors&gt;&lt;auth-address&gt;Department of Economics, Boston University&amp;#xD;Department of Economics, NYU, Federal Reserve Bank of Minneapolis&lt;/auth-address&gt;&lt;titles&gt;&lt;title&gt;Ambiguity, information quality, and asset pricing&lt;/title&gt;&lt;secondary-title&gt;Journal of Finance&lt;/secondary-title&gt;&lt;/titles&gt;&lt;periodical&gt;&lt;full-title&gt;Journal of Finance&lt;/full-title&gt;&lt;/periodical&gt;&lt;pages&gt;197-228&lt;/pages&gt;&lt;volume&gt;63&lt;/volume&gt;&lt;number&gt;1&lt;/number&gt;&lt;dates&gt;&lt;year&gt;2008&lt;/year&gt;&lt;/dates&gt;&lt;work-type&gt;Article&lt;/work-type&gt;&lt;urls&gt;&lt;related-urls&gt;&lt;url&gt;https://www.scopus.com/inward/record.uri?eid=2-s2.0-38149027568&amp;amp;doi=10.1111%2fj.1540-6261.2008.01314.x&amp;amp;partnerID=40&amp;amp;md5=254e294a004ba93b5c941999a50d6e39&lt;/url&gt;&lt;url&gt;https://onlinelibrary.wiley.com/doi/pdf/10.1111/j.1540-6261.2008.01314.x&lt;/url&gt;&lt;/related-urls&gt;&lt;/urls&gt;&lt;electronic-resource-num&gt;10.1111/j.1540-6261.2008.01314.x&lt;/electronic-resource-num&gt;&lt;remote-database-name&gt;Scopus&lt;/remote-database-name&gt;&lt;/record&gt;&lt;/Cite&gt;&lt;/EndNote&gt;</w:instrText>
      </w:r>
      <w:r w:rsidR="00032FA4" w:rsidRPr="00CF4E8D">
        <w:fldChar w:fldCharType="separate"/>
      </w:r>
      <w:r w:rsidR="00032FA4" w:rsidRPr="00CF4E8D">
        <w:rPr>
          <w:noProof/>
        </w:rPr>
        <w:t>(</w:t>
      </w:r>
      <w:hyperlink w:anchor="_ENREF_19" w:tooltip="Epstein, 2008 #2329" w:history="1">
        <w:r w:rsidR="006C57ED" w:rsidRPr="00CF4E8D">
          <w:rPr>
            <w:noProof/>
          </w:rPr>
          <w:t>Epstein &amp; Schneider, 2008</w:t>
        </w:r>
      </w:hyperlink>
      <w:r w:rsidR="00032FA4" w:rsidRPr="00CF4E8D">
        <w:rPr>
          <w:noProof/>
        </w:rPr>
        <w:t>)</w:t>
      </w:r>
      <w:r w:rsidR="00032FA4" w:rsidRPr="00CF4E8D">
        <w:fldChar w:fldCharType="end"/>
      </w:r>
      <w:r w:rsidR="00FF4DFD" w:rsidRPr="00CF4E8D">
        <w:t xml:space="preserve"> or</w:t>
      </w:r>
      <w:r w:rsidR="00032FA4" w:rsidRPr="00CF4E8D">
        <w:t xml:space="preserve"> disclosures lack credibility </w:t>
      </w:r>
      <w:r w:rsidR="00032FA4" w:rsidRPr="00CF4E8D">
        <w:fldChar w:fldCharType="begin">
          <w:fldData xml:space="preserve">PEVuZE5vdGU+PENpdGU+PEF1dGhvcj5OZzwvQXV0aG9yPjxZZWFyPjIwMTM8L1llYXI+PFJlY051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</w:fldData>
        </w:fldChar>
      </w:r>
      <w:r w:rsidR="00032FA4" w:rsidRPr="00CF4E8D">
        <w:instrText xml:space="preserve"> ADDIN EN.CITE </w:instrText>
      </w:r>
      <w:r w:rsidR="00032FA4" w:rsidRPr="00CF4E8D">
        <w:fldChar w:fldCharType="begin">
          <w:fldData xml:space="preserve">PEVuZE5vdGU+PENpdGU+PEF1dGhvcj5OZzwvQXV0aG9yPjxZZWFyPjIwMTM8L1llYXI+PFJlY051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</w:fldData>
        </w:fldChar>
      </w:r>
      <w:r w:rsidR="00032FA4" w:rsidRPr="00CF4E8D">
        <w:instrText xml:space="preserve"> ADDIN EN.CITE.DATA </w:instrText>
      </w:r>
      <w:r w:rsidR="00032FA4" w:rsidRPr="00CF4E8D">
        <w:fldChar w:fldCharType="end"/>
      </w:r>
      <w:r w:rsidR="00032FA4" w:rsidRPr="00CF4E8D">
        <w:fldChar w:fldCharType="separate"/>
      </w:r>
      <w:r w:rsidR="00032FA4" w:rsidRPr="00CF4E8D">
        <w:rPr>
          <w:noProof/>
        </w:rPr>
        <w:t>(</w:t>
      </w:r>
      <w:hyperlink w:anchor="_ENREF_24" w:tooltip="Gu, 2007 #2139" w:history="1">
        <w:r w:rsidR="006C57ED" w:rsidRPr="00CF4E8D">
          <w:rPr>
            <w:noProof/>
          </w:rPr>
          <w:t>Gu &amp; Li, 2007</w:t>
        </w:r>
      </w:hyperlink>
      <w:r w:rsidR="00032FA4" w:rsidRPr="00CF4E8D">
        <w:rPr>
          <w:noProof/>
        </w:rPr>
        <w:t xml:space="preserve">; </w:t>
      </w:r>
      <w:hyperlink w:anchor="_ENREF_42" w:tooltip="Ng, 2013 #2242" w:history="1">
        <w:r w:rsidR="006C57ED" w:rsidRPr="00CF4E8D">
          <w:rPr>
            <w:noProof/>
          </w:rPr>
          <w:t>Ng, Tuna, &amp; Verdi, 2013</w:t>
        </w:r>
      </w:hyperlink>
      <w:r w:rsidR="00032FA4" w:rsidRPr="00CF4E8D">
        <w:rPr>
          <w:noProof/>
        </w:rPr>
        <w:t>)</w:t>
      </w:r>
      <w:r w:rsidR="00032FA4" w:rsidRPr="00CF4E8D">
        <w:fldChar w:fldCharType="end"/>
      </w:r>
      <w:r w:rsidR="00FF4DFD" w:rsidRPr="00CF4E8D">
        <w:t xml:space="preserve">. With respect to capital expenditures, the stock market may react </w:t>
      </w:r>
      <w:r w:rsidR="003935BC">
        <w:t>less favourably</w:t>
      </w:r>
      <w:r w:rsidR="00FF4DFD" w:rsidRPr="00CF4E8D">
        <w:t xml:space="preserve"> to news when firms have fewer growth options </w:t>
      </w:r>
      <w:r w:rsidR="00FF4DFD" w:rsidRPr="00CF4E8D">
        <w:fldChar w:fldCharType="begin">
          <w:fldData xml:space="preserve">PEVuZE5vdGU+PENpdGU+PEF1dGhvcj5CcmFpbHNmb3JkPC9BdXRob3I+PFllYXI+MjAwNDwvWWVh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</w:fldData>
        </w:fldChar>
      </w:r>
      <w:r w:rsidR="003935BC">
        <w:instrText xml:space="preserve"> ADDIN EN.CITE </w:instrText>
      </w:r>
      <w:r w:rsidR="003935BC">
        <w:fldChar w:fldCharType="begin">
          <w:fldData xml:space="preserve">PEVuZE5vdGU+PENpdGU+PEF1dGhvcj5CcmFpbHNmb3JkPC9BdXRob3I+PFllYXI+MjAwNDwvWWVh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</w:fldData>
        </w:fldChar>
      </w:r>
      <w:r w:rsidR="003935BC">
        <w:instrText xml:space="preserve"> ADDIN EN.CITE.DATA </w:instrText>
      </w:r>
      <w:r w:rsidR="003935BC">
        <w:fldChar w:fldCharType="end"/>
      </w:r>
      <w:r w:rsidR="00FF4DFD" w:rsidRPr="00CF4E8D">
        <w:fldChar w:fldCharType="separate"/>
      </w:r>
      <w:r w:rsidR="003935BC">
        <w:rPr>
          <w:noProof/>
        </w:rPr>
        <w:t>(</w:t>
      </w:r>
      <w:hyperlink w:anchor="_ENREF_8" w:tooltip="Brailsford, 2004 #626" w:history="1">
        <w:r w:rsidR="006C57ED">
          <w:rPr>
            <w:noProof/>
          </w:rPr>
          <w:t>Brailsford &amp; Yeoh, 2004</w:t>
        </w:r>
      </w:hyperlink>
      <w:r w:rsidR="003935BC">
        <w:rPr>
          <w:noProof/>
        </w:rPr>
        <w:t xml:space="preserve">; </w:t>
      </w:r>
      <w:hyperlink w:anchor="_ENREF_14" w:tooltip="Chung, 1998 #1076" w:history="1">
        <w:r w:rsidR="006C57ED">
          <w:rPr>
            <w:noProof/>
          </w:rPr>
          <w:t>Chung, Wright, &amp; Charoenwong, 1998</w:t>
        </w:r>
      </w:hyperlink>
      <w:r w:rsidR="003935BC">
        <w:rPr>
          <w:noProof/>
        </w:rPr>
        <w:t xml:space="preserve">; </w:t>
      </w:r>
      <w:hyperlink w:anchor="_ENREF_34" w:tooltip="Jones, 2004 #417" w:history="1">
        <w:r w:rsidR="006C57ED">
          <w:rPr>
            <w:noProof/>
          </w:rPr>
          <w:t>Jones, Danbolt, &amp; Hirst, 2004</w:t>
        </w:r>
      </w:hyperlink>
      <w:r w:rsidR="003935BC">
        <w:rPr>
          <w:noProof/>
        </w:rPr>
        <w:t>)</w:t>
      </w:r>
      <w:r w:rsidR="00FF4DFD" w:rsidRPr="00CF4E8D">
        <w:fldChar w:fldCharType="end"/>
      </w:r>
      <w:r w:rsidR="00FF4DFD" w:rsidRPr="00CF4E8D">
        <w:t xml:space="preserve">, </w:t>
      </w:r>
      <w:r w:rsidR="003935BC">
        <w:t>undertake inefficient diversification</w:t>
      </w:r>
      <w:r w:rsidR="00FF4DFD" w:rsidRPr="00CF4E8D">
        <w:t xml:space="preserve"> </w:t>
      </w:r>
      <w:r w:rsidR="00FF4DFD" w:rsidRPr="00CF4E8D">
        <w:fldChar w:fldCharType="begin"/>
      </w:r>
      <w:r w:rsidR="00FF4DFD" w:rsidRPr="00CF4E8D">
        <w:instrText xml:space="preserve"> ADDIN EN.CITE &lt;EndNote&gt;&lt;Cite&gt;&lt;Author&gt;Chen&lt;/Author&gt;&lt;Year&gt;2011&lt;/Year&gt;&lt;RecNum&gt;1442&lt;/RecNum&gt;&lt;DisplayText&gt;(Chen &amp;amp; Chen, 2011)&lt;/DisplayText&gt;&lt;record&gt;&lt;rec-number&gt;1442&lt;/rec-number&gt;&lt;foreign-keys&gt;&lt;key app="EN" db-id="20p2wrv0m2av96e55d1pzxv2zxx5pvw55d55" timestamp="0"&gt;1442&lt;/key&gt;&lt;/foreign-keys&gt;&lt;ref-type name="Journal Article"&gt;17&lt;/ref-type&gt;&lt;contributors&gt;&lt;authors&gt;&lt;author&gt;Chen, Sheng Syan&lt;/author&gt;&lt;author&gt;Chen, I. Ju&lt;/author&gt;&lt;/authors&gt;&lt;/contributors&gt;&lt;titles&gt;&lt;title&gt;Inefficient investment and the diversification discount: Evidence from corporate asset purchases&lt;/title&gt;&lt;secondary-title&gt;Journal of Business Finance &amp;amp; Accounting&lt;/secondary-title&gt;&lt;/titles&gt;&lt;periodical&gt;&lt;full-title&gt;Journal of Business Finance &amp;amp; Accounting&lt;/full-title&gt;&lt;/periodical&gt;&lt;pages&gt;887-914&lt;/pages&gt;&lt;volume&gt;38&lt;/volume&gt;&lt;number&gt;7&lt;/number&gt;&lt;keywords&gt;&lt;keyword&gt;asset purchases, diversification, inefficient investment hypothesis, endogeneity&lt;/keyword&gt;&lt;/keywords&gt;&lt;dates&gt;&lt;year&gt;2011&lt;/year&gt;&lt;/dates&gt;&lt;call-num&gt;English&lt;/call-num&gt;&lt;urls&gt;&lt;related-urls&gt;&lt;url&gt;http://ssrn.com/paper=1943362 &lt;/url&gt;&lt;url&gt;http://onlinelibrary.wiley.com/store/10.1111/j.1468-5957.2011.02251.x/asset/j.1468-5957.2011.02251.x.pdf?v=1&amp;amp;t=h7b3ffqo&amp;amp;s=e1759a04cbceb9650205f54c95a473df97eca755&lt;/url&gt;&lt;/related-urls&gt;&lt;/urls&gt;&lt;electronic-resource-num&gt;10.1111/j.1468-5957.2011.02251.x&lt;/electronic-resource-num&gt;&lt;/record&gt;&lt;/Cite&gt;&lt;/EndNote&gt;</w:instrText>
      </w:r>
      <w:r w:rsidR="00FF4DFD" w:rsidRPr="00CF4E8D">
        <w:fldChar w:fldCharType="separate"/>
      </w:r>
      <w:r w:rsidR="00FF4DFD" w:rsidRPr="00CF4E8D">
        <w:rPr>
          <w:noProof/>
        </w:rPr>
        <w:t>(</w:t>
      </w:r>
      <w:hyperlink w:anchor="_ENREF_13" w:tooltip="Chen, 2011 #1442" w:history="1">
        <w:r w:rsidR="006C57ED" w:rsidRPr="00CF4E8D">
          <w:rPr>
            <w:noProof/>
          </w:rPr>
          <w:t>Chen &amp; Chen, 2011</w:t>
        </w:r>
      </w:hyperlink>
      <w:r w:rsidR="00FF4DFD" w:rsidRPr="00CF4E8D">
        <w:rPr>
          <w:noProof/>
        </w:rPr>
        <w:t>)</w:t>
      </w:r>
      <w:r w:rsidR="00FF4DFD" w:rsidRPr="00CF4E8D">
        <w:fldChar w:fldCharType="end"/>
      </w:r>
      <w:r w:rsidR="003935BC">
        <w:t xml:space="preserve"> or pursue non-optimal investments </w:t>
      </w:r>
      <w:r w:rsidR="003935BC">
        <w:fldChar w:fldCharType="begin"/>
      </w:r>
      <w:r w:rsidR="003935BC">
        <w:instrText xml:space="preserve"> ADDIN EN.CITE &lt;EndNote&gt;&lt;Cite&gt;&lt;Author&gt;Titman&lt;/Author&gt;&lt;Year&gt;2004&lt;/Year&gt;&lt;RecNum&gt;1078&lt;/RecNum&gt;&lt;DisplayText&gt;(Titman et al., 2004)&lt;/DisplayText&gt;&lt;record&gt;&lt;rec-number&gt;1078&lt;/rec-number&gt;&lt;foreign-keys&gt;&lt;key app="EN" db-id="20p2wrv0m2av96e55d1pzxv2zxx5pvw55d55" timestamp="0"&gt;1078&lt;/key&gt;&lt;/foreign-keys&gt;&lt;ref-type name="Journal Article"&gt;17&lt;/ref-type&gt;&lt;contributors&gt;&lt;authors&gt;&lt;author&gt;Titman, S.&lt;/author&gt;&lt;author&gt;Wei, K. C. J.&lt;/author&gt;&lt;author&gt;Xie, F.&lt;/author&gt;&lt;/authors&gt;&lt;/contributors&gt;&lt;titles&gt;&lt;title&gt;Capital investments and stock returns&lt;/title&gt;&lt;secondary-title&gt;Journal of Financial and Quantitative Analysis&lt;/secondary-title&gt;&lt;/titles&gt;&lt;periodical&gt;&lt;full-title&gt;Journal of Financial and Quantitative Analysis&lt;/full-title&gt;&lt;/periodical&gt;&lt;pages&gt;677-700&lt;/pages&gt;&lt;volume&gt;39&lt;/volume&gt;&lt;number&gt;4&lt;/number&gt;&lt;dates&gt;&lt;year&gt;2004&lt;/year&gt;&lt;/dates&gt;&lt;label&gt;Essay 3/capital expenditures/event study/stock returns/free cash flow/debt&lt;/label&gt;&lt;urls&gt;&lt;related-urls&gt;&lt;url&gt;http://www.scopus.com/inward/record.url?eid=2-s2.0-11244349868&amp;amp;partnerID=40 &lt;/url&gt;&lt;/related-urls&gt;&lt;/urls&gt;&lt;/record&gt;&lt;/Cite&gt;&lt;/EndNote&gt;</w:instrText>
      </w:r>
      <w:r w:rsidR="003935BC">
        <w:fldChar w:fldCharType="separate"/>
      </w:r>
      <w:r w:rsidR="003935BC">
        <w:rPr>
          <w:noProof/>
        </w:rPr>
        <w:t>(</w:t>
      </w:r>
      <w:hyperlink w:anchor="_ENREF_45" w:tooltip="Titman, 2004 #1078" w:history="1">
        <w:r w:rsidR="006C57ED">
          <w:rPr>
            <w:noProof/>
          </w:rPr>
          <w:t>Titman et al., 2004</w:t>
        </w:r>
      </w:hyperlink>
      <w:r w:rsidR="003935BC">
        <w:rPr>
          <w:noProof/>
        </w:rPr>
        <w:t>)</w:t>
      </w:r>
      <w:r w:rsidR="003935BC">
        <w:fldChar w:fldCharType="end"/>
      </w:r>
      <w:r w:rsidR="003935BC">
        <w:t>.</w:t>
      </w:r>
      <w:r w:rsidR="00FA4EE2">
        <w:t xml:space="preserve"> Nevertheless, most capital expenditure event studies fail to analyse positive and negative market reactions separately. </w:t>
      </w:r>
    </w:p>
    <w:p w14:paraId="027BE580" w14:textId="5EA967D9" w:rsidR="007849EB" w:rsidRDefault="007849EB">
      <w:pPr>
        <w:spacing w:line="360" w:lineRule="auto"/>
        <w:jc w:val="both"/>
      </w:pPr>
    </w:p>
    <w:p w14:paraId="417DC1FF" w14:textId="1A738B71" w:rsidR="00E07199" w:rsidRPr="00CF4E8D" w:rsidRDefault="007C49E7">
      <w:pPr>
        <w:spacing w:line="360" w:lineRule="auto"/>
        <w:jc w:val="both"/>
      </w:pPr>
      <w:r>
        <w:t>Information asymmetry can increase investors</w:t>
      </w:r>
      <w:r w:rsidR="0055027A">
        <w:t>’</w:t>
      </w:r>
      <w:r>
        <w:t xml:space="preserve"> required rates of return and firms’ costs of capital </w:t>
      </w:r>
      <w:r>
        <w:fldChar w:fldCharType="begin"/>
      </w:r>
      <w:r>
        <w:instrText xml:space="preserve"> ADDIN EN.CITE &lt;EndNote&gt;&lt;Cite&gt;&lt;Author&gt;He&lt;/Author&gt;&lt;Year&gt;2013&lt;/Year&gt;&lt;RecNum&gt;2294&lt;/RecNum&gt;&lt;DisplayText&gt;(He, Lepone, &amp;amp; Leung, 2013)&lt;/DisplayText&gt;&lt;record&gt;&lt;rec-number&gt;2294&lt;/rec-number&gt;&lt;foreign-keys&gt;&lt;key app="EN" db-id="20p2wrv0m2av96e55d1pzxv2zxx5pvw55d55" timestamp="1502850733"&gt;2294&lt;/key&gt;&lt;/foreign-keys&gt;&lt;ref-type name="Journal Article"&gt;17&lt;/ref-type&gt;&lt;contributors&gt;&lt;authors&gt;&lt;author&gt;He, W.P.&lt;/author&gt;&lt;author&gt;Lepone, A.&lt;/author&gt;&lt;author&gt;Leung, H.&lt;/author&gt;&lt;/authors&gt;&lt;/contributors&gt;&lt;titles&gt;&lt;title&gt;Information asymmetry and the cost of equity capital&lt;/title&gt;&lt;secondary-title&gt;International Review of Economics &amp;amp; Finance&lt;/secondary-title&gt;&lt;/titles&gt;&lt;periodical&gt;&lt;full-title&gt;International Review of Economics &amp;amp; Finance&lt;/full-title&gt;&lt;/periodical&gt;&lt;pages&gt;611-620&lt;/pages&gt;&lt;volume&gt;27&lt;/volume&gt;&lt;keywords&gt;&lt;keyword&gt;Stock prices&lt;/keyword&gt;&lt;keyword&gt;Information asymmetry&lt;/keyword&gt;&lt;keyword&gt;Information theory in economics&lt;/keyword&gt;&lt;keyword&gt;Size of business enterprises&lt;/keyword&gt;&lt;keyword&gt;Uncertainty (Information theory)&lt;/keyword&gt;&lt;keyword&gt;Capitalists &amp;amp; financiers&lt;/keyword&gt;&lt;keyword&gt;Rate of return on stocks&lt;/keyword&gt;&lt;keyword&gt;Analyst forecast&lt;/keyword&gt;&lt;keyword&gt;Cost of capital&lt;/keyword&gt;&lt;/keywords&gt;&lt;dates&gt;&lt;year&gt;2013&lt;/year&gt;&lt;/dates&gt;&lt;isbn&gt;10590560&lt;/isbn&gt;&lt;accession-num&gt;89193978&lt;/accession-num&gt;&lt;work-type&gt;Article&lt;/work-type&gt;&lt;urls&gt;&lt;related-urls&gt;&lt;url&gt;http://ezproxy.massey.ac.nz/login?url=http://search.ebscohost.com/login.aspx?direct=true&amp;amp;AuthType=ip,cookie,url,uid&amp;amp;db=bth&amp;amp;AN=89193978&amp;amp;site=ehost-live&lt;/url&gt;&lt;/related-urls&gt;&lt;/urls&gt;&lt;electronic-resource-num&gt;10.1016/j.iref.2013.03.001&lt;/electronic-resource-num&gt;&lt;remote-database-name&gt;bth&lt;/remote-database-name&gt;&lt;remote-database-provider&gt;EBSCOhost&lt;/remote-database-provider&gt;&lt;/record&gt;&lt;/Cite&gt;&lt;/EndNote&gt;</w:instrText>
      </w:r>
      <w:r>
        <w:fldChar w:fldCharType="separate"/>
      </w:r>
      <w:r>
        <w:rPr>
          <w:noProof/>
        </w:rPr>
        <w:t>(</w:t>
      </w:r>
      <w:hyperlink w:anchor="_ENREF_27" w:tooltip="He, 2013 #2294" w:history="1">
        <w:r w:rsidR="006C57ED">
          <w:rPr>
            <w:noProof/>
          </w:rPr>
          <w:t>He, Lepone, &amp; Leung, 2013</w:t>
        </w:r>
      </w:hyperlink>
      <w:r>
        <w:rPr>
          <w:noProof/>
        </w:rPr>
        <w:t>)</w:t>
      </w:r>
      <w:r>
        <w:fldChar w:fldCharType="end"/>
      </w:r>
      <w:r>
        <w:t xml:space="preserve">, </w:t>
      </w:r>
      <w:r w:rsidR="00B54409">
        <w:t>while r</w:t>
      </w:r>
      <w:r w:rsidR="00B54409" w:rsidRPr="00F747B7">
        <w:t xml:space="preserve">eductions in information asymmetry can reduce stock mispricing, improve stock liquidity and increase stock marketability </w:t>
      </w:r>
      <w:r w:rsidR="00B54409" w:rsidRPr="00F747B7">
        <w:fldChar w:fldCharType="begin">
          <w:fldData xml:space="preserve">PEVuZE5vdGU+PENpdGU+PEF1dGhvcj5IZWFseTwvQXV0aG9yPjxZZWFyPjE5OTk8L1llYXI+PFJl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</w:fldData>
        </w:fldChar>
      </w:r>
      <w:r w:rsidR="00B54409" w:rsidRPr="00F747B7">
        <w:instrText xml:space="preserve"> ADDIN EN.CITE </w:instrText>
      </w:r>
      <w:r w:rsidR="00B54409" w:rsidRPr="00F747B7">
        <w:fldChar w:fldCharType="begin">
          <w:fldData xml:space="preserve">PEVuZE5vdGU+PENpdGU+PEF1dGhvcj5IZWFseTwvQXV0aG9yPjxZZWFyPjE5OTk8L1llYXI+PFJl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</w:fldData>
        </w:fldChar>
      </w:r>
      <w:r w:rsidR="00B54409" w:rsidRPr="00F747B7">
        <w:instrText xml:space="preserve"> ADDIN EN.CITE.DATA </w:instrText>
      </w:r>
      <w:r w:rsidR="00B54409" w:rsidRPr="00F747B7">
        <w:fldChar w:fldCharType="end"/>
      </w:r>
      <w:r w:rsidR="00B54409" w:rsidRPr="00F747B7">
        <w:fldChar w:fldCharType="separate"/>
      </w:r>
      <w:r w:rsidR="00B54409" w:rsidRPr="00F747B7">
        <w:rPr>
          <w:noProof/>
        </w:rPr>
        <w:t>(</w:t>
      </w:r>
      <w:hyperlink w:anchor="_ENREF_17" w:tooltip="Diamond, 1991 #2171" w:history="1">
        <w:r w:rsidR="006C57ED" w:rsidRPr="00F747B7">
          <w:rPr>
            <w:noProof/>
          </w:rPr>
          <w:t>Diamond &amp; Verrecchia, 1991</w:t>
        </w:r>
      </w:hyperlink>
      <w:r w:rsidR="00B54409" w:rsidRPr="00F747B7">
        <w:rPr>
          <w:noProof/>
        </w:rPr>
        <w:t xml:space="preserve">; </w:t>
      </w:r>
      <w:hyperlink w:anchor="_ENREF_28" w:tooltip="Healy, 1999 #2231" w:history="1">
        <w:r w:rsidR="006C57ED" w:rsidRPr="00F747B7">
          <w:rPr>
            <w:noProof/>
          </w:rPr>
          <w:t>Healy, Hutton, &amp; Palepu, 1999</w:t>
        </w:r>
      </w:hyperlink>
      <w:r w:rsidR="00B54409" w:rsidRPr="00F747B7">
        <w:rPr>
          <w:noProof/>
        </w:rPr>
        <w:t>)</w:t>
      </w:r>
      <w:r w:rsidR="00B54409" w:rsidRPr="00F747B7">
        <w:fldChar w:fldCharType="end"/>
      </w:r>
      <w:r w:rsidR="00B54409" w:rsidRPr="00F747B7">
        <w:t>.</w:t>
      </w:r>
      <w:r w:rsidR="00B54409">
        <w:t xml:space="preserve"> S</w:t>
      </w:r>
      <w:r>
        <w:t xml:space="preserve">o the role of investment transparency in reducing information asymmetry is of </w:t>
      </w:r>
      <w:r w:rsidR="00B54409">
        <w:t xml:space="preserve">considerable </w:t>
      </w:r>
      <w:r w:rsidR="005A5B2B">
        <w:t>relevance</w:t>
      </w:r>
      <w:r>
        <w:t xml:space="preserve"> to</w:t>
      </w:r>
      <w:r w:rsidR="00B54409">
        <w:t xml:space="preserve"> managers and</w:t>
      </w:r>
      <w:r>
        <w:t xml:space="preserve"> researchers</w:t>
      </w:r>
      <w:r w:rsidR="00882312" w:rsidRPr="00CF4E8D">
        <w:t xml:space="preserve">. </w:t>
      </w:r>
      <w:r w:rsidR="00C36224" w:rsidRPr="00CF4E8D">
        <w:t>Firms</w:t>
      </w:r>
      <w:r w:rsidR="00F95DDB" w:rsidRPr="00CF4E8D">
        <w:t xml:space="preserve"> </w:t>
      </w:r>
      <w:r w:rsidR="00C36224" w:rsidRPr="00CF4E8D">
        <w:t>may choose to reveal more information in their disclosures in order to reduce problems of information asymmetry</w:t>
      </w:r>
      <w:r w:rsidR="00A34BD8" w:rsidRPr="00CF4E8D">
        <w:t xml:space="preserve"> between managers and external investors and between various types of investors (</w:t>
      </w:r>
      <w:r w:rsidR="00A03427" w:rsidRPr="00CF4E8D">
        <w:t xml:space="preserve">e.g. </w:t>
      </w:r>
      <w:r w:rsidR="00A34BD8" w:rsidRPr="00CF4E8D">
        <w:t>informed versus uninformed, majority versus minority shareholders)</w:t>
      </w:r>
      <w:r w:rsidR="00C36224" w:rsidRPr="00CF4E8D">
        <w:t xml:space="preserve">. </w:t>
      </w:r>
      <w:r w:rsidR="005147C6" w:rsidRPr="00CF4E8D">
        <w:t>Empirical evidence suggests that f</w:t>
      </w:r>
      <w:r w:rsidR="00C36224" w:rsidRPr="00CF4E8D">
        <w:t xml:space="preserve">irms facing greater information asymmetry are more likely to </w:t>
      </w:r>
      <w:r w:rsidR="00FC694D" w:rsidRPr="00CF4E8D">
        <w:t>publicly announce</w:t>
      </w:r>
      <w:r w:rsidR="00C36224" w:rsidRPr="00CF4E8D">
        <w:t xml:space="preserve"> their venture capital investments</w:t>
      </w:r>
      <w:r w:rsidR="00FC694D" w:rsidRPr="00CF4E8D">
        <w:t xml:space="preserve"> </w:t>
      </w:r>
      <w:r w:rsidR="00FC694D" w:rsidRPr="00CF4E8D">
        <w:fldChar w:fldCharType="begin"/>
      </w:r>
      <w:r w:rsidR="00FC694D" w:rsidRPr="00CF4E8D">
        <w:instrText xml:space="preserve"> ADDIN EN.CITE &lt;EndNote&gt;&lt;Cite&gt;&lt;Author&gt;Mohamed&lt;/Author&gt;&lt;Year&gt;2016&lt;/Year&gt;&lt;RecNum&gt;2123&lt;/RecNum&gt;&lt;DisplayText&gt;(Mohamed &amp;amp; Schwienbacher, 2016)&lt;/DisplayText&gt;&lt;record&gt;&lt;rec-number&gt;2123&lt;/rec-number&gt;&lt;foreign-keys&gt;&lt;key app="EN" db-id="20p2wrv0m2av96e55d1pzxv2zxx5pvw55d55" timestamp="1481498571"&gt;2123&lt;/key&gt;&lt;/foreign-keys&gt;&lt;ref-type name="Journal Article"&gt;17&lt;/ref-type&gt;&lt;contributors&gt;&lt;authors&gt;&lt;author&gt;Mohamed, Abdulkadir&lt;/author&gt;&lt;author&gt;Schwienbacher, Armin&lt;/author&gt;&lt;/authors&gt;&lt;/contributors&gt;&lt;titles&gt;&lt;title&gt;Voluntary disclosure of corporate venture capital investments&lt;/title&gt;&lt;secondary-title&gt;Journal of Banking &amp;amp; Finance&lt;/secondary-title&gt;&lt;/titles&gt;&lt;periodical&gt;&lt;full-title&gt;Journal of Banking &amp;amp; Finance&lt;/full-title&gt;&lt;/periodical&gt;&lt;pages&gt;69-83&lt;/pages&gt;&lt;volume&gt;68&lt;/volume&gt;&lt;dates&gt;&lt;year&gt;2016&lt;/year&gt;&lt;pub-dates&gt;&lt;date&gt;Jul&lt;/date&gt;&lt;/pub-dates&gt;&lt;/dates&gt;&lt;isbn&gt;0378-4266&lt;/isbn&gt;&lt;accession-num&gt;WOS:000377837000006&lt;/accession-num&gt;&lt;urls&gt;&lt;related-urls&gt;&lt;url&gt;&amp;lt;Go to ISI&amp;gt;://WOS:000377837000006&lt;/url&gt;&lt;url&gt;http://ac.els-cdn.com/S0378426616300036/1-s2.0-S0378426616300036-main.pdf?_tid=f9e12f7c-bff8-11e6-a937-00000aacb360&amp;amp;acdnat=1481498854_a93fa08d9d8c7bf9b0bd86dbc43ad43a&lt;/url&gt;&lt;/related-urls&gt;&lt;/urls&gt;&lt;electronic-resource-num&gt;10.1016/j.jbankfin.2016.03.001&lt;/electronic-resource-num&gt;&lt;/record&gt;&lt;/Cite&gt;&lt;/EndNote&gt;</w:instrText>
      </w:r>
      <w:r w:rsidR="00FC694D" w:rsidRPr="00CF4E8D">
        <w:fldChar w:fldCharType="separate"/>
      </w:r>
      <w:r w:rsidR="00FC694D" w:rsidRPr="00CF4E8D">
        <w:rPr>
          <w:noProof/>
        </w:rPr>
        <w:t>(</w:t>
      </w:r>
      <w:hyperlink w:anchor="_ENREF_41" w:tooltip="Mohamed, 2016 #2123" w:history="1">
        <w:r w:rsidR="006C57ED" w:rsidRPr="00CF4E8D">
          <w:rPr>
            <w:noProof/>
          </w:rPr>
          <w:t>Mohamed &amp; Schwienbacher, 2016</w:t>
        </w:r>
      </w:hyperlink>
      <w:r w:rsidR="00FC694D" w:rsidRPr="00CF4E8D">
        <w:rPr>
          <w:noProof/>
        </w:rPr>
        <w:t>)</w:t>
      </w:r>
      <w:r w:rsidR="00FC694D" w:rsidRPr="00CF4E8D">
        <w:fldChar w:fldCharType="end"/>
      </w:r>
      <w:r w:rsidR="00C36224" w:rsidRPr="00CF4E8D">
        <w:t xml:space="preserve"> </w:t>
      </w:r>
      <w:r w:rsidR="00FC694D" w:rsidRPr="00CF4E8D">
        <w:t xml:space="preserve">and management earnings forecasts </w:t>
      </w:r>
      <w:r w:rsidR="00FC694D" w:rsidRPr="00CF4E8D">
        <w:fldChar w:fldCharType="begin"/>
      </w:r>
      <w:r w:rsidR="00FC694D" w:rsidRPr="00CF4E8D">
        <w:instrText xml:space="preserve"> ADDIN EN.CITE &lt;EndNote&gt;&lt;Cite&gt;&lt;Author&gt;Coller&lt;/Author&gt;&lt;Year&gt;1997&lt;/Year&gt;&lt;RecNum&gt;2291&lt;/RecNum&gt;&lt;DisplayText&gt;(Coller &amp;amp; Yohn, 1997)&lt;/DisplayText&gt;&lt;record&gt;&lt;rec-number&gt;2291&lt;/rec-number&gt;&lt;foreign-keys&gt;&lt;key app="EN" db-id="20p2wrv0m2av96e55d1pzxv2zxx5pvw55d55" timestamp="1502848742"&gt;2291&lt;/key&gt;&lt;/foreign-keys&gt;&lt;ref-type name="Journal Article"&gt;17&lt;/ref-type&gt;&lt;contributors&gt;&lt;authors&gt;&lt;author&gt;Coller, M.&lt;/author&gt;&lt;author&gt;Yohn, T. L.&lt;/author&gt;&lt;/authors&gt;&lt;/contributors&gt;&lt;titles&gt;&lt;title&gt;Management forecasts and information asymmetry: An examination of bid-ask spreads&lt;/title&gt;&lt;secondary-title&gt;Journal of Accounting Research&lt;/secondary-title&gt;&lt;/titles&gt;&lt;periodical&gt;&lt;full-title&gt;Journal of Accounting Research&lt;/full-title&gt;&lt;/periodical&gt;&lt;pages&gt;181-191&lt;/pages&gt;&lt;volume&gt;35&lt;/volume&gt;&lt;number&gt;2&lt;/number&gt;&lt;dates&gt;&lt;year&gt;1997&lt;/year&gt;&lt;pub-dates&gt;&lt;date&gt;Fal&lt;/date&gt;&lt;/pub-dates&gt;&lt;/dates&gt;&lt;isbn&gt;0021-8456&lt;/isbn&gt;&lt;accession-num&gt;WOS:A1997YF54600003&lt;/accession-num&gt;&lt;urls&gt;&lt;related-urls&gt;&lt;url&gt;&amp;lt;Go to ISI&amp;gt;://WOS:A1997YF54600003&lt;/url&gt;&lt;/related-urls&gt;&lt;/urls&gt;&lt;electronic-resource-num&gt;10.2307/2491359&lt;/electronic-resource-num&gt;&lt;/record&gt;&lt;/Cite&gt;&lt;/EndNote&gt;</w:instrText>
      </w:r>
      <w:r w:rsidR="00FC694D" w:rsidRPr="00CF4E8D">
        <w:fldChar w:fldCharType="separate"/>
      </w:r>
      <w:r w:rsidR="00FC694D" w:rsidRPr="00CF4E8D">
        <w:rPr>
          <w:noProof/>
        </w:rPr>
        <w:t>(</w:t>
      </w:r>
      <w:hyperlink w:anchor="_ENREF_15" w:tooltip="Coller, 1997 #2291" w:history="1">
        <w:r w:rsidR="006C57ED" w:rsidRPr="00CF4E8D">
          <w:rPr>
            <w:noProof/>
          </w:rPr>
          <w:t>Coller &amp; Yohn, 1997</w:t>
        </w:r>
      </w:hyperlink>
      <w:r w:rsidR="00FC694D" w:rsidRPr="00CF4E8D">
        <w:rPr>
          <w:noProof/>
        </w:rPr>
        <w:t>)</w:t>
      </w:r>
      <w:r w:rsidR="00FC694D" w:rsidRPr="00CF4E8D">
        <w:fldChar w:fldCharType="end"/>
      </w:r>
      <w:r w:rsidR="0068340E" w:rsidRPr="00CF4E8D">
        <w:t xml:space="preserve"> because they benefit more from </w:t>
      </w:r>
      <w:r w:rsidR="0009575C" w:rsidRPr="00CF4E8D">
        <w:t>greater</w:t>
      </w:r>
      <w:r w:rsidR="0068340E" w:rsidRPr="00CF4E8D">
        <w:t xml:space="preserve"> disclosure.</w:t>
      </w:r>
      <w:r w:rsidR="00FC694D" w:rsidRPr="00CF4E8D">
        <w:t xml:space="preserve"> </w:t>
      </w:r>
      <w:r w:rsidR="005147C6" w:rsidRPr="00CF4E8D">
        <w:t xml:space="preserve">We seek to shed further light on this by considering whether </w:t>
      </w:r>
      <w:r w:rsidR="00A51214" w:rsidRPr="00CF4E8D">
        <w:t xml:space="preserve">the firms in </w:t>
      </w:r>
      <w:r w:rsidR="005147C6" w:rsidRPr="00CF4E8D">
        <w:t>our sample of project announcements</w:t>
      </w:r>
      <w:r w:rsidR="00A51214" w:rsidRPr="00CF4E8D">
        <w:t xml:space="preserve"> adjust the </w:t>
      </w:r>
      <w:r w:rsidR="005A5B2B">
        <w:t>level</w:t>
      </w:r>
      <w:r w:rsidR="00A51214" w:rsidRPr="00CF4E8D">
        <w:t xml:space="preserve"> of their </w:t>
      </w:r>
      <w:r w:rsidR="002A64B7">
        <w:t>transparency</w:t>
      </w:r>
      <w:r w:rsidR="00A51214" w:rsidRPr="00CF4E8D">
        <w:t xml:space="preserve"> according to the </w:t>
      </w:r>
      <w:r w:rsidR="005A5B2B">
        <w:t>degree</w:t>
      </w:r>
      <w:r w:rsidR="00A51214" w:rsidRPr="00CF4E8D">
        <w:t xml:space="preserve"> of information asymmetry that they are experiencing</w:t>
      </w:r>
      <w:r w:rsidR="005147C6" w:rsidRPr="00CF4E8D">
        <w:t xml:space="preserve">. </w:t>
      </w:r>
    </w:p>
    <w:p w14:paraId="535CB59A" w14:textId="66990479" w:rsidR="00882312" w:rsidRPr="007801A8" w:rsidRDefault="00882312" w:rsidP="00C05EFB">
      <w:pPr>
        <w:spacing w:line="360" w:lineRule="auto"/>
        <w:jc w:val="both"/>
        <w:rPr>
          <w:highlight w:val="yellow"/>
        </w:rPr>
      </w:pPr>
    </w:p>
    <w:p w14:paraId="4BCC9B1E" w14:textId="021DCD19" w:rsidR="00E07199" w:rsidRPr="00CF4E8D" w:rsidRDefault="00475093" w:rsidP="00C05EFB">
      <w:pPr>
        <w:spacing w:line="360" w:lineRule="auto"/>
        <w:jc w:val="both"/>
      </w:pPr>
      <w:r w:rsidRPr="00CF4E8D">
        <w:t xml:space="preserve">Empirical </w:t>
      </w:r>
      <w:r w:rsidR="00B75B8C" w:rsidRPr="00CF4E8D">
        <w:t>research evidence</w:t>
      </w:r>
      <w:r w:rsidR="007C49E7" w:rsidRPr="00CF4E8D">
        <w:t xml:space="preserve"> tends to</w:t>
      </w:r>
      <w:r w:rsidR="00B75B8C" w:rsidRPr="00CF4E8D">
        <w:t xml:space="preserve"> su</w:t>
      </w:r>
      <w:r w:rsidRPr="00CF4E8D">
        <w:t>pport the view</w:t>
      </w:r>
      <w:r w:rsidR="00B75B8C" w:rsidRPr="00CF4E8D">
        <w:t xml:space="preserve"> that information asymmetry can be reduced by greater public disclosure. </w:t>
      </w:r>
      <w:r w:rsidR="00A11A6C" w:rsidRPr="00CF4E8D">
        <w:t>Earnings announcements, management earnings forecasts and analyst earnings forecasts have all been found to reduce bid-ask spreads in the days following the announcement</w:t>
      </w:r>
      <w:r w:rsidR="00A87417">
        <w:t>s</w:t>
      </w:r>
      <w:r w:rsidR="00A11A6C" w:rsidRPr="00CF4E8D">
        <w:t xml:space="preserve"> </w:t>
      </w:r>
      <w:r w:rsidR="00A11A6C" w:rsidRPr="00CF4E8D">
        <w:fldChar w:fldCharType="begin">
          <w:fldData xml:space="preserve">PEVuZE5vdGU+PENpdGU+PEF1dGhvcj5BbWlyYW08L0F1dGhvcj48WWVhcj4yMDE2PC9ZZWFyPjxS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</w:fldData>
        </w:fldChar>
      </w:r>
      <w:r w:rsidR="00A11A6C" w:rsidRPr="00CF4E8D">
        <w:instrText xml:space="preserve"> ADDIN EN.CITE </w:instrText>
      </w:r>
      <w:r w:rsidR="00A11A6C" w:rsidRPr="00CF4E8D">
        <w:fldChar w:fldCharType="begin">
          <w:fldData xml:space="preserve">PEVuZE5vdGU+PENpdGU+PEF1dGhvcj5BbWlyYW08L0F1dGhvcj48WWVhcj4yMDE2PC9ZZWFyPjxS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</w:fldData>
        </w:fldChar>
      </w:r>
      <w:r w:rsidR="00A11A6C" w:rsidRPr="00CF4E8D">
        <w:instrText xml:space="preserve"> ADDIN EN.CITE.DATA </w:instrText>
      </w:r>
      <w:r w:rsidR="00A11A6C" w:rsidRPr="00CF4E8D">
        <w:fldChar w:fldCharType="end"/>
      </w:r>
      <w:r w:rsidR="00A11A6C" w:rsidRPr="00CF4E8D">
        <w:fldChar w:fldCharType="separate"/>
      </w:r>
      <w:r w:rsidR="00A11A6C" w:rsidRPr="00CF4E8D">
        <w:rPr>
          <w:noProof/>
        </w:rPr>
        <w:t>(</w:t>
      </w:r>
      <w:hyperlink w:anchor="_ENREF_1" w:tooltip="Amiram, 2016 #2114" w:history="1">
        <w:r w:rsidR="006C57ED" w:rsidRPr="00CF4E8D">
          <w:rPr>
            <w:noProof/>
          </w:rPr>
          <w:t>Amiram, Owens, &amp; Rozenbaum, 2016</w:t>
        </w:r>
      </w:hyperlink>
      <w:r w:rsidR="00A11A6C" w:rsidRPr="00CF4E8D">
        <w:rPr>
          <w:noProof/>
        </w:rPr>
        <w:t xml:space="preserve">; </w:t>
      </w:r>
      <w:hyperlink w:anchor="_ENREF_15" w:tooltip="Coller, 1997 #2291" w:history="1">
        <w:r w:rsidR="006C57ED" w:rsidRPr="00CF4E8D">
          <w:rPr>
            <w:noProof/>
          </w:rPr>
          <w:t>Coller &amp; Yohn, 1997</w:t>
        </w:r>
      </w:hyperlink>
      <w:r w:rsidR="00A11A6C" w:rsidRPr="00CF4E8D">
        <w:rPr>
          <w:noProof/>
        </w:rPr>
        <w:t>)</w:t>
      </w:r>
      <w:r w:rsidR="00A11A6C" w:rsidRPr="00CF4E8D">
        <w:fldChar w:fldCharType="end"/>
      </w:r>
      <w:r w:rsidR="00A11A6C" w:rsidRPr="00CF4E8D">
        <w:t>. Also</w:t>
      </w:r>
      <w:r w:rsidR="003B0AAA" w:rsidRPr="00CF4E8D">
        <w:t>, m</w:t>
      </w:r>
      <w:r w:rsidR="00B75B8C" w:rsidRPr="00CF4E8D">
        <w:t xml:space="preserve">ore precise management earnings forecasts are associated with lower dispersion of analysts’ forecasts </w:t>
      </w:r>
      <w:r w:rsidR="00B75B8C" w:rsidRPr="00CF4E8D">
        <w:fldChar w:fldCharType="begin"/>
      </w:r>
      <w:r w:rsidR="001F261C" w:rsidRPr="00CF4E8D">
        <w:instrText xml:space="preserve"> ADDIN EN.CITE &lt;EndNote&gt;&lt;Cite&gt;&lt;Author&gt;Baginski&lt;/Author&gt;&lt;Year&gt;1993&lt;/Year&gt;&lt;RecNum&gt;2248&lt;/RecNum&gt;&lt;DisplayText&gt;(Baginski, Conrad, &amp;amp; Hassell, 1993)&lt;/DisplayText&gt;&lt;record&gt;&lt;rec-number&gt;2248&lt;/rec-number&gt;&lt;foreign-keys&gt;&lt;key app="EN" db-id="20p2wrv0m2av96e55d1pzxv2zxx5pvw55d55" timestamp="1495597799"&gt;2248&lt;/key&gt;&lt;/foreign-keys&gt;&lt;ref-type name="Journal Article"&gt;17&lt;/ref-type&gt;&lt;contributors&gt;&lt;authors&gt;&lt;author&gt;Baginski, S. P.&lt;/author&gt;&lt;author&gt;Conrad, E. J.&lt;/author&gt;&lt;author&gt;Hassell, J. M.&lt;/author&gt;&lt;/authors&gt;&lt;/contributors&gt;&lt;titles&gt;&lt;title&gt;The effects of management forecast precision on equity pricing and on the assessment of earnings uncertainty&lt;/title&gt;&lt;secondary-title&gt;Accounting Review&lt;/secondary-title&gt;&lt;/titles&gt;&lt;periodical&gt;&lt;full-title&gt;Accounting Review&lt;/full-title&gt;&lt;/periodical&gt;&lt;pages&gt;913-927&lt;/pages&gt;&lt;volume&gt;68&lt;/volume&gt;&lt;number&gt;4&lt;/number&gt;&lt;dates&gt;&lt;year&gt;1993&lt;/year&gt;&lt;pub-dates&gt;&lt;date&gt;Oct&lt;/date&gt;&lt;/pub-dates&gt;&lt;/dates&gt;&lt;isbn&gt;0001-4826&lt;/isbn&gt;&lt;accession-num&gt;WOS:A1993MH02100014&lt;/accession-num&gt;&lt;urls&gt;&lt;related-urls&gt;&lt;url&gt;&amp;lt;Go to ISI&amp;gt;://WOS:A1993MH02100014&lt;/url&gt;&lt;/related-urls&gt;&lt;/urls&gt;&lt;/record&gt;&lt;/Cite&gt;&lt;/EndNote&gt;</w:instrText>
      </w:r>
      <w:r w:rsidR="00B75B8C" w:rsidRPr="00CF4E8D">
        <w:fldChar w:fldCharType="separate"/>
      </w:r>
      <w:r w:rsidR="001F261C" w:rsidRPr="00CF4E8D">
        <w:rPr>
          <w:noProof/>
        </w:rPr>
        <w:t>(</w:t>
      </w:r>
      <w:hyperlink w:anchor="_ENREF_5" w:tooltip="Baginski, 1993 #2248" w:history="1">
        <w:r w:rsidR="006C57ED" w:rsidRPr="00CF4E8D">
          <w:rPr>
            <w:noProof/>
          </w:rPr>
          <w:t xml:space="preserve">Baginski, </w:t>
        </w:r>
        <w:r w:rsidR="006C57ED" w:rsidRPr="00CF4E8D">
          <w:rPr>
            <w:noProof/>
          </w:rPr>
          <w:lastRenderedPageBreak/>
          <w:t>Conrad, &amp; Hassell, 1993</w:t>
        </w:r>
      </w:hyperlink>
      <w:r w:rsidR="001F261C" w:rsidRPr="00CF4E8D">
        <w:rPr>
          <w:noProof/>
        </w:rPr>
        <w:t>)</w:t>
      </w:r>
      <w:r w:rsidR="00B75B8C" w:rsidRPr="00CF4E8D">
        <w:fldChar w:fldCharType="end"/>
      </w:r>
      <w:r w:rsidR="00B75B8C" w:rsidRPr="00CF4E8D">
        <w:t xml:space="preserve">, while </w:t>
      </w:r>
      <w:r w:rsidR="005D52F5" w:rsidRPr="00CF4E8D">
        <w:t xml:space="preserve">improvements in firm-level disclosure ratings are related to growth in institutional ownership and analyst coverage, and reduced bid-ask spreads </w:t>
      </w:r>
      <w:r w:rsidR="005D52F5" w:rsidRPr="00CF4E8D">
        <w:fldChar w:fldCharType="begin"/>
      </w:r>
      <w:r w:rsidR="00A03427" w:rsidRPr="00CF4E8D">
        <w:instrText xml:space="preserve"> ADDIN EN.CITE &lt;EndNote&gt;&lt;Cite&gt;&lt;Author&gt;Healy&lt;/Author&gt;&lt;Year&gt;1999&lt;/Year&gt;&lt;RecNum&gt;2231&lt;/RecNum&gt;&lt;DisplayText&gt;(Healy et al., 1999)&lt;/DisplayText&gt;&lt;record&gt;&lt;rec-number&gt;2231&lt;/rec-number&gt;&lt;foreign-keys&gt;&lt;key app="EN" db-id="20p2wrv0m2av96e55d1pzxv2zxx5pvw55d55" timestamp="1494973905"&gt;2231&lt;/key&gt;&lt;/foreign-keys&gt;&lt;ref-type name="Journal Article"&gt;17&lt;/ref-type&gt;&lt;contributors&gt;&lt;authors&gt;&lt;author&gt;Healy, P. M.&lt;/author&gt;&lt;author&gt;Hutton, A. P.&lt;/author&gt;&lt;author&gt;Palepu, K. G.&lt;/author&gt;&lt;/authors&gt;&lt;/contributors&gt;&lt;auth-address&gt;Harvard University, United States&lt;/auth-address&gt;&lt;titles&gt;&lt;title&gt;Stock Performance and Intermediation Changes Surrounding Sustained Increases in Disclosure&lt;/title&gt;&lt;secondary-title&gt;Contemporary Accounting Research&lt;/secondary-title&gt;&lt;/titles&gt;&lt;periodical&gt;&lt;full-title&gt;Contemporary Accounting Research&lt;/full-title&gt;&lt;/periodical&gt;&lt;pages&gt;485-520&lt;/pages&gt;&lt;volume&gt;16&lt;/volume&gt;&lt;number&gt;3&lt;/number&gt;&lt;dates&gt;&lt;year&gt;1999&lt;/year&gt;&lt;/dates&gt;&lt;work-type&gt;Article&lt;/work-type&gt;&lt;urls&gt;&lt;related-urls&gt;&lt;url&gt;https://www.scopus.com/inward/record.uri?eid=2-s2.0-0000388461&amp;amp;partnerID=40&amp;amp;md5=0381c9aeeb91b7901cef98d2649f6ab7&lt;/url&gt;&lt;/related-urls&gt;&lt;/urls&gt;&lt;remote-database-name&gt;Scopus&lt;/remote-database-name&gt;&lt;/record&gt;&lt;/Cite&gt;&lt;/EndNote&gt;</w:instrText>
      </w:r>
      <w:r w:rsidR="005D52F5" w:rsidRPr="00CF4E8D">
        <w:fldChar w:fldCharType="separate"/>
      </w:r>
      <w:r w:rsidR="00A03427" w:rsidRPr="00CF4E8D">
        <w:rPr>
          <w:noProof/>
        </w:rPr>
        <w:t>(</w:t>
      </w:r>
      <w:hyperlink w:anchor="_ENREF_28" w:tooltip="Healy, 1999 #2231" w:history="1">
        <w:r w:rsidR="006C57ED" w:rsidRPr="00CF4E8D">
          <w:rPr>
            <w:noProof/>
          </w:rPr>
          <w:t>Healy et al., 1999</w:t>
        </w:r>
      </w:hyperlink>
      <w:r w:rsidR="00A03427" w:rsidRPr="00CF4E8D">
        <w:rPr>
          <w:noProof/>
        </w:rPr>
        <w:t>)</w:t>
      </w:r>
      <w:r w:rsidR="005D52F5" w:rsidRPr="00CF4E8D">
        <w:fldChar w:fldCharType="end"/>
      </w:r>
      <w:r w:rsidR="005D52F5" w:rsidRPr="00CF4E8D">
        <w:t xml:space="preserve">. Reduced information asymmetry has also been reported in relation to </w:t>
      </w:r>
      <w:r w:rsidR="003B0AAA" w:rsidRPr="00CF4E8D">
        <w:t xml:space="preserve">greater disclosure </w:t>
      </w:r>
      <w:r w:rsidR="0009575C" w:rsidRPr="00CF4E8D">
        <w:t xml:space="preserve">by German firms </w:t>
      </w:r>
      <w:r w:rsidR="00A51068" w:rsidRPr="00CF4E8D">
        <w:t xml:space="preserve">through </w:t>
      </w:r>
      <w:r w:rsidR="005D52F5" w:rsidRPr="00CF4E8D">
        <w:t xml:space="preserve">the adoption of International Accounting Standards or US Generally Accepted Accounting Standards </w:t>
      </w:r>
      <w:r w:rsidR="003B0AAA" w:rsidRPr="00CF4E8D">
        <w:fldChar w:fldCharType="begin"/>
      </w:r>
      <w:r w:rsidR="003B0AAA" w:rsidRPr="00CF4E8D">
        <w:instrText xml:space="preserve"> ADDIN EN.CITE &lt;EndNote&gt;&lt;Cite&gt;&lt;Author&gt;Leuz&lt;/Author&gt;&lt;Year&gt;2000&lt;/Year&gt;&lt;RecNum&gt;2230&lt;/RecNum&gt;&lt;DisplayText&gt;(Leuz &amp;amp; Verrecchia, 2000)&lt;/DisplayText&gt;&lt;record&gt;&lt;rec-number&gt;2230&lt;/rec-number&gt;&lt;foreign-keys&gt;&lt;key app="EN" db-id="20p2wrv0m2av96e55d1pzxv2zxx5pvw55d55" timestamp="1494973905"&gt;2230&lt;/key&gt;&lt;/foreign-keys&gt;&lt;ref-type name="Journal Article"&gt;17&lt;/ref-type&gt;&lt;contributors&gt;&lt;authors&gt;&lt;author&gt;Leuz, C.&lt;/author&gt;&lt;author&gt;Verrecchia, R. E.&lt;/author&gt;&lt;/authors&gt;&lt;/contributors&gt;&lt;auth-address&gt;University of Pennsylvania, United States&lt;/auth-address&gt;&lt;titles&gt;&lt;title&gt;The economic consequences of increased disclosure&lt;/title&gt;&lt;secondary-title&gt;Journal of Accounting Research&lt;/secondary-title&gt;&lt;/titles&gt;&lt;periodical&gt;&lt;full-title&gt;Journal of Accounting Research&lt;/full-title&gt;&lt;/periodical&gt;&lt;pages&gt;91-124&lt;/pages&gt;&lt;volume&gt;38&lt;/volume&gt;&lt;number&gt;SUPPL.&lt;/number&gt;&lt;keywords&gt;&lt;keyword&gt;Cost of capital&lt;/keyword&gt;&lt;keyword&gt;Disclosure&lt;/keyword&gt;&lt;keyword&gt;Information asymmetry&lt;/keyword&gt;&lt;keyword&gt;International accounting&lt;/keyword&gt;&lt;/keywords&gt;&lt;dates&gt;&lt;year&gt;2000&lt;/year&gt;&lt;/dates&gt;&lt;work-type&gt;Article&lt;/work-type&gt;&lt;urls&gt;&lt;related-urls&gt;&lt;url&gt;https://www.scopus.com/inward/record.uri?eid=2-s2.0-0242534354&amp;amp;partnerID=40&amp;amp;md5=94a6f40d5649f61bc3a0a152fdc5e98c&lt;/url&gt;&lt;/related-urls&gt;&lt;/urls&gt;&lt;remote-database-name&gt;Scopus&lt;/remote-database-name&gt;&lt;/record&gt;&lt;/Cite&gt;&lt;/EndNote&gt;</w:instrText>
      </w:r>
      <w:r w:rsidR="003B0AAA" w:rsidRPr="00CF4E8D">
        <w:fldChar w:fldCharType="separate"/>
      </w:r>
      <w:r w:rsidR="003B0AAA" w:rsidRPr="00CF4E8D">
        <w:rPr>
          <w:noProof/>
        </w:rPr>
        <w:t>(</w:t>
      </w:r>
      <w:hyperlink w:anchor="_ENREF_38" w:tooltip="Leuz, 2000 #2230" w:history="1">
        <w:r w:rsidR="006C57ED" w:rsidRPr="00CF4E8D">
          <w:rPr>
            <w:noProof/>
          </w:rPr>
          <w:t>Leuz &amp; Verrecchia, 2000</w:t>
        </w:r>
      </w:hyperlink>
      <w:r w:rsidR="003B0AAA" w:rsidRPr="00CF4E8D">
        <w:rPr>
          <w:noProof/>
        </w:rPr>
        <w:t>)</w:t>
      </w:r>
      <w:r w:rsidR="003B0AAA" w:rsidRPr="00CF4E8D">
        <w:fldChar w:fldCharType="end"/>
      </w:r>
      <w:r w:rsidR="003B0AAA" w:rsidRPr="00CF4E8D">
        <w:t>. Greater product-related disclosure at the time of an IPO has been shown to reduce information asymmetry in Biotech firms</w:t>
      </w:r>
      <w:r w:rsidR="00A11A6C" w:rsidRPr="00CF4E8D">
        <w:t xml:space="preserve"> </w:t>
      </w:r>
      <w:r w:rsidR="00A11A6C" w:rsidRPr="00CF4E8D">
        <w:fldChar w:fldCharType="begin"/>
      </w:r>
      <w:r w:rsidR="00A11A6C" w:rsidRPr="00CF4E8D">
        <w:instrText xml:space="preserve"> ADDIN EN.CITE &lt;EndNote&gt;&lt;Cite&gt;&lt;Author&gt;Guo&lt;/Author&gt;&lt;Year&gt;2004&lt;/Year&gt;&lt;RecNum&gt;474&lt;/RecNum&gt;&lt;DisplayText&gt;(Guo, Lev, &amp;amp; Zhou, 2004)&lt;/DisplayText&gt;&lt;record&gt;&lt;rec-number&gt;474&lt;/rec-number&gt;&lt;foreign-keys&gt;&lt;key app="EN" db-id="20p2wrv0m2av96e55d1pzxv2zxx5pvw55d55" timestamp="0"&gt;474&lt;/key&gt;&lt;/foreign-keys&gt;&lt;ref-type name="Journal Article"&gt;17&lt;/ref-type&gt;&lt;contributors&gt;&lt;authors&gt;&lt;author&gt;Guo, Re-Jin&lt;/author&gt;&lt;author&gt;Lev, Baruch&lt;/author&gt;&lt;author&gt;Zhou, Nan&lt;/author&gt;&lt;/authors&gt;&lt;/contributors&gt;&lt;titles&gt;&lt;title&gt;Competitive costs of disclosure by Biotech IPOs.&lt;/title&gt;&lt;secondary-title&gt;Journal of Accounting Research&lt;/secondary-title&gt;&lt;/titles&gt;&lt;periodical&gt;&lt;full-title&gt;Journal of Accounting Research&lt;/full-title&gt;&lt;/periodical&gt;&lt;pages&gt;319-355&lt;/pages&gt;&lt;volume&gt;42&lt;/volume&gt;&lt;number&gt;2&lt;/number&gt;&lt;keywords&gt;&lt;keyword&gt;BIOTECHNOLOGY industries&lt;/keyword&gt;&lt;keyword&gt;CORPORATIONS -- Finance&lt;/keyword&gt;&lt;keyword&gt;DISCLOSURE of information&lt;/keyword&gt;&lt;keyword&gt;FINANCIAL disclosure&lt;/keyword&gt;&lt;keyword&gt;GOING public (Securities)&lt;/keyword&gt;&lt;keyword&gt;UNITED States&lt;/keyword&gt;&lt;/keywords&gt;&lt;dates&gt;&lt;year&gt;2004&lt;/year&gt;&lt;pub-dates&gt;&lt;date&gt;2004/05//&lt;/date&gt;&lt;/pub-dates&gt;&lt;/dates&gt;&lt;publisher&gt;Blackwell Publishing Limited&lt;/publisher&gt;&lt;isbn&gt;00218456&lt;/isbn&gt;&lt;work-type&gt;Article&lt;/work-type&gt;&lt;urls&gt;&lt;related-urls&gt;&lt;url&gt;http://ezproxy.massey.ac.nz/login?url=http://search.ebscohost.com/login.aspx?direct=true&amp;amp;AuthType=ip,cookie,url,uid&amp;amp;db=buh&amp;amp;AN=12831556&amp;amp;site=ehost-live&lt;/url&gt;&lt;/related-urls&gt;&lt;/urls&gt;&lt;/record&gt;&lt;/Cite&gt;&lt;/EndNote&gt;</w:instrText>
      </w:r>
      <w:r w:rsidR="00A11A6C" w:rsidRPr="00CF4E8D">
        <w:fldChar w:fldCharType="separate"/>
      </w:r>
      <w:r w:rsidR="00A11A6C" w:rsidRPr="00CF4E8D">
        <w:rPr>
          <w:noProof/>
        </w:rPr>
        <w:t>(</w:t>
      </w:r>
      <w:hyperlink w:anchor="_ENREF_25" w:tooltip="Guo, 2004 #474" w:history="1">
        <w:r w:rsidR="006C57ED" w:rsidRPr="00CF4E8D">
          <w:rPr>
            <w:noProof/>
          </w:rPr>
          <w:t>Guo, Lev, &amp; Zhou, 2004</w:t>
        </w:r>
      </w:hyperlink>
      <w:r w:rsidR="00A11A6C" w:rsidRPr="00CF4E8D">
        <w:rPr>
          <w:noProof/>
        </w:rPr>
        <w:t>)</w:t>
      </w:r>
      <w:r w:rsidR="00A11A6C" w:rsidRPr="00CF4E8D">
        <w:fldChar w:fldCharType="end"/>
      </w:r>
      <w:r w:rsidR="003B0AAA" w:rsidRPr="00CF4E8D">
        <w:t xml:space="preserve">. </w:t>
      </w:r>
      <w:r w:rsidR="0009575C" w:rsidRPr="00CF4E8D">
        <w:t>Closer to our topic, c</w:t>
      </w:r>
      <w:r w:rsidR="003B0AAA" w:rsidRPr="00CF4E8D">
        <w:t xml:space="preserve">apital expenditure information disaggregated into maintenance and growth expenditures assists investors to forecast future sales </w:t>
      </w:r>
      <w:r w:rsidR="003B0AAA" w:rsidRPr="00CF4E8D">
        <w:fldChar w:fldCharType="begin"/>
      </w:r>
      <w:r w:rsidR="003B0AAA" w:rsidRPr="00CF4E8D">
        <w:instrText xml:space="preserve"> ADDIN EN.CITE &lt;EndNote&gt;&lt;Cite&gt;&lt;Author&gt;Beyer&lt;/Author&gt;&lt;Year&gt;2015&lt;/Year&gt;&lt;RecNum&gt;1984&lt;/RecNum&gt;&lt;DisplayText&gt;(Beyer, Herrmann, &amp;amp; Rapley, 2015)&lt;/DisplayText&gt;&lt;record&gt;&lt;rec-number&gt;1984&lt;/rec-number&gt;&lt;foreign-keys&gt;&lt;key app="EN" db-id="20p2wrv0m2av96e55d1pzxv2zxx5pvw55d55" timestamp="1432264113"&gt;1984&lt;/key&gt;&lt;/foreign-keys&gt;&lt;ref-type name="Report"&gt;27&lt;/ref-type&gt;&lt;contributors&gt;&lt;authors&gt;&lt;author&gt;Beyer, B.&lt;/author&gt;&lt;author&gt;Herrmann, D.&lt;/author&gt;&lt;author&gt;Rapley, E.T.&lt;/author&gt;&lt;/authors&gt;&lt;/contributors&gt;&lt;titles&gt;&lt;title&gt;Disaggregated capital expenditures&lt;/title&gt;&lt;/titles&gt;&lt;keywords&gt;&lt;keyword&gt;Capital Expenditures&lt;/keyword&gt;&lt;keyword&gt;Disaggregation&lt;/keyword&gt;&lt;keyword&gt;Maintenance CAPX&lt;/keyword&gt;&lt;keyword&gt;Growth CAPX&lt;/keyword&gt;&lt;/keywords&gt;&lt;dates&gt;&lt;year&gt;2015&lt;/year&gt;&lt;pub-dates&gt;&lt;date&gt;March 30&lt;/date&gt;&lt;/pub-dates&gt;&lt;/dates&gt;&lt;pub-location&gt;Available at SSRN&lt;/pub-location&gt;&lt;publisher&gt;http://ssrn.com/abstract=2587124 or http://dx.doi.org/10.2139/ssrn.2587124 &lt;/publisher&gt;&lt;urls&gt;&lt;/urls&gt;&lt;/record&gt;&lt;/Cite&gt;&lt;/EndNote&gt;</w:instrText>
      </w:r>
      <w:r w:rsidR="003B0AAA" w:rsidRPr="00CF4E8D">
        <w:fldChar w:fldCharType="separate"/>
      </w:r>
      <w:r w:rsidR="003B0AAA" w:rsidRPr="00CF4E8D">
        <w:rPr>
          <w:noProof/>
        </w:rPr>
        <w:t>(</w:t>
      </w:r>
      <w:hyperlink w:anchor="_ENREF_6" w:tooltip="Beyer, 2015 #1984" w:history="1">
        <w:r w:rsidR="006C57ED" w:rsidRPr="00CF4E8D">
          <w:rPr>
            <w:noProof/>
          </w:rPr>
          <w:t>Beyer, Herrmann, &amp; Rapley, 2015</w:t>
        </w:r>
      </w:hyperlink>
      <w:r w:rsidR="003B0AAA" w:rsidRPr="00CF4E8D">
        <w:rPr>
          <w:noProof/>
        </w:rPr>
        <w:t>)</w:t>
      </w:r>
      <w:r w:rsidR="003B0AAA" w:rsidRPr="00CF4E8D">
        <w:fldChar w:fldCharType="end"/>
      </w:r>
      <w:r w:rsidR="003B0AAA" w:rsidRPr="00CF4E8D">
        <w:t xml:space="preserve">. </w:t>
      </w:r>
      <w:r w:rsidR="00E272CB" w:rsidRPr="00CF4E8D">
        <w:t>W</w:t>
      </w:r>
      <w:r w:rsidR="0084043E" w:rsidRPr="00CF4E8D">
        <w:t xml:space="preserve">hether or not investment transparency in project-level </w:t>
      </w:r>
      <w:r w:rsidR="003B0AAA" w:rsidRPr="00CF4E8D">
        <w:t xml:space="preserve">announcements </w:t>
      </w:r>
      <w:r w:rsidR="0084043E" w:rsidRPr="00CF4E8D">
        <w:t xml:space="preserve">similarly </w:t>
      </w:r>
      <w:r w:rsidR="003B0AAA" w:rsidRPr="00CF4E8D">
        <w:t>reduce</w:t>
      </w:r>
      <w:r w:rsidR="0084043E" w:rsidRPr="00CF4E8D">
        <w:t>s</w:t>
      </w:r>
      <w:r w:rsidR="003B0AAA" w:rsidRPr="00CF4E8D">
        <w:t xml:space="preserve"> information </w:t>
      </w:r>
      <w:r w:rsidR="00212559" w:rsidRPr="00CF4E8D">
        <w:t>asymmetry</w:t>
      </w:r>
      <w:r w:rsidR="00E272CB" w:rsidRPr="00CF4E8D">
        <w:t xml:space="preserve"> has yet </w:t>
      </w:r>
      <w:r w:rsidR="00C15D91">
        <w:t xml:space="preserve">to </w:t>
      </w:r>
      <w:r w:rsidR="00E272CB" w:rsidRPr="00CF4E8D">
        <w:t>be investigated.</w:t>
      </w:r>
    </w:p>
    <w:p w14:paraId="5EEB5DDB" w14:textId="77777777" w:rsidR="00E07199" w:rsidRPr="007801A8" w:rsidRDefault="00E07199" w:rsidP="00C05EFB">
      <w:pPr>
        <w:spacing w:line="360" w:lineRule="auto"/>
        <w:jc w:val="both"/>
        <w:rPr>
          <w:highlight w:val="yellow"/>
        </w:rPr>
      </w:pPr>
    </w:p>
    <w:p w14:paraId="7D14E67A" w14:textId="3ECCD098" w:rsidR="00B0036B" w:rsidRPr="00C35785" w:rsidRDefault="00A87417" w:rsidP="00B0036B">
      <w:pPr>
        <w:spacing w:line="360" w:lineRule="auto"/>
        <w:jc w:val="both"/>
        <w:rPr>
          <w:highlight w:val="yellow"/>
        </w:rPr>
      </w:pPr>
      <w:r>
        <w:t>This</w:t>
      </w:r>
      <w:r w:rsidR="00E628CB">
        <w:t xml:space="preserve"> </w:t>
      </w:r>
      <w:r w:rsidR="00627865">
        <w:t>paper</w:t>
      </w:r>
      <w:r w:rsidR="00E628CB">
        <w:t xml:space="preserve"> ex</w:t>
      </w:r>
      <w:r w:rsidR="00627865" w:rsidRPr="007C2C53">
        <w:t>tend</w:t>
      </w:r>
      <w:r w:rsidR="00E628CB">
        <w:t>s</w:t>
      </w:r>
      <w:r w:rsidR="00627865" w:rsidRPr="007C2C53">
        <w:t xml:space="preserve"> the capital expenditure announcements literature that investigates the economic impact of project announcements</w:t>
      </w:r>
      <w:r w:rsidR="00627865">
        <w:t xml:space="preserve"> b</w:t>
      </w:r>
      <w:r w:rsidR="007017AA" w:rsidRPr="00CF4E8D">
        <w:t>y incorporating the level of investment transparency</w:t>
      </w:r>
      <w:r w:rsidR="00627865">
        <w:t>.</w:t>
      </w:r>
      <w:r w:rsidR="007017AA" w:rsidRPr="00CF4E8D">
        <w:t xml:space="preserve"> We find that investment transparency </w:t>
      </w:r>
      <w:r w:rsidR="00BC1909">
        <w:t xml:space="preserve">is </w:t>
      </w:r>
      <w:r w:rsidR="007017AA" w:rsidRPr="00CF4E8D">
        <w:t>positive</w:t>
      </w:r>
      <w:r w:rsidR="00BC1909">
        <w:t xml:space="preserve">ly related to </w:t>
      </w:r>
      <w:r w:rsidR="007017AA" w:rsidRPr="00CF4E8D">
        <w:t xml:space="preserve">the magnitude of </w:t>
      </w:r>
      <w:r w:rsidR="00D5463B" w:rsidRPr="00CF4E8D">
        <w:t xml:space="preserve">stock returns </w:t>
      </w:r>
      <w:r w:rsidR="00BC1909">
        <w:t>when the market respon</w:t>
      </w:r>
      <w:r w:rsidR="00CB5CAC">
        <w:t>d</w:t>
      </w:r>
      <w:r w:rsidR="00BC1909">
        <w:t>s</w:t>
      </w:r>
      <w:r w:rsidR="00CB5CAC">
        <w:t xml:space="preserve"> positively</w:t>
      </w:r>
      <w:r w:rsidR="00BC1909">
        <w:t xml:space="preserve"> to announcements</w:t>
      </w:r>
      <w:r w:rsidR="00BC1909" w:rsidRPr="00BC1909">
        <w:t xml:space="preserve">, </w:t>
      </w:r>
      <w:r w:rsidR="00D5463B" w:rsidRPr="00CB5CAC">
        <w:t xml:space="preserve">but </w:t>
      </w:r>
      <w:r w:rsidR="00CB5CAC">
        <w:t xml:space="preserve">is </w:t>
      </w:r>
      <w:r w:rsidR="00BC1909" w:rsidRPr="00CB5CAC">
        <w:t>unrelated to stock returns for negative market responses.</w:t>
      </w:r>
      <w:r w:rsidR="00D5463B" w:rsidRPr="00BC1909">
        <w:t xml:space="preserve"> </w:t>
      </w:r>
      <w:r w:rsidR="00D55C0B">
        <w:t>We show that t</w:t>
      </w:r>
      <w:r w:rsidR="00320DDA" w:rsidRPr="00BC1909">
        <w:t>he f</w:t>
      </w:r>
      <w:r w:rsidR="00320DDA" w:rsidRPr="00D57154">
        <w:t xml:space="preserve">indings are consistent with an explanation that the market reacts positively to investment announcements when firms have better real growth options and suffer less from information asymmetry, and investment transparency increases announcement period returns as long as predictive earnings persistence is not hampered. </w:t>
      </w:r>
      <w:r w:rsidR="00D5463B" w:rsidRPr="00CF4E8D">
        <w:t>We also find that</w:t>
      </w:r>
      <w:r w:rsidR="00C95BC1">
        <w:t xml:space="preserve"> the investment announcements reduce </w:t>
      </w:r>
      <w:r w:rsidR="00D5463B" w:rsidRPr="00CF4E8D">
        <w:t xml:space="preserve">information asymmetry, but only </w:t>
      </w:r>
      <w:r w:rsidR="005511A8">
        <w:t xml:space="preserve">for </w:t>
      </w:r>
      <w:r w:rsidR="00C95BC1">
        <w:t xml:space="preserve">low transparency announcements by firms within </w:t>
      </w:r>
      <w:r w:rsidR="00CB5CAC">
        <w:t xml:space="preserve">the </w:t>
      </w:r>
      <w:r w:rsidR="005511A8">
        <w:t xml:space="preserve">negative </w:t>
      </w:r>
      <w:r w:rsidR="00CB5CAC" w:rsidRPr="00CB5CAC">
        <w:rPr>
          <w:i/>
        </w:rPr>
        <w:t>CAR</w:t>
      </w:r>
      <w:r w:rsidR="00CB5CAC">
        <w:t xml:space="preserve"> </w:t>
      </w:r>
      <w:r w:rsidR="00CB5CAC" w:rsidRPr="00D57896">
        <w:t>subsample</w:t>
      </w:r>
      <w:r w:rsidR="005511A8" w:rsidRPr="00D57896">
        <w:t>.</w:t>
      </w:r>
      <w:r w:rsidR="00B0036B" w:rsidRPr="00D57896">
        <w:t xml:space="preserve"> </w:t>
      </w:r>
      <w:r w:rsidR="005511A8" w:rsidRPr="00D57896">
        <w:t>T</w:t>
      </w:r>
      <w:r w:rsidR="00681A90" w:rsidRPr="00D57896">
        <w:t>hese firms</w:t>
      </w:r>
      <w:r w:rsidR="005511A8" w:rsidRPr="00D57896">
        <w:t xml:space="preserve"> tend to be experiencing high information asymmetry prior to the project announcement,</w:t>
      </w:r>
      <w:r w:rsidR="005511A8">
        <w:t xml:space="preserve"> so </w:t>
      </w:r>
      <w:r w:rsidR="00C95BC1">
        <w:t xml:space="preserve">although the announcement </w:t>
      </w:r>
      <w:r w:rsidR="00681A90">
        <w:t>may help to reduce investor pricing disagreements</w:t>
      </w:r>
      <w:r w:rsidR="00C95BC1">
        <w:t>, it may also</w:t>
      </w:r>
      <w:r w:rsidR="00681A90">
        <w:t xml:space="preserve"> confirm </w:t>
      </w:r>
      <w:r w:rsidR="00681A90" w:rsidRPr="00D57154">
        <w:t xml:space="preserve">to the market the exercise of real growth options without </w:t>
      </w:r>
      <w:r w:rsidR="00C95BC1">
        <w:t>sufficient</w:t>
      </w:r>
      <w:r w:rsidR="00681A90" w:rsidRPr="00D57154">
        <w:t xml:space="preserve"> creation of new follow-on options. </w:t>
      </w:r>
      <w:r w:rsidRPr="00E32466">
        <w:t>These i</w:t>
      </w:r>
      <w:r w:rsidR="00B0036B" w:rsidRPr="00CF4E8D">
        <w:t xml:space="preserve">nsights </w:t>
      </w:r>
      <w:r w:rsidRPr="00CF4E8D">
        <w:t>can inform</w:t>
      </w:r>
      <w:r w:rsidR="00B0036B" w:rsidRPr="00CF4E8D">
        <w:t xml:space="preserve"> managers and standard-setters on the conditions under which </w:t>
      </w:r>
      <w:r w:rsidR="0026395D">
        <w:t>transparency</w:t>
      </w:r>
      <w:r w:rsidR="00B0036B" w:rsidRPr="00CF4E8D">
        <w:t xml:space="preserve"> of capital expenditure announcements </w:t>
      </w:r>
      <w:r w:rsidR="00681A90">
        <w:t>may</w:t>
      </w:r>
      <w:r w:rsidR="00B0036B" w:rsidRPr="00CF4E8D">
        <w:t xml:space="preserve"> be beneficial.</w:t>
      </w:r>
    </w:p>
    <w:p w14:paraId="33195896" w14:textId="77777777" w:rsidR="00D5463B" w:rsidRPr="00CF4E8D" w:rsidRDefault="00D5463B" w:rsidP="00647285">
      <w:pPr>
        <w:spacing w:line="360" w:lineRule="auto"/>
        <w:jc w:val="both"/>
      </w:pPr>
    </w:p>
    <w:p w14:paraId="3FA37791" w14:textId="136695A9" w:rsidR="002A6026" w:rsidRDefault="00D5463B" w:rsidP="00CF4E8D">
      <w:pPr>
        <w:spacing w:line="360" w:lineRule="auto"/>
        <w:jc w:val="both"/>
      </w:pPr>
      <w:r w:rsidRPr="00CF4E8D">
        <w:t xml:space="preserve">Importantly, our work extends Frank and Sanati 2018 and other literature </w:t>
      </w:r>
      <w:r w:rsidRPr="00627865">
        <w:t xml:space="preserve">suggesting that there can be considerable asymmetry in market reactions to new information, and </w:t>
      </w:r>
      <w:r w:rsidRPr="00CF4E8D">
        <w:t xml:space="preserve">underscores the importance of considering the sign of market responses. </w:t>
      </w:r>
      <w:r w:rsidR="00120765" w:rsidRPr="00CF4E8D">
        <w:t>The level of historical e</w:t>
      </w:r>
      <w:r w:rsidR="00C92529" w:rsidRPr="00CF4E8D">
        <w:t>arnings volatility</w:t>
      </w:r>
      <w:r w:rsidR="00120765" w:rsidRPr="00CF4E8D">
        <w:t xml:space="preserve"> </w:t>
      </w:r>
      <w:r w:rsidRPr="00CF4E8D">
        <w:t>is found to have</w:t>
      </w:r>
      <w:r w:rsidR="00120765" w:rsidRPr="00CF4E8D">
        <w:t xml:space="preserve"> a moderating and </w:t>
      </w:r>
      <w:r w:rsidRPr="00CF4E8D">
        <w:t>asymmetric in</w:t>
      </w:r>
      <w:r w:rsidR="00120765" w:rsidRPr="00CF4E8D">
        <w:t>fluence on the relationship between investment transparency and stock returns</w:t>
      </w:r>
      <w:r w:rsidRPr="00CF4E8D">
        <w:t xml:space="preserve">. </w:t>
      </w:r>
      <w:r w:rsidR="00726387" w:rsidRPr="00CF4E8D">
        <w:t>For s</w:t>
      </w:r>
      <w:r w:rsidRPr="00CF4E8D">
        <w:t xml:space="preserve">tocks with </w:t>
      </w:r>
      <w:r w:rsidR="00726387" w:rsidRPr="00CF4E8D">
        <w:t xml:space="preserve">low historical earnings volatility, investment transparency is positively related to announcement period stock returns. In contrast, for firms with high historical earnings volatility, investment transparency reduces event window stock returns. </w:t>
      </w:r>
      <w:r w:rsidR="00134056" w:rsidRPr="00CF4E8D">
        <w:t>This is consistent with</w:t>
      </w:r>
      <w:r w:rsidR="00726387" w:rsidRPr="00CF4E8D">
        <w:t xml:space="preserve"> Dichev </w:t>
      </w:r>
      <w:r w:rsidR="00726387" w:rsidRPr="00CF4E8D">
        <w:lastRenderedPageBreak/>
        <w:t xml:space="preserve">and Tang </w:t>
      </w:r>
      <w:r w:rsidR="00726387" w:rsidRPr="00CF4E8D">
        <w:fldChar w:fldCharType="begin"/>
      </w:r>
      <w:r w:rsidR="00726387" w:rsidRPr="00CF4E8D">
        <w:instrText xml:space="preserve"> ADDIN EN.CITE &lt;EndNote&gt;&lt;Cite ExcludeAuth="1"&gt;&lt;Author&gt;Dichev&lt;/Author&gt;&lt;Year&gt;2009&lt;/Year&gt;&lt;RecNum&gt;2369&lt;/RecNum&gt;&lt;DisplayText&gt;(2009)&lt;/DisplayText&gt;&lt;record&gt;&lt;rec-number&gt;2369&lt;/rec-number&gt;&lt;foreign-keys&gt;&lt;key app="EN" db-id="20p2wrv0m2av96e55d1pzxv2zxx5pvw55d55" timestamp="1528429607"&gt;2369&lt;/key&gt;&lt;/foreign-keys&gt;&lt;ref-type name="Journal Article"&gt;17&lt;/ref-type&gt;&lt;contributors&gt;&lt;authors&gt;&lt;author&gt;Dichev, I. D.&lt;/author&gt;&lt;author&gt;Tang, V. W.&lt;/author&gt;&lt;/authors&gt;&lt;/contributors&gt;&lt;auth-address&gt;Stephen M. Ross School of Business, University of Michigan, 701 Tappan St, Ann Arbor, MI 48109, United States&amp;#xD;McDonough School of Business, Georgetown University, United States&lt;/auth-address&gt;&lt;titles&gt;&lt;title&gt;Earnings volatility and earnings predictability&lt;/title&gt;&lt;secondary-title&gt;Journal of Accounting and Economics&lt;/secondary-title&gt;&lt;/titles&gt;&lt;periodical&gt;&lt;full-title&gt;Journal of Accounting and Economics&lt;/full-title&gt;&lt;/periodical&gt;&lt;pages&gt;160-181&lt;/pages&gt;&lt;volume&gt;47&lt;/volume&gt;&lt;number&gt;1-2&lt;/number&gt;&lt;keywords&gt;&lt;keyword&gt;Analyst forecasts&lt;/keyword&gt;&lt;keyword&gt;Earnings predictability&lt;/keyword&gt;&lt;keyword&gt;Earnings volatility&lt;/keyword&gt;&lt;keyword&gt;Fundamental analysis&lt;/keyword&gt;&lt;/keywords&gt;&lt;dates&gt;&lt;year&gt;2009&lt;/year&gt;&lt;/dates&gt;&lt;work-type&gt;Article&lt;/work-type&gt;&lt;urls&gt;&lt;related-urls&gt;&lt;url&gt;https://www.scopus.com/inward/record.uri?eid=2-s2.0-59749097824&amp;amp;doi=10.1016%2fj.jacceco.2008.09.005&amp;amp;partnerID=40&amp;amp;md5=8b7642fd36d5d488f47e0b4a4e9f968b&lt;/url&gt;&lt;/related-urls&gt;&lt;/urls&gt;&lt;electronic-resource-num&gt;10.1016/j.jacceco.2008.09.005&lt;/electronic-resource-num&gt;&lt;remote-database-name&gt;Scopus&lt;/remote-database-name&gt;&lt;/record&gt;&lt;/Cite&gt;&lt;/EndNote&gt;</w:instrText>
      </w:r>
      <w:r w:rsidR="00726387" w:rsidRPr="00CF4E8D">
        <w:fldChar w:fldCharType="separate"/>
      </w:r>
      <w:r w:rsidR="00726387" w:rsidRPr="00CF4E8D">
        <w:rPr>
          <w:noProof/>
        </w:rPr>
        <w:t>(</w:t>
      </w:r>
      <w:hyperlink w:anchor="_ENREF_18" w:tooltip="Dichev, 2009 #2369" w:history="1">
        <w:r w:rsidR="006C57ED" w:rsidRPr="00CF4E8D">
          <w:rPr>
            <w:noProof/>
          </w:rPr>
          <w:t>2009</w:t>
        </w:r>
      </w:hyperlink>
      <w:r w:rsidR="00726387" w:rsidRPr="00CF4E8D">
        <w:rPr>
          <w:noProof/>
        </w:rPr>
        <w:t>)</w:t>
      </w:r>
      <w:r w:rsidR="00726387" w:rsidRPr="00CF4E8D">
        <w:fldChar w:fldCharType="end"/>
      </w:r>
      <w:r w:rsidR="00134056" w:rsidRPr="00CF4E8D">
        <w:t xml:space="preserve"> who find</w:t>
      </w:r>
      <w:r w:rsidR="00726387" w:rsidRPr="00CF4E8D">
        <w:t xml:space="preserve"> that earnings in firms with high earnings volatility have little predictive persistence due to mean-reversion tendencies and transitory elements of profitability. </w:t>
      </w:r>
      <w:r w:rsidR="00B0036B">
        <w:t>Our findings</w:t>
      </w:r>
      <w:r w:rsidR="00627865" w:rsidRPr="00CF4E8D">
        <w:t xml:space="preserve"> suggest that h</w:t>
      </w:r>
      <w:r w:rsidR="00134056" w:rsidRPr="00CF4E8D">
        <w:t>igh earnings volatility</w:t>
      </w:r>
      <w:r w:rsidR="00726387" w:rsidRPr="00CF4E8D">
        <w:t xml:space="preserve"> impairs investors’ abilities to</w:t>
      </w:r>
      <w:r w:rsidR="00134056" w:rsidRPr="00CF4E8D">
        <w:t xml:space="preserve"> use the project announcement information to</w:t>
      </w:r>
      <w:r w:rsidR="00726387" w:rsidRPr="00CF4E8D">
        <w:t xml:space="preserve"> forecast</w:t>
      </w:r>
      <w:r w:rsidR="00134056" w:rsidRPr="00CF4E8D">
        <w:t xml:space="preserve"> future firm earnings.</w:t>
      </w:r>
      <w:r w:rsidR="00627865" w:rsidRPr="00CF4E8D">
        <w:t xml:space="preserve"> </w:t>
      </w:r>
      <w:r w:rsidR="00B0036B">
        <w:t xml:space="preserve">Investors may discount the content of detailed </w:t>
      </w:r>
      <w:r w:rsidR="00627865">
        <w:t xml:space="preserve">project </w:t>
      </w:r>
      <w:r w:rsidR="00B0036B">
        <w:t xml:space="preserve">forecasts when earnings volatility is high, </w:t>
      </w:r>
      <w:r w:rsidR="00627865" w:rsidRPr="00CF4E8D">
        <w:t>based upon a</w:t>
      </w:r>
      <w:r w:rsidR="00B0036B">
        <w:t xml:space="preserve"> presumption</w:t>
      </w:r>
      <w:r w:rsidR="00627865" w:rsidRPr="00CF4E8D">
        <w:t xml:space="preserve"> of low predictive earnings persistence. </w:t>
      </w:r>
      <w:r w:rsidR="00134056" w:rsidRPr="00CF4E8D">
        <w:t xml:space="preserve"> </w:t>
      </w:r>
    </w:p>
    <w:p w14:paraId="76FDB063" w14:textId="09529AEA" w:rsidR="00120765" w:rsidRDefault="00120765" w:rsidP="00C95D99">
      <w:pPr>
        <w:spacing w:line="360" w:lineRule="auto"/>
        <w:jc w:val="both"/>
        <w:rPr>
          <w:highlight w:val="yellow"/>
        </w:rPr>
      </w:pPr>
    </w:p>
    <w:p w14:paraId="504F4C98" w14:textId="113B6DB8" w:rsidR="00627865" w:rsidRDefault="00627865" w:rsidP="00627865">
      <w:pPr>
        <w:spacing w:line="360" w:lineRule="auto"/>
        <w:jc w:val="both"/>
      </w:pPr>
      <w:r w:rsidRPr="007C2C53">
        <w:t xml:space="preserve">This paper </w:t>
      </w:r>
      <w:r>
        <w:t xml:space="preserve">also </w:t>
      </w:r>
      <w:r w:rsidRPr="007C2C53">
        <w:t xml:space="preserve">contributes to the investment transparency literature by constructing </w:t>
      </w:r>
      <w:r w:rsidR="00C4644C">
        <w:t xml:space="preserve">a </w:t>
      </w:r>
      <w:r w:rsidRPr="007C2C53">
        <w:t xml:space="preserve">project-level transparency measure that incorporates the level of project cost information and earnings-related projections that are relevant to investors in their forecasts of future firm earnings and valuation. </w:t>
      </w:r>
      <w:r w:rsidR="00C4644C">
        <w:t xml:space="preserve">Our measure has the advantage of being relatively objective. </w:t>
      </w:r>
      <w:r w:rsidRPr="007C2C53">
        <w:t xml:space="preserve">Past literature tend to measure investment transparency using either firm-wide disclosure ratings or research-coded announcement ratings </w:t>
      </w:r>
      <w:r w:rsidRPr="007C2C53">
        <w:fldChar w:fldCharType="begin">
          <w:fldData xml:space="preserve">PEVuZE5vdGU+PENpdGU+PEF1dGhvcj5DYW5uaXp6YXJvPC9BdXRob3I+PFllYXI+MjAxNTwvWWVh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</w:fldData>
        </w:fldChar>
      </w:r>
      <w:r w:rsidRPr="007C2C53">
        <w:instrText xml:space="preserve"> ADDIN EN.CITE </w:instrText>
      </w:r>
      <w:r w:rsidRPr="007C2C53">
        <w:fldChar w:fldCharType="begin">
          <w:fldData xml:space="preserve">PEVuZE5vdGU+PENpdGU+PEF1dGhvcj5DYW5uaXp6YXJvPC9BdXRob3I+PFllYXI+MjAxNTwvWWVh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</w:fldData>
        </w:fldChar>
      </w:r>
      <w:r w:rsidRPr="007C2C53">
        <w:instrText xml:space="preserve"> ADDIN EN.CITE.DATA </w:instrText>
      </w:r>
      <w:r w:rsidRPr="007C2C53">
        <w:fldChar w:fldCharType="end"/>
      </w:r>
      <w:r w:rsidRPr="007C2C53">
        <w:fldChar w:fldCharType="separate"/>
      </w:r>
      <w:r w:rsidRPr="007C2C53">
        <w:rPr>
          <w:noProof/>
        </w:rPr>
        <w:t xml:space="preserve">(e.g. </w:t>
      </w:r>
      <w:hyperlink w:anchor="_ENREF_9" w:tooltip="Cannizzaro, 2015 #1979" w:history="1">
        <w:r w:rsidR="006C57ED" w:rsidRPr="007C2C53">
          <w:rPr>
            <w:noProof/>
          </w:rPr>
          <w:t>Cannizzaro &amp; Weiner, 2015</w:t>
        </w:r>
      </w:hyperlink>
      <w:r w:rsidRPr="007C2C53">
        <w:rPr>
          <w:noProof/>
        </w:rPr>
        <w:t xml:space="preserve">; </w:t>
      </w:r>
      <w:hyperlink w:anchor="_ENREF_31" w:tooltip="Huang, 2012 #1982" w:history="1">
        <w:r w:rsidR="006C57ED" w:rsidRPr="007C2C53">
          <w:rPr>
            <w:noProof/>
          </w:rPr>
          <w:t>Huang &amp; Zhang, 2012</w:t>
        </w:r>
      </w:hyperlink>
      <w:r w:rsidRPr="007C2C53">
        <w:rPr>
          <w:noProof/>
        </w:rPr>
        <w:t>)</w:t>
      </w:r>
      <w:r w:rsidRPr="007C2C53">
        <w:fldChar w:fldCharType="end"/>
      </w:r>
      <w:r w:rsidRPr="007C2C53">
        <w:t xml:space="preserve"> that are not necessarily indicative of a given project or </w:t>
      </w:r>
      <w:r w:rsidR="00BE4E84">
        <w:t xml:space="preserve">that </w:t>
      </w:r>
      <w:r w:rsidRPr="007C2C53">
        <w:t xml:space="preserve">require subjective judgements. </w:t>
      </w:r>
    </w:p>
    <w:p w14:paraId="1C363501" w14:textId="3994355E" w:rsidR="00E25726" w:rsidRDefault="00E25726" w:rsidP="00627865">
      <w:pPr>
        <w:spacing w:line="360" w:lineRule="auto"/>
        <w:jc w:val="both"/>
      </w:pPr>
    </w:p>
    <w:p w14:paraId="05D01E2F" w14:textId="1257DC2A" w:rsidR="00E25726" w:rsidRPr="007C2C53" w:rsidRDefault="00E25726" w:rsidP="00627865">
      <w:pPr>
        <w:spacing w:line="360" w:lineRule="auto"/>
        <w:jc w:val="both"/>
      </w:pPr>
      <w:r>
        <w:t xml:space="preserve">The balance of the paper is organised as follows. Section 2 describes the sample and data. We present the impact of investment transparency on market returns in Section 3 and on information asymmetry in Section 4.  Section 5 concludes the paper.  </w:t>
      </w:r>
    </w:p>
    <w:p w14:paraId="5D01BEA9" w14:textId="370B6F36" w:rsidR="003B0AAA" w:rsidRDefault="003B0AAA" w:rsidP="00C05EFB">
      <w:pPr>
        <w:spacing w:line="360" w:lineRule="auto"/>
        <w:jc w:val="both"/>
      </w:pPr>
    </w:p>
    <w:p w14:paraId="4CB631F3" w14:textId="2A1CE7CA" w:rsidR="004D2147" w:rsidRDefault="000910D4" w:rsidP="00C05EFB">
      <w:pPr>
        <w:spacing w:line="360" w:lineRule="auto"/>
        <w:jc w:val="both"/>
        <w:rPr>
          <w:b/>
        </w:rPr>
      </w:pPr>
      <w:r>
        <w:rPr>
          <w:b/>
        </w:rPr>
        <w:t>2</w:t>
      </w:r>
      <w:r w:rsidR="004D2147" w:rsidRPr="004D2147">
        <w:rPr>
          <w:b/>
        </w:rPr>
        <w:t>.</w:t>
      </w:r>
      <w:r w:rsidR="00B72F9B">
        <w:rPr>
          <w:b/>
        </w:rPr>
        <w:t xml:space="preserve">  </w:t>
      </w:r>
      <w:r w:rsidR="003F6529">
        <w:rPr>
          <w:b/>
        </w:rPr>
        <w:t>Sample</w:t>
      </w:r>
      <w:r w:rsidR="00B72F9B">
        <w:rPr>
          <w:b/>
        </w:rPr>
        <w:t xml:space="preserve"> and data</w:t>
      </w:r>
    </w:p>
    <w:p w14:paraId="78DD71CE" w14:textId="00539A40" w:rsidR="00B72F9B" w:rsidRDefault="00B72F9B" w:rsidP="00C05EFB">
      <w:pPr>
        <w:spacing w:line="360" w:lineRule="auto"/>
        <w:jc w:val="both"/>
        <w:rPr>
          <w:b/>
        </w:rPr>
      </w:pPr>
    </w:p>
    <w:p w14:paraId="265863A6" w14:textId="31F503DB" w:rsidR="004D2147" w:rsidRDefault="00B72F9B" w:rsidP="00C05EFB">
      <w:pPr>
        <w:spacing w:line="360" w:lineRule="auto"/>
        <w:jc w:val="both"/>
        <w:rPr>
          <w:b/>
        </w:rPr>
      </w:pPr>
      <w:r w:rsidRPr="003D6E55">
        <w:t>2.1  Sample</w:t>
      </w:r>
    </w:p>
    <w:p w14:paraId="51A0C038" w14:textId="77777777" w:rsidR="00B72F9B" w:rsidRPr="004D2147" w:rsidRDefault="00B72F9B" w:rsidP="00C05EFB">
      <w:pPr>
        <w:spacing w:line="360" w:lineRule="auto"/>
        <w:jc w:val="both"/>
        <w:rPr>
          <w:b/>
        </w:rPr>
      </w:pPr>
    </w:p>
    <w:p w14:paraId="406B63B9" w14:textId="7EFE8CF0" w:rsidR="004D2147" w:rsidRDefault="004D2147" w:rsidP="00C05EFB">
      <w:pPr>
        <w:spacing w:line="360" w:lineRule="auto"/>
        <w:jc w:val="both"/>
      </w:pPr>
      <w:r>
        <w:t>The sample for this study is compiled from new capital expenditure project announcements to the ASX made by listed companies between 2008 and 2014, as reported in the SIRCA database.</w:t>
      </w:r>
      <w:r w:rsidR="0060034B">
        <w:rPr>
          <w:rStyle w:val="FootnoteReference"/>
        </w:rPr>
        <w:footnoteReference w:id="1"/>
      </w:r>
      <w:r>
        <w:t xml:space="preserve"> Since 1994, the ASX continuous disclosure rules have required listed entities to immediately disclose any price-sensitive information </w:t>
      </w:r>
      <w:r>
        <w:fldChar w:fldCharType="begin"/>
      </w:r>
      <w:r w:rsidR="00954FA1">
        <w:instrText xml:space="preserve"> ADDIN EN.CITE &lt;EndNote&gt;&lt;Cite&gt;&lt;Year&gt;2013&lt;/Year&gt;&lt;RecNum&gt;2202&lt;/RecNum&gt;&lt;DisplayText&gt;(&amp;quot;ASX Listing Rules Guidance Note 8,&amp;quot; 2013)&lt;/DisplayText&gt;&lt;record&gt;&lt;rec-number&gt;2202&lt;/rec-number&gt;&lt;foreign-keys&gt;&lt;key app="EN" db-id="20p2wrv0m2av96e55d1pzxv2zxx5pvw55d55" timestamp="1488854682"&gt;2202&lt;/key&gt;&lt;/foreign-keys&gt;&lt;ref-type name="Legal Rule or Regulation"&gt;50&lt;/ref-type&gt;&lt;contributors&gt;&lt;secondary-authors&gt;&lt;author&gt;Australian Stock Exchange&lt;/author&gt;&lt;/secondary-authors&gt;&lt;/contributors&gt;&lt;titles&gt;&lt;title&gt;ASX Listing Rules Guidance Note 8&lt;/title&gt;&lt;/titles&gt;&lt;dates&gt;&lt;year&gt;2013&lt;/year&gt;&lt;/dates&gt;&lt;publisher&gt;Australian Stock Exchange&lt;/publisher&gt;&lt;urls&gt;&lt;/urls&gt;&lt;/record&gt;&lt;/Cite&gt;&lt;/EndNote&gt;</w:instrText>
      </w:r>
      <w:r>
        <w:fldChar w:fldCharType="separate"/>
      </w:r>
      <w:r>
        <w:rPr>
          <w:noProof/>
        </w:rPr>
        <w:t>(</w:t>
      </w:r>
      <w:hyperlink w:anchor="_ENREF_2" w:tooltip=", 2013 #2202" w:history="1">
        <w:r w:rsidR="006C57ED">
          <w:rPr>
            <w:noProof/>
          </w:rPr>
          <w:t>"ASX Listing Rules Guidance Note 8," 2013</w:t>
        </w:r>
      </w:hyperlink>
      <w:r>
        <w:rPr>
          <w:noProof/>
        </w:rPr>
        <w:t>)</w:t>
      </w:r>
      <w:r>
        <w:fldChar w:fldCharType="end"/>
      </w:r>
      <w:r>
        <w:t xml:space="preserve">. This includes transactions that will significantly change a company’s nature or scale, such as major capital expenditure projects. </w:t>
      </w:r>
      <w:r w:rsidR="00C15450">
        <w:t>Such announcements are to be stand-alone and not combined with other non</w:t>
      </w:r>
      <w:r w:rsidR="00A652B0">
        <w:t>-</w:t>
      </w:r>
      <w:r w:rsidR="00C15450">
        <w:t>market</w:t>
      </w:r>
      <w:r w:rsidR="00A652B0">
        <w:t>-</w:t>
      </w:r>
      <w:r w:rsidR="00C15450">
        <w:t xml:space="preserve">sensitive announcements. </w:t>
      </w:r>
      <w:r w:rsidR="00B32B17">
        <w:t>The mandatory nature of the announcements reduces potential concerns about sample selection bias.</w:t>
      </w:r>
      <w:r w:rsidR="00C15450">
        <w:t xml:space="preserve"> </w:t>
      </w:r>
      <w:r w:rsidR="00B32B17">
        <w:t>Nevertheless, the extent of information disclosed in the project announcements differs considerably, ranging from brief qualitative</w:t>
      </w:r>
      <w:r w:rsidR="009A6016">
        <w:t xml:space="preserve"> plans</w:t>
      </w:r>
      <w:r w:rsidR="00B32B17">
        <w:t xml:space="preserve"> to </w:t>
      </w:r>
      <w:r w:rsidR="002363BA">
        <w:t xml:space="preserve">fuller projections including </w:t>
      </w:r>
      <w:r w:rsidR="009A6016">
        <w:t>project cos</w:t>
      </w:r>
      <w:r w:rsidR="004E2B63">
        <w:t>t</w:t>
      </w:r>
      <w:r w:rsidR="009A6016">
        <w:t xml:space="preserve"> </w:t>
      </w:r>
      <w:r w:rsidR="009A6016">
        <w:lastRenderedPageBreak/>
        <w:t xml:space="preserve">and profitability forecasts. </w:t>
      </w:r>
      <w:r w:rsidR="0026549A">
        <w:t xml:space="preserve">This provides an </w:t>
      </w:r>
      <w:r w:rsidR="00F869DF">
        <w:t xml:space="preserve">excellent </w:t>
      </w:r>
      <w:r w:rsidR="0026549A">
        <w:t xml:space="preserve">opportunity to study the impact of investment transparency on stock returns and information asymmetry. </w:t>
      </w:r>
    </w:p>
    <w:p w14:paraId="6EFC90BB" w14:textId="069F25A6" w:rsidR="00B23EE8" w:rsidRDefault="00B23EE8" w:rsidP="00C05EFB">
      <w:pPr>
        <w:spacing w:line="360" w:lineRule="auto"/>
        <w:jc w:val="both"/>
      </w:pPr>
    </w:p>
    <w:p w14:paraId="02A50A49" w14:textId="5AE8116F" w:rsidR="007D0A57" w:rsidRDefault="00654228" w:rsidP="00C05EFB">
      <w:pPr>
        <w:spacing w:line="360" w:lineRule="auto"/>
        <w:jc w:val="both"/>
      </w:pPr>
      <w:r>
        <w:t>Following</w:t>
      </w:r>
      <w:r w:rsidR="00C518B4">
        <w:t xml:space="preserve"> Chen et al., </w:t>
      </w:r>
      <w:r w:rsidR="00C518B4">
        <w:fldChar w:fldCharType="begin"/>
      </w:r>
      <w:r w:rsidR="00C518B4">
        <w:instrText xml:space="preserve"> ADDIN EN.CITE &lt;EndNote&gt;&lt;Cite ExcludeAuth="1"&gt;&lt;Author&gt;Chen&lt;/Author&gt;&lt;Year&gt;2017&lt;/Year&gt;&lt;RecNum&gt;2299&lt;/RecNum&gt;&lt;DisplayText&gt;(2017)&lt;/DisplayText&gt;&lt;record&gt;&lt;rec-number&gt;2299&lt;/rec-number&gt;&lt;foreign-keys&gt;&lt;key app="EN" db-id="20p2wrv0m2av96e55d1pzxv2zxx5pvw55d55" timestamp="1504219323"&gt;2299&lt;/key&gt;&lt;/foreign-keys&gt;&lt;ref-type name="Report"&gt;27&lt;/ref-type&gt;&lt;contributors&gt;&lt;authors&gt;&lt;author&gt;Chen, J.G.&lt;/author&gt;&lt;author&gt;Smith, D.J.&lt;/author&gt;&lt;author&gt;Wirth, C.G.&lt;/author&gt;&lt;/authors&gt;&lt;/contributors&gt;&lt;titles&gt;&lt;title&gt;How is investment efficiency related to investment transparency?&lt;/title&gt;&lt;secondary-title&gt;30th Australasian Finance &amp;amp; Banking Conference&lt;/secondary-title&gt;&lt;/titles&gt;&lt;pages&gt;39&lt;/pages&gt;&lt;keywords&gt;&lt;keyword&gt;investment transparency, investment efficiency, information disclosure, capital expenditures&lt;/keyword&gt;&lt;/keywords&gt;&lt;dates&gt;&lt;year&gt;2017&lt;/year&gt;&lt;/dates&gt;&lt;pub-location&gt;Available at SSRN&lt;/pub-location&gt;&lt;publisher&gt;https://papers.ssrn.com/sol3/papers.cfm?abstract_id=3005686&lt;/publisher&gt;&lt;work-type&gt;30th Australasian Finance &amp;amp; Banking Conference&lt;/work-type&gt;&lt;urls&gt;&lt;/urls&gt;&lt;/record&gt;&lt;/Cite&gt;&lt;/EndNote&gt;</w:instrText>
      </w:r>
      <w:r w:rsidR="00C518B4">
        <w:fldChar w:fldCharType="separate"/>
      </w:r>
      <w:r w:rsidR="00C518B4">
        <w:rPr>
          <w:noProof/>
        </w:rPr>
        <w:t>(</w:t>
      </w:r>
      <w:hyperlink w:anchor="_ENREF_11" w:tooltip="Chen, 2017 #2299" w:history="1">
        <w:r w:rsidR="006C57ED">
          <w:rPr>
            <w:noProof/>
          </w:rPr>
          <w:t>2017</w:t>
        </w:r>
      </w:hyperlink>
      <w:r w:rsidR="00C518B4">
        <w:rPr>
          <w:noProof/>
        </w:rPr>
        <w:t>)</w:t>
      </w:r>
      <w:r w:rsidR="00C518B4">
        <w:fldChar w:fldCharType="end"/>
      </w:r>
      <w:r>
        <w:t>,</w:t>
      </w:r>
      <w:r w:rsidR="00C518B4">
        <w:t xml:space="preserve"> t</w:t>
      </w:r>
      <w:r w:rsidR="00987148">
        <w:t>o be included</w:t>
      </w:r>
      <w:r w:rsidR="00B23EE8">
        <w:t xml:space="preserve"> in the sample</w:t>
      </w:r>
      <w:r w:rsidR="00987148">
        <w:t>,</w:t>
      </w:r>
      <w:r w:rsidR="00875635">
        <w:t xml:space="preserve"> </w:t>
      </w:r>
      <w:r w:rsidR="00987148">
        <w:t>p</w:t>
      </w:r>
      <w:r w:rsidR="00875635">
        <w:t>rojects must be for the purchase, construction or upgrade of physical capital assets</w:t>
      </w:r>
      <w:r w:rsidR="00160F7A">
        <w:t>. Due to the different</w:t>
      </w:r>
      <w:r w:rsidR="00BF748D">
        <w:t xml:space="preserve"> nature of</w:t>
      </w:r>
      <w:r w:rsidR="002E1633">
        <w:t xml:space="preserve"> </w:t>
      </w:r>
      <w:r w:rsidR="00BF748D">
        <w:t xml:space="preserve">their disclosure </w:t>
      </w:r>
      <w:r w:rsidR="002E1633">
        <w:t>content, c</w:t>
      </w:r>
      <w:r w:rsidR="00160F7A">
        <w:t>orporate</w:t>
      </w:r>
      <w:r w:rsidR="002E1633">
        <w:t xml:space="preserve"> share</w:t>
      </w:r>
      <w:r w:rsidR="00BF748D">
        <w:t xml:space="preserve"> acquisitions, </w:t>
      </w:r>
      <w:r w:rsidR="002E1633">
        <w:t xml:space="preserve">intangible asset </w:t>
      </w:r>
      <w:r w:rsidR="00BF748D">
        <w:t xml:space="preserve">purchases and projects by firms in the extractive sector (mining, drilling and exploration) </w:t>
      </w:r>
      <w:r w:rsidR="002E1633">
        <w:t xml:space="preserve">are excluded. </w:t>
      </w:r>
      <w:r w:rsidR="00C0557E">
        <w:t>A</w:t>
      </w:r>
      <w:r w:rsidR="00E803FF">
        <w:t xml:space="preserve">nnouncements by firms in the banking industry are </w:t>
      </w:r>
      <w:r w:rsidR="00C0557E">
        <w:t xml:space="preserve">also </w:t>
      </w:r>
      <w:r w:rsidR="00E803FF">
        <w:t>excluded due to their</w:t>
      </w:r>
      <w:r w:rsidR="00991F35">
        <w:t xml:space="preserve"> different financial structure</w:t>
      </w:r>
      <w:r w:rsidR="003F304F">
        <w:t>.</w:t>
      </w:r>
      <w:r w:rsidR="00987148">
        <w:t xml:space="preserve"> </w:t>
      </w:r>
      <w:r w:rsidR="00C518B4">
        <w:t xml:space="preserve">Projects that cost more than five times the book value of total firm assets are excluded to avoid </w:t>
      </w:r>
      <w:r w:rsidR="00C518B4" w:rsidRPr="008D19ED">
        <w:t xml:space="preserve">possible </w:t>
      </w:r>
      <w:r w:rsidR="00906E62" w:rsidRPr="008D19ED">
        <w:t xml:space="preserve">bias caused by </w:t>
      </w:r>
      <w:r w:rsidR="00C518B4" w:rsidRPr="008D19ED">
        <w:t xml:space="preserve">unusually </w:t>
      </w:r>
      <w:r w:rsidR="00906E62" w:rsidRPr="008D19ED">
        <w:t>large investments</w:t>
      </w:r>
      <w:r w:rsidR="00C518B4" w:rsidRPr="008D19ED">
        <w:t>.</w:t>
      </w:r>
      <w:r w:rsidR="00906E62" w:rsidRPr="008D19ED">
        <w:t xml:space="preserve"> </w:t>
      </w:r>
      <w:r w:rsidR="00A652B0">
        <w:t xml:space="preserve">Also </w:t>
      </w:r>
      <w:r w:rsidR="00EE60F7">
        <w:t>exclu</w:t>
      </w:r>
      <w:r w:rsidR="00A652B0">
        <w:t>ded</w:t>
      </w:r>
      <w:r w:rsidR="001677BE">
        <w:t xml:space="preserve"> </w:t>
      </w:r>
      <w:r w:rsidR="001A5025">
        <w:t>a</w:t>
      </w:r>
      <w:r w:rsidR="001677BE">
        <w:t>re</w:t>
      </w:r>
      <w:r w:rsidR="00EE60F7">
        <w:t xml:space="preserve"> announcements potentially affected by</w:t>
      </w:r>
      <w:r w:rsidR="001677BE">
        <w:t xml:space="preserve"> </w:t>
      </w:r>
      <w:r w:rsidR="00987148">
        <w:t>price</w:t>
      </w:r>
      <w:r w:rsidR="001677BE">
        <w:t>-</w:t>
      </w:r>
      <w:r w:rsidR="00987148">
        <w:t>sensitive con</w:t>
      </w:r>
      <w:r w:rsidR="0068557E">
        <w:t>founding</w:t>
      </w:r>
      <w:r w:rsidR="00987148">
        <w:t xml:space="preserve"> </w:t>
      </w:r>
      <w:r w:rsidR="00EE60F7">
        <w:t>events withi</w:t>
      </w:r>
      <w:r w:rsidR="001677BE">
        <w:t xml:space="preserve">n +/-2 working days around the project announcement. </w:t>
      </w:r>
      <w:r w:rsidR="0068557E">
        <w:t xml:space="preserve">Announcements after the close of trading are treated as arising on the next business day. </w:t>
      </w:r>
      <w:r w:rsidR="00A652B0">
        <w:t xml:space="preserve">For an announcement to be included in the sample, </w:t>
      </w:r>
      <w:r w:rsidR="00E32466">
        <w:t>firm</w:t>
      </w:r>
      <w:r w:rsidR="00A652B0">
        <w:t xml:space="preserve"> financial statement data must be </w:t>
      </w:r>
      <w:r w:rsidR="00A652B0" w:rsidRPr="00CB5CAC">
        <w:t xml:space="preserve">available for </w:t>
      </w:r>
      <w:r w:rsidR="002E7C76" w:rsidRPr="00CB5CAC">
        <w:t>at least</w:t>
      </w:r>
      <w:r w:rsidR="00E32466" w:rsidRPr="00CB5CAC">
        <w:t xml:space="preserve"> </w:t>
      </w:r>
      <w:r w:rsidR="00A652B0" w:rsidRPr="00CB5CAC">
        <w:t xml:space="preserve">three years prior </w:t>
      </w:r>
      <w:r w:rsidR="00CB5CAC" w:rsidRPr="00CB5CAC">
        <w:t>to</w:t>
      </w:r>
      <w:r w:rsidR="00A652B0" w:rsidRPr="00CB5CAC">
        <w:t xml:space="preserve"> the announcement</w:t>
      </w:r>
      <w:r w:rsidR="00E32466" w:rsidRPr="00CB5CAC">
        <w:t>.</w:t>
      </w:r>
      <w:r w:rsidR="00A652B0" w:rsidRPr="00CB5CAC">
        <w:t xml:space="preserve"> </w:t>
      </w:r>
      <w:r w:rsidR="007C589F" w:rsidRPr="00CB5CAC">
        <w:t xml:space="preserve">After </w:t>
      </w:r>
      <w:r w:rsidR="002562B6" w:rsidRPr="00CB5CAC">
        <w:t>the application of the above filter</w:t>
      </w:r>
      <w:r w:rsidR="002562B6">
        <w:t xml:space="preserve">s, </w:t>
      </w:r>
      <w:r w:rsidR="007C589F">
        <w:t>the</w:t>
      </w:r>
      <w:r w:rsidR="002562B6">
        <w:t xml:space="preserve"> final sample </w:t>
      </w:r>
      <w:r w:rsidR="007C589F">
        <w:t>yield</w:t>
      </w:r>
      <w:r w:rsidR="00EE60F7">
        <w:t>s</w:t>
      </w:r>
      <w:r w:rsidR="002562B6">
        <w:t xml:space="preserve"> </w:t>
      </w:r>
      <w:r w:rsidR="00E32466">
        <w:t>239</w:t>
      </w:r>
      <w:r w:rsidR="002562B6">
        <w:t xml:space="preserve"> new project announcements</w:t>
      </w:r>
      <w:r w:rsidR="007C589F">
        <w:t xml:space="preserve"> by 1</w:t>
      </w:r>
      <w:r w:rsidR="00E32466">
        <w:t>42</w:t>
      </w:r>
      <w:r w:rsidR="007C589F">
        <w:t xml:space="preserve"> companies</w:t>
      </w:r>
      <w:r w:rsidR="0068557E">
        <w:t xml:space="preserve"> from January 2008 to December 2014</w:t>
      </w:r>
      <w:r w:rsidR="007C589F">
        <w:t>.</w:t>
      </w:r>
      <w:r w:rsidR="0068557E">
        <w:t xml:space="preserve"> Panel A of Table 1 shows the annual distribution of the announcements, while Panel B reveals the industry affiliations grouped by level 2 of the Datastream Global Industry Classifications. Announcements </w:t>
      </w:r>
      <w:r w:rsidR="002C5230">
        <w:t>from</w:t>
      </w:r>
      <w:r w:rsidR="0068557E">
        <w:t xml:space="preserve"> the </w:t>
      </w:r>
      <w:r w:rsidR="002C5230">
        <w:t>f</w:t>
      </w:r>
      <w:r w:rsidR="0068557E">
        <w:t>inancial sector</w:t>
      </w:r>
      <w:r w:rsidR="00E30487">
        <w:rPr>
          <w:rStyle w:val="FootnoteReference"/>
        </w:rPr>
        <w:footnoteReference w:id="2"/>
      </w:r>
      <w:r w:rsidR="0068557E">
        <w:t xml:space="preserve"> make up the largest proportion of the sample at </w:t>
      </w:r>
      <w:r w:rsidR="002C5230">
        <w:t>2</w:t>
      </w:r>
      <w:r w:rsidR="00E32466">
        <w:t>8.5</w:t>
      </w:r>
      <w:r w:rsidR="002C5230">
        <w:t>%, followed by industrials at 2</w:t>
      </w:r>
      <w:r w:rsidR="00E32466">
        <w:t>5.9%</w:t>
      </w:r>
      <w:r w:rsidR="002C5230">
        <w:t>.</w:t>
      </w:r>
      <w:r w:rsidR="00015DF8">
        <w:t xml:space="preserve"> </w:t>
      </w:r>
    </w:p>
    <w:p w14:paraId="050D4703" w14:textId="5957E8A0" w:rsidR="00B72F9B" w:rsidRDefault="00B72F9B" w:rsidP="00C05EFB">
      <w:pPr>
        <w:spacing w:line="360" w:lineRule="auto"/>
        <w:jc w:val="both"/>
      </w:pPr>
    </w:p>
    <w:p w14:paraId="1C8416A6" w14:textId="65CDBFE5" w:rsidR="00B72F9B" w:rsidRDefault="00B72F9B" w:rsidP="00C05EFB">
      <w:pPr>
        <w:spacing w:line="360" w:lineRule="auto"/>
        <w:jc w:val="both"/>
      </w:pPr>
      <w:r>
        <w:t>2.2.  Data</w:t>
      </w:r>
    </w:p>
    <w:p w14:paraId="2147B392" w14:textId="77FD2CFD" w:rsidR="00B72F9B" w:rsidRDefault="00B72F9B" w:rsidP="00C05EFB">
      <w:pPr>
        <w:spacing w:line="360" w:lineRule="auto"/>
        <w:jc w:val="both"/>
      </w:pPr>
    </w:p>
    <w:p w14:paraId="2B6460E9" w14:textId="6C94A9CD" w:rsidR="00B72F9B" w:rsidRDefault="00B72F9B" w:rsidP="00B72F9B">
      <w:pPr>
        <w:spacing w:line="360" w:lineRule="auto"/>
        <w:jc w:val="both"/>
      </w:pPr>
      <w:r>
        <w:t xml:space="preserve">To measure the impact of investment transparency on security returns and information asymmetry, </w:t>
      </w:r>
      <w:r w:rsidRPr="001047C5">
        <w:t>we exploit the richness of the information in our project announcements and identify those components most relevant to security pricing.</w:t>
      </w:r>
      <w:r>
        <w:t xml:space="preserve"> According to Hanley and Hoberg </w:t>
      </w:r>
      <w:r>
        <w:fldChar w:fldCharType="begin"/>
      </w:r>
      <w:r>
        <w:instrText xml:space="preserve"> ADDIN EN.CITE &lt;EndNote&gt;&lt;Cite ExcludeAuth="1"&gt;&lt;Author&gt;Hanley&lt;/Author&gt;&lt;Year&gt;2010&lt;/Year&gt;&lt;RecNum&gt;1974&lt;/RecNum&gt;&lt;DisplayText&gt;(2010)&lt;/DisplayText&gt;&lt;record&gt;&lt;rec-number&gt;1974&lt;/rec-number&gt;&lt;foreign-keys&gt;&lt;key app="EN" db-id="20p2wrv0m2av96e55d1pzxv2zxx5pvw55d55" timestamp="1431918930"&gt;1974&lt;/key&gt;&lt;/foreign-keys&gt;&lt;ref-type name="Journal Article"&gt;17&lt;/ref-type&gt;&lt;contributors&gt;&lt;authors&gt;&lt;author&gt;Hanley, K. W.&lt;/author&gt;&lt;author&gt;Hoberg, G.&lt;/author&gt;&lt;/authors&gt;&lt;/contributors&gt;&lt;auth-address&gt;Federal Reserve Board of Governors, Division of Research and Statistics, Risk Analysis Section (Mail Stop 91), 20th and C Streets NW, Washington, DC 20551, United States&amp;#xD;Robert H. Smith School of Business, University of Maryland, College Park, United States&lt;/auth-address&gt;&lt;titles&gt;&lt;title&gt;The information content of IPO prospectuses&lt;/title&gt;&lt;secondary-title&gt;Review of Financial Studies&lt;/secondary-title&gt;&lt;/titles&gt;&lt;periodical&gt;&lt;full-title&gt;Review of Financial Studies&lt;/full-title&gt;&lt;/periodical&gt;&lt;pages&gt;2821-2864&lt;/pages&gt;&lt;volume&gt;23&lt;/volume&gt;&lt;number&gt;7&lt;/number&gt;&lt;dates&gt;&lt;year&gt;2010&lt;/year&gt;&lt;/dates&gt;&lt;urls&gt;&lt;related-urls&gt;&lt;url&gt;http://www.scopus.com/inward/record.url?eid=2-s2.0-77953813272&amp;amp;partnerID=40&amp;amp;md5=ff2345f5285981360689e0b695560fcc&lt;/url&gt;&lt;url&gt;http://rfs.oxfordjournals.org/content/23/7/2821.full.pdf&lt;/url&gt;&lt;/related-urls&gt;&lt;/urls&gt;&lt;electronic-resource-num&gt;10.1093/rfs/hhq024&lt;/electronic-resource-num&gt;&lt;remote-database-name&gt;Scopus&lt;/remote-database-name&gt;&lt;/record&gt;&lt;/Cite&gt;&lt;/EndNote&gt;</w:instrText>
      </w:r>
      <w:r>
        <w:fldChar w:fldCharType="separate"/>
      </w:r>
      <w:r>
        <w:rPr>
          <w:noProof/>
        </w:rPr>
        <w:t>(</w:t>
      </w:r>
      <w:hyperlink w:anchor="_ENREF_26" w:tooltip="Hanley, 2010 #1974" w:history="1">
        <w:r w:rsidR="006C57ED">
          <w:rPr>
            <w:noProof/>
          </w:rPr>
          <w:t>2010</w:t>
        </w:r>
      </w:hyperlink>
      <w:r>
        <w:rPr>
          <w:noProof/>
        </w:rPr>
        <w:t>)</w:t>
      </w:r>
      <w:r>
        <w:fldChar w:fldCharType="end"/>
      </w:r>
      <w:r>
        <w:t>, disclosures that are relevant to security valuation increase IPO pricing accuracy more than other types of informative content. Applying this to project announcements, we consider that information regarding the profitability and cost of a project is highly relevant for investors to assess the project’s valuation implications. Hence, we</w:t>
      </w:r>
      <w:r w:rsidRPr="001047C5">
        <w:t xml:space="preserve"> </w:t>
      </w:r>
      <w:r>
        <w:t xml:space="preserve">count the total number of discrete project-related profitability forecasts and cost disclosures in each new project announcement. In our sample, the total number of profitability and cost disclosures per announcement ranges from 0 to 6, and the average ranges from a high of 3.00 in the oil and gas </w:t>
      </w:r>
      <w:r w:rsidRPr="006D24C6">
        <w:t xml:space="preserve">industry </w:t>
      </w:r>
      <w:r w:rsidRPr="00624D91">
        <w:t xml:space="preserve">to a low of 1.63 in the technology industry. </w:t>
      </w:r>
      <w:r>
        <w:t xml:space="preserve">We then construct a dummy </w:t>
      </w:r>
      <w:r>
        <w:lastRenderedPageBreak/>
        <w:t xml:space="preserve">variable, </w:t>
      </w:r>
      <w:r>
        <w:rPr>
          <w:i/>
        </w:rPr>
        <w:t>DQ</w:t>
      </w:r>
      <w:r>
        <w:t xml:space="preserve"> for each announcement, where 1 denotes high transparency and 0 represents low transparency. Transparency is classified as high when the total number of discrete </w:t>
      </w:r>
      <w:r w:rsidRPr="008F41FA">
        <w:t>quantitative measures regarding the profitability</w:t>
      </w:r>
      <w:r>
        <w:t xml:space="preserve"> and</w:t>
      </w:r>
      <w:r w:rsidRPr="008F41FA">
        <w:t xml:space="preserve"> cost of project </w:t>
      </w:r>
      <w:r w:rsidRPr="00624D91">
        <w:rPr>
          <w:i/>
        </w:rPr>
        <w:t xml:space="preserve">j </w:t>
      </w:r>
      <w:r w:rsidRPr="008F41FA">
        <w:t xml:space="preserve">disclosed in a </w:t>
      </w:r>
      <w:r w:rsidR="00E60458">
        <w:t xml:space="preserve">single, </w:t>
      </w:r>
      <w:r w:rsidRPr="008F41FA">
        <w:t xml:space="preserve">new capital expenditure announcement for firm </w:t>
      </w:r>
      <w:r w:rsidRPr="00624D91">
        <w:rPr>
          <w:i/>
        </w:rPr>
        <w:t>i</w:t>
      </w:r>
      <w:r>
        <w:t xml:space="preserve"> is greater than 1. Transparency is considered to be low when the total number of profitability and cost measures disclosed </w:t>
      </w:r>
      <w:r w:rsidR="00E60458">
        <w:t xml:space="preserve">in a given announcement </w:t>
      </w:r>
      <w:r>
        <w:t>is less than</w:t>
      </w:r>
      <w:r w:rsidR="00C379FB">
        <w:t xml:space="preserve"> or equal to 1</w:t>
      </w:r>
      <w:r>
        <w:t xml:space="preserve">. </w:t>
      </w:r>
      <w:r w:rsidRPr="00903F08">
        <w:t xml:space="preserve">Three examples of project announcements and their </w:t>
      </w:r>
      <w:r w:rsidRPr="00546729">
        <w:rPr>
          <w:i/>
        </w:rPr>
        <w:t>DQ</w:t>
      </w:r>
      <w:r w:rsidRPr="00624D91">
        <w:t xml:space="preserve"> scores </w:t>
      </w:r>
      <w:r w:rsidRPr="00903F08">
        <w:t xml:space="preserve">are presented </w:t>
      </w:r>
      <w:r w:rsidRPr="00624D91">
        <w:t xml:space="preserve">in Appendix </w:t>
      </w:r>
      <w:r>
        <w:t>1</w:t>
      </w:r>
      <w:r w:rsidRPr="00624D91">
        <w:t xml:space="preserve">. </w:t>
      </w:r>
      <w:r>
        <w:t xml:space="preserve">Unlike measures that rely on firm-wide disclosure ratings or researcher ratings </w:t>
      </w:r>
      <w:r>
        <w:fldChar w:fldCharType="begin">
          <w:fldData xml:space="preserve">PEVuZE5vdGU+PENpdGU+PEF1dGhvcj5IdWFuZzwvQXV0aG9yPjxZZWFyPjIwMTI8L1llYXI+PFJl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</w:fldData>
        </w:fldChar>
      </w:r>
      <w:r>
        <w:instrText xml:space="preserve"> ADDIN EN.CITE </w:instrText>
      </w:r>
      <w:r>
        <w:fldChar w:fldCharType="begin">
          <w:fldData xml:space="preserve">PEVuZE5vdGU+PENpdGU+PEF1dGhvcj5IdWFuZzwvQXV0aG9yPjxZZWFyPjIwMTI8L1llYXI+PFJl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</w:fldData>
        </w:fldChar>
      </w:r>
      <w:r>
        <w:instrText xml:space="preserve"> ADDIN EN.CITE.DATA </w:instrText>
      </w:r>
      <w:r>
        <w:fldChar w:fldCharType="end"/>
      </w:r>
      <w:r>
        <w:fldChar w:fldCharType="separate"/>
      </w:r>
      <w:r>
        <w:rPr>
          <w:noProof/>
        </w:rPr>
        <w:t xml:space="preserve">(e.g. </w:t>
      </w:r>
      <w:hyperlink w:anchor="_ENREF_9" w:tooltip="Cannizzaro, 2015 #1979" w:history="1">
        <w:r w:rsidR="006C57ED">
          <w:rPr>
            <w:noProof/>
          </w:rPr>
          <w:t>Cannizzaro &amp; Weiner, 2015</w:t>
        </w:r>
      </w:hyperlink>
      <w:r>
        <w:rPr>
          <w:noProof/>
        </w:rPr>
        <w:t xml:space="preserve">; </w:t>
      </w:r>
      <w:hyperlink w:anchor="_ENREF_31" w:tooltip="Huang, 2012 #1982" w:history="1">
        <w:r w:rsidR="006C57ED">
          <w:rPr>
            <w:noProof/>
          </w:rPr>
          <w:t>Huang &amp; Zhang, 2012</w:t>
        </w:r>
      </w:hyperlink>
      <w:r>
        <w:rPr>
          <w:noProof/>
        </w:rPr>
        <w:t>)</w:t>
      </w:r>
      <w:r>
        <w:fldChar w:fldCharType="end"/>
      </w:r>
      <w:r>
        <w:t xml:space="preserve">, </w:t>
      </w:r>
      <w:r w:rsidRPr="00546729">
        <w:rPr>
          <w:i/>
        </w:rPr>
        <w:t>DQ</w:t>
      </w:r>
      <w:r>
        <w:t xml:space="preserve"> requires little subjective judgement of disclosure quality. </w:t>
      </w:r>
    </w:p>
    <w:p w14:paraId="44E69D97" w14:textId="77777777" w:rsidR="00B72F9B" w:rsidRDefault="00B72F9B" w:rsidP="00B72F9B">
      <w:pPr>
        <w:spacing w:line="360" w:lineRule="auto"/>
        <w:jc w:val="both"/>
      </w:pPr>
    </w:p>
    <w:p w14:paraId="5E38869D" w14:textId="77777777" w:rsidR="00B72F9B" w:rsidRDefault="00B72F9B" w:rsidP="00B72F9B">
      <w:pPr>
        <w:spacing w:line="360" w:lineRule="auto"/>
        <w:jc w:val="both"/>
      </w:pPr>
      <w:r>
        <w:t xml:space="preserve">The main firm characteristics in the </w:t>
      </w:r>
      <w:r w:rsidRPr="003B13F2">
        <w:rPr>
          <w:i/>
        </w:rPr>
        <w:t>CAR</w:t>
      </w:r>
      <w:r>
        <w:t xml:space="preserve"> </w:t>
      </w:r>
      <w:r w:rsidRPr="006A77ED">
        <w:t>[0,+2]</w:t>
      </w:r>
      <w:r>
        <w:rPr>
          <w:i/>
        </w:rPr>
        <w:t xml:space="preserve"> </w:t>
      </w:r>
      <w:r w:rsidRPr="00CF4E8D">
        <w:t>analysis</w:t>
      </w:r>
      <w:r>
        <w:t xml:space="preserve"> include earnings uncertainty </w:t>
      </w:r>
      <w:r w:rsidRPr="00530DD7">
        <w:rPr>
          <w:i/>
        </w:rPr>
        <w:t>(SDEarn)</w:t>
      </w:r>
      <w:r>
        <w:t xml:space="preserve">, leverage </w:t>
      </w:r>
      <w:r w:rsidRPr="00530DD7">
        <w:rPr>
          <w:i/>
        </w:rPr>
        <w:t>(Debt)</w:t>
      </w:r>
      <w:r>
        <w:t xml:space="preserve">, high cash flow </w:t>
      </w:r>
      <w:r w:rsidRPr="00530DD7">
        <w:rPr>
          <w:i/>
        </w:rPr>
        <w:t>(CFD</w:t>
      </w:r>
      <w:r w:rsidRPr="00530DD7">
        <w:rPr>
          <w:i/>
          <w:vertAlign w:val="subscript"/>
        </w:rPr>
        <w:t>H</w:t>
      </w:r>
      <w:r w:rsidRPr="00530DD7">
        <w:rPr>
          <w:i/>
        </w:rPr>
        <w:t>)</w:t>
      </w:r>
      <w:r>
        <w:t xml:space="preserve">, low market to book ratio </w:t>
      </w:r>
      <w:r w:rsidRPr="00530DD7">
        <w:rPr>
          <w:i/>
        </w:rPr>
        <w:t>(MBD</w:t>
      </w:r>
      <w:r w:rsidRPr="00530DD7">
        <w:rPr>
          <w:i/>
          <w:vertAlign w:val="subscript"/>
        </w:rPr>
        <w:t>L</w:t>
      </w:r>
      <w:r w:rsidRPr="00530DD7">
        <w:rPr>
          <w:i/>
        </w:rPr>
        <w:t>)</w:t>
      </w:r>
      <w:r>
        <w:t xml:space="preserve">, firm size </w:t>
      </w:r>
      <w:r w:rsidRPr="00530DD7">
        <w:rPr>
          <w:i/>
        </w:rPr>
        <w:t xml:space="preserve">(LnAssets) </w:t>
      </w:r>
      <w:r>
        <w:t xml:space="preserve">and project cost </w:t>
      </w:r>
      <w:r w:rsidRPr="00530DD7">
        <w:rPr>
          <w:i/>
        </w:rPr>
        <w:t>(Cost)</w:t>
      </w:r>
      <w:r>
        <w:t>, and are measured as follows:</w:t>
      </w:r>
    </w:p>
    <w:p w14:paraId="3991304B" w14:textId="64A0ED47" w:rsidR="00B72F9B" w:rsidRDefault="00B72F9B" w:rsidP="00B72F9B">
      <w:pPr>
        <w:pStyle w:val="ListParagraph"/>
        <w:numPr>
          <w:ilvl w:val="0"/>
          <w:numId w:val="4"/>
        </w:numPr>
        <w:spacing w:line="360" w:lineRule="auto"/>
        <w:jc w:val="both"/>
      </w:pPr>
      <w:r w:rsidRPr="00530DD7">
        <w:rPr>
          <w:i/>
        </w:rPr>
        <w:t xml:space="preserve">SDEarn </w:t>
      </w:r>
      <w:r w:rsidRPr="0079518B">
        <w:t>is the standard deviation of earnings before extraordinary items divided by average total assets from t-5 to t-1</w:t>
      </w:r>
      <w:r>
        <w:rPr>
          <w:rStyle w:val="FootnoteReference"/>
        </w:rPr>
        <w:footnoteReference w:id="3"/>
      </w:r>
      <w:r>
        <w:t>.</w:t>
      </w:r>
      <w:r w:rsidRPr="0079518B">
        <w:t xml:space="preserve">  </w:t>
      </w:r>
    </w:p>
    <w:p w14:paraId="11F67F5F" w14:textId="77777777" w:rsidR="00B72F9B" w:rsidRDefault="00B72F9B" w:rsidP="00B72F9B">
      <w:pPr>
        <w:pStyle w:val="ListParagraph"/>
        <w:numPr>
          <w:ilvl w:val="0"/>
          <w:numId w:val="4"/>
        </w:numPr>
        <w:spacing w:line="360" w:lineRule="auto"/>
        <w:jc w:val="both"/>
      </w:pPr>
      <w:r w:rsidRPr="00530DD7">
        <w:rPr>
          <w:i/>
        </w:rPr>
        <w:t>Debt</w:t>
      </w:r>
      <w:r>
        <w:t xml:space="preserve"> is total debt divided by total assets. </w:t>
      </w:r>
      <w:r w:rsidRPr="008F41FA">
        <w:t xml:space="preserve"> </w:t>
      </w:r>
    </w:p>
    <w:p w14:paraId="388115FC" w14:textId="77777777" w:rsidR="00B72F9B" w:rsidRDefault="00B72F9B" w:rsidP="00B72F9B">
      <w:pPr>
        <w:pStyle w:val="ListParagraph"/>
        <w:numPr>
          <w:ilvl w:val="0"/>
          <w:numId w:val="4"/>
        </w:numPr>
        <w:spacing w:line="360" w:lineRule="auto"/>
        <w:jc w:val="both"/>
      </w:pPr>
      <w:r w:rsidRPr="00530DD7">
        <w:rPr>
          <w:rFonts w:ascii="Calibri" w:eastAsia="Calibri" w:hAnsi="Calibri" w:cs="Calibri"/>
          <w:i/>
        </w:rPr>
        <w:t>CFD</w:t>
      </w:r>
      <w:r w:rsidRPr="00530DD7">
        <w:rPr>
          <w:rFonts w:ascii="Calibri" w:eastAsia="Calibri" w:hAnsi="Calibri" w:cs="Calibri"/>
          <w:i/>
          <w:vertAlign w:val="subscript"/>
        </w:rPr>
        <w:t>H</w:t>
      </w:r>
      <w:r w:rsidRPr="00530DD7">
        <w:rPr>
          <w:rFonts w:ascii="Calibri" w:eastAsia="Calibri" w:hAnsi="Calibri" w:cs="Times New Roman"/>
        </w:rPr>
        <w:t xml:space="preserve"> </w:t>
      </w:r>
      <w:r w:rsidRPr="00530DD7">
        <w:rPr>
          <w:rFonts w:ascii="Calibri" w:eastAsia="Calibri" w:hAnsi="Calibri" w:cs="Calibri"/>
        </w:rPr>
        <w:t xml:space="preserve"> is a high cash flow dummy = 1 when firm </w:t>
      </w:r>
      <w:r w:rsidRPr="00530DD7">
        <w:rPr>
          <w:rFonts w:ascii="Calibri" w:eastAsia="Calibri" w:hAnsi="Calibri" w:cs="Calibri"/>
          <w:i/>
        </w:rPr>
        <w:t>i</w:t>
      </w:r>
      <w:r w:rsidRPr="00530DD7">
        <w:rPr>
          <w:rFonts w:ascii="Calibri" w:eastAsia="Calibri" w:hAnsi="Calibri" w:cs="Calibri"/>
        </w:rPr>
        <w:t xml:space="preserve"> </w:t>
      </w:r>
      <w:r w:rsidRPr="00530DD7">
        <w:rPr>
          <w:rFonts w:ascii="Calibri" w:eastAsia="Calibri" w:hAnsi="Calibri" w:cs="Times New Roman"/>
          <w:i/>
        </w:rPr>
        <w:t>CF</w:t>
      </w:r>
      <w:r w:rsidRPr="00530DD7">
        <w:rPr>
          <w:rFonts w:ascii="Calibri" w:eastAsia="Calibri" w:hAnsi="Calibri" w:cs="Times New Roman"/>
          <w:i/>
          <w:vertAlign w:val="subscript"/>
        </w:rPr>
        <w:t>i,t-1</w:t>
      </w:r>
      <w:r w:rsidRPr="00530DD7">
        <w:rPr>
          <w:rFonts w:ascii="Calibri" w:eastAsia="Calibri" w:hAnsi="Calibri" w:cs="Times New Roman"/>
        </w:rPr>
        <w:t xml:space="preserve"> is above the median </w:t>
      </w:r>
      <w:r w:rsidRPr="00530DD7">
        <w:rPr>
          <w:rFonts w:ascii="Calibri" w:eastAsia="Calibri" w:hAnsi="Calibri" w:cs="Times New Roman"/>
          <w:i/>
        </w:rPr>
        <w:t>CF</w:t>
      </w:r>
      <w:r w:rsidRPr="00530DD7">
        <w:rPr>
          <w:rFonts w:ascii="Calibri" w:eastAsia="Calibri" w:hAnsi="Calibri" w:cs="Times New Roman"/>
          <w:i/>
          <w:vertAlign w:val="subscript"/>
        </w:rPr>
        <w:t>t-1</w:t>
      </w:r>
      <w:r w:rsidRPr="00530DD7">
        <w:rPr>
          <w:rFonts w:ascii="Calibri" w:eastAsia="Calibri" w:hAnsi="Calibri" w:cs="Times New Roman"/>
        </w:rPr>
        <w:t xml:space="preserve"> for all firms, and zero otherwise, where </w:t>
      </w:r>
      <w:r w:rsidRPr="00530DD7">
        <w:rPr>
          <w:i/>
        </w:rPr>
        <w:t>CF</w:t>
      </w:r>
      <w:r>
        <w:t xml:space="preserve"> is cash flow divided by total assets. </w:t>
      </w:r>
    </w:p>
    <w:p w14:paraId="4B354069" w14:textId="77777777" w:rsidR="00B72F9B" w:rsidRDefault="00B72F9B" w:rsidP="00B72F9B">
      <w:pPr>
        <w:pStyle w:val="ListParagraph"/>
        <w:numPr>
          <w:ilvl w:val="0"/>
          <w:numId w:val="4"/>
        </w:numPr>
        <w:spacing w:line="360" w:lineRule="auto"/>
        <w:jc w:val="both"/>
      </w:pPr>
      <w:r w:rsidRPr="00530DD7">
        <w:rPr>
          <w:rFonts w:ascii="Calibri" w:eastAsia="Calibri" w:hAnsi="Calibri" w:cs="Times New Roman"/>
          <w:i/>
        </w:rPr>
        <w:t>MBD</w:t>
      </w:r>
      <w:r w:rsidRPr="00530DD7">
        <w:rPr>
          <w:rFonts w:ascii="Calibri" w:eastAsia="Calibri" w:hAnsi="Calibri" w:cs="Times New Roman"/>
          <w:i/>
          <w:vertAlign w:val="subscript"/>
        </w:rPr>
        <w:t>L</w:t>
      </w:r>
      <w:r w:rsidRPr="00530DD7">
        <w:rPr>
          <w:rFonts w:ascii="Calibri" w:eastAsia="Calibri" w:hAnsi="Calibri" w:cs="Calibri"/>
        </w:rPr>
        <w:t xml:space="preserve"> is a low market to book value dummy = 1 when firm </w:t>
      </w:r>
      <w:r w:rsidRPr="00530DD7">
        <w:rPr>
          <w:rFonts w:ascii="Calibri" w:eastAsia="Calibri" w:hAnsi="Calibri" w:cs="Calibri"/>
          <w:i/>
        </w:rPr>
        <w:t>i</w:t>
      </w:r>
      <w:r w:rsidRPr="00530DD7">
        <w:rPr>
          <w:rFonts w:ascii="Calibri" w:eastAsia="Calibri" w:hAnsi="Calibri" w:cs="Calibri"/>
        </w:rPr>
        <w:t xml:space="preserve"> </w:t>
      </w:r>
      <w:r w:rsidRPr="00530DD7">
        <w:rPr>
          <w:rFonts w:ascii="Calibri" w:eastAsia="Calibri" w:hAnsi="Calibri" w:cs="Times New Roman"/>
          <w:i/>
        </w:rPr>
        <w:t>MB</w:t>
      </w:r>
      <w:r w:rsidRPr="00530DD7">
        <w:rPr>
          <w:rFonts w:ascii="Calibri" w:eastAsia="Calibri" w:hAnsi="Calibri" w:cs="Times New Roman"/>
          <w:i/>
          <w:vertAlign w:val="subscript"/>
        </w:rPr>
        <w:t>i,t-1</w:t>
      </w:r>
      <w:r w:rsidRPr="00530DD7">
        <w:rPr>
          <w:rFonts w:ascii="Calibri" w:eastAsia="Calibri" w:hAnsi="Calibri" w:cs="Times New Roman"/>
        </w:rPr>
        <w:t xml:space="preserve"> is below the median </w:t>
      </w:r>
      <w:r w:rsidRPr="00530DD7">
        <w:rPr>
          <w:rFonts w:ascii="Calibri" w:eastAsia="Calibri" w:hAnsi="Calibri" w:cs="Times New Roman"/>
          <w:i/>
        </w:rPr>
        <w:t>MB</w:t>
      </w:r>
      <w:r w:rsidRPr="00530DD7">
        <w:rPr>
          <w:rFonts w:ascii="Calibri" w:eastAsia="Calibri" w:hAnsi="Calibri" w:cs="Times New Roman"/>
          <w:i/>
          <w:vertAlign w:val="subscript"/>
        </w:rPr>
        <w:t>t-1</w:t>
      </w:r>
      <w:r w:rsidRPr="00530DD7">
        <w:rPr>
          <w:rFonts w:ascii="Calibri" w:eastAsia="Calibri" w:hAnsi="Calibri" w:cs="Times New Roman"/>
        </w:rPr>
        <w:t xml:space="preserve"> for all firms, and zero otherwise, where </w:t>
      </w:r>
      <w:r w:rsidRPr="00530DD7">
        <w:rPr>
          <w:i/>
        </w:rPr>
        <w:t>MB</w:t>
      </w:r>
      <w:r w:rsidRPr="00DE1359">
        <w:t xml:space="preserve"> is the market value of equity plus total assets minus the book value of equity divided by total assets</w:t>
      </w:r>
      <w:r>
        <w:t>.</w:t>
      </w:r>
      <w:r w:rsidRPr="00DE1359">
        <w:t xml:space="preserve"> </w:t>
      </w:r>
    </w:p>
    <w:p w14:paraId="54F4CA25" w14:textId="77777777" w:rsidR="00B72F9B" w:rsidRDefault="00B72F9B" w:rsidP="00B72F9B">
      <w:pPr>
        <w:pStyle w:val="ListParagraph"/>
        <w:numPr>
          <w:ilvl w:val="0"/>
          <w:numId w:val="4"/>
        </w:numPr>
        <w:spacing w:line="360" w:lineRule="auto"/>
        <w:jc w:val="both"/>
      </w:pPr>
      <w:r w:rsidRPr="00530DD7">
        <w:rPr>
          <w:i/>
        </w:rPr>
        <w:t xml:space="preserve">LnAssets </w:t>
      </w:r>
      <w:r w:rsidRPr="008F41FA">
        <w:t>is the log of total assets</w:t>
      </w:r>
      <w:r>
        <w:t xml:space="preserve">. </w:t>
      </w:r>
    </w:p>
    <w:p w14:paraId="4DFBCAA7" w14:textId="77777777" w:rsidR="00B72F9B" w:rsidRPr="00530DD7" w:rsidRDefault="00B72F9B" w:rsidP="00B72F9B">
      <w:pPr>
        <w:pStyle w:val="ListParagraph"/>
        <w:numPr>
          <w:ilvl w:val="0"/>
          <w:numId w:val="4"/>
        </w:numPr>
        <w:spacing w:line="360" w:lineRule="auto"/>
        <w:jc w:val="both"/>
      </w:pPr>
      <w:r w:rsidRPr="00530DD7">
        <w:rPr>
          <w:i/>
        </w:rPr>
        <w:t xml:space="preserve">Cost </w:t>
      </w:r>
      <w:r w:rsidRPr="00DE1359">
        <w:t xml:space="preserve">is the dollar value of project </w:t>
      </w:r>
      <w:r w:rsidRPr="00530DD7">
        <w:rPr>
          <w:i/>
        </w:rPr>
        <w:t>j</w:t>
      </w:r>
      <w:r w:rsidRPr="00DE1359">
        <w:t xml:space="preserve"> divided by total assets</w:t>
      </w:r>
      <w:r>
        <w:t xml:space="preserve">. </w:t>
      </w:r>
    </w:p>
    <w:p w14:paraId="4F9A4102" w14:textId="77777777" w:rsidR="00B72F9B" w:rsidRDefault="00B72F9B" w:rsidP="00B72F9B">
      <w:pPr>
        <w:spacing w:line="360" w:lineRule="auto"/>
        <w:jc w:val="both"/>
      </w:pPr>
    </w:p>
    <w:p w14:paraId="6BBCC97C" w14:textId="77777777" w:rsidR="00B72F9B" w:rsidRDefault="00B72F9B" w:rsidP="00B72F9B">
      <w:pPr>
        <w:spacing w:line="360" w:lineRule="auto"/>
        <w:jc w:val="both"/>
      </w:pPr>
      <w:r>
        <w:t xml:space="preserve">To analyse the effect of information transparency on information asymmetry, the following firm-level trading variables and characteristics are considered: </w:t>
      </w:r>
    </w:p>
    <w:p w14:paraId="448A7922" w14:textId="77777777" w:rsidR="00B72F9B" w:rsidRPr="00530DD7" w:rsidRDefault="00B72F9B" w:rsidP="00B72F9B">
      <w:pPr>
        <w:pStyle w:val="ListParagraph"/>
        <w:numPr>
          <w:ilvl w:val="0"/>
          <w:numId w:val="5"/>
        </w:numPr>
        <w:spacing w:line="360" w:lineRule="auto"/>
        <w:jc w:val="both"/>
        <w:rPr>
          <w:i/>
        </w:rPr>
      </w:pPr>
      <w:r w:rsidRPr="00DE1359">
        <w:rPr>
          <w:i/>
        </w:rPr>
        <w:t>BAS</w:t>
      </w:r>
      <w:r w:rsidRPr="00DE1359">
        <w:t xml:space="preserve"> is the closing percent quoted bid-ask spread for firm </w:t>
      </w:r>
      <w:r w:rsidRPr="00546729">
        <w:rPr>
          <w:i/>
        </w:rPr>
        <w:t>i</w:t>
      </w:r>
      <w:r w:rsidRPr="00DE1359">
        <w:t xml:space="preserve"> on day </w:t>
      </w:r>
      <w:r w:rsidRPr="00546729">
        <w:rPr>
          <w:i/>
        </w:rPr>
        <w:t>d</w:t>
      </w:r>
      <w:r w:rsidRPr="00DE1359">
        <w:t xml:space="preserve">, measured as: </w:t>
      </w:r>
      <m:oMath>
        <m:f>
          <m:fPr>
            <m:ctrlPr>
              <w:rPr>
                <w:rFonts w:ascii="Cambria Math" w:hAnsi="Cambria Math"/>
                <w:i/>
              </w:rPr>
            </m:ctrlPr>
          </m:fPr>
          <m:num>
            <m:sSub>
              <m:sSubPr>
                <m:ctrlPr>
                  <w:rPr>
                    <w:rFonts w:ascii="Cambria Math" w:hAnsi="Cambria Math"/>
                    <w:i/>
                  </w:rPr>
                </m:ctrlPr>
              </m:sSubPr>
              <m:e>
                <m:r>
                  <w:rPr>
                    <w:rFonts w:ascii="Cambria Math" w:hAnsi="Cambria Math"/>
                  </w:rPr>
                  <m:t>Closing ask</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Closing bid</m:t>
                </m:r>
              </m:e>
              <m:sub>
                <m:r>
                  <w:rPr>
                    <w:rFonts w:ascii="Cambria Math" w:hAnsi="Cambria Math"/>
                  </w:rPr>
                  <m:t>d</m:t>
                </m:r>
              </m:sub>
            </m:sSub>
          </m:num>
          <m:den>
            <m:f>
              <m:fPr>
                <m:type m:val="lin"/>
                <m:ctrlPr>
                  <w:rPr>
                    <w:rFonts w:ascii="Cambria Math" w:hAnsi="Cambria Math"/>
                    <w:i/>
                  </w:rPr>
                </m:ctrlPr>
              </m:fPr>
              <m:num>
                <m:sSub>
                  <m:sSubPr>
                    <m:ctrlPr>
                      <w:rPr>
                        <w:rFonts w:ascii="Cambria Math" w:hAnsi="Cambria Math"/>
                        <w:i/>
                      </w:rPr>
                    </m:ctrlPr>
                  </m:sSubPr>
                  <m:e>
                    <m:r>
                      <w:rPr>
                        <w:rFonts w:ascii="Cambria Math" w:hAnsi="Cambria Math"/>
                      </w:rPr>
                      <m:t>Closing ask</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Closing bid</m:t>
                    </m:r>
                  </m:e>
                  <m:sub>
                    <m:r>
                      <w:rPr>
                        <w:rFonts w:ascii="Cambria Math" w:hAnsi="Cambria Math"/>
                      </w:rPr>
                      <m:t>d</m:t>
                    </m:r>
                  </m:sub>
                </m:sSub>
              </m:num>
              <m:den>
                <m:r>
                  <w:rPr>
                    <w:rFonts w:ascii="Cambria Math" w:hAnsi="Cambria Math"/>
                  </w:rPr>
                  <m:t>2</m:t>
                </m:r>
              </m:den>
            </m:f>
          </m:den>
        </m:f>
      </m:oMath>
      <w:r w:rsidRPr="00DE1359">
        <w:rPr>
          <w:rFonts w:eastAsiaTheme="minorEastAsia"/>
        </w:rPr>
        <w:t xml:space="preserve">; </w:t>
      </w:r>
    </w:p>
    <w:p w14:paraId="0F55D429" w14:textId="77777777" w:rsidR="00B72F9B" w:rsidRPr="00530DD7" w:rsidRDefault="00B72F9B" w:rsidP="00B72F9B">
      <w:pPr>
        <w:pStyle w:val="ListParagraph"/>
        <w:numPr>
          <w:ilvl w:val="0"/>
          <w:numId w:val="5"/>
        </w:numPr>
        <w:spacing w:line="360" w:lineRule="auto"/>
        <w:jc w:val="both"/>
        <w:rPr>
          <w:i/>
        </w:rPr>
      </w:pPr>
      <w:r w:rsidRPr="00DE1359">
        <w:rPr>
          <w:rFonts w:eastAsiaTheme="minorEastAsia"/>
          <w:i/>
        </w:rPr>
        <w:t>Price</w:t>
      </w:r>
      <w:r w:rsidRPr="00DE1359">
        <w:rPr>
          <w:rFonts w:eastAsiaTheme="minorEastAsia"/>
        </w:rPr>
        <w:t xml:space="preserve"> is the closing stock price for firm </w:t>
      </w:r>
      <w:r w:rsidRPr="00546729">
        <w:rPr>
          <w:rFonts w:eastAsiaTheme="minorEastAsia"/>
          <w:i/>
        </w:rPr>
        <w:t>i</w:t>
      </w:r>
      <w:r w:rsidRPr="00DE1359">
        <w:rPr>
          <w:rFonts w:eastAsiaTheme="minorEastAsia"/>
        </w:rPr>
        <w:t xml:space="preserve"> on day </w:t>
      </w:r>
      <w:r w:rsidRPr="00546729">
        <w:rPr>
          <w:rFonts w:eastAsiaTheme="minorEastAsia"/>
          <w:i/>
        </w:rPr>
        <w:t>d</w:t>
      </w:r>
      <w:r>
        <w:rPr>
          <w:rFonts w:eastAsiaTheme="minorEastAsia"/>
        </w:rPr>
        <w:t>.</w:t>
      </w:r>
      <w:r w:rsidRPr="00DE1359">
        <w:rPr>
          <w:rFonts w:eastAsiaTheme="minorEastAsia"/>
        </w:rPr>
        <w:t xml:space="preserve"> </w:t>
      </w:r>
    </w:p>
    <w:p w14:paraId="6AB8F552" w14:textId="77777777" w:rsidR="00B72F9B" w:rsidRPr="00530DD7" w:rsidRDefault="00B72F9B" w:rsidP="00B72F9B">
      <w:pPr>
        <w:pStyle w:val="ListParagraph"/>
        <w:numPr>
          <w:ilvl w:val="0"/>
          <w:numId w:val="5"/>
        </w:numPr>
        <w:spacing w:line="360" w:lineRule="auto"/>
        <w:jc w:val="both"/>
        <w:rPr>
          <w:i/>
        </w:rPr>
      </w:pPr>
      <w:r w:rsidRPr="00DE1359">
        <w:rPr>
          <w:rFonts w:eastAsiaTheme="minorEastAsia"/>
          <w:i/>
        </w:rPr>
        <w:t>Size</w:t>
      </w:r>
      <w:r w:rsidRPr="00DE1359">
        <w:rPr>
          <w:rFonts w:eastAsiaTheme="minorEastAsia"/>
        </w:rPr>
        <w:t xml:space="preserve"> is the log of firm </w:t>
      </w:r>
      <w:r w:rsidRPr="00546729">
        <w:rPr>
          <w:rFonts w:eastAsiaTheme="minorEastAsia"/>
          <w:i/>
        </w:rPr>
        <w:t>i</w:t>
      </w:r>
      <w:r w:rsidRPr="00DE1359">
        <w:rPr>
          <w:rFonts w:eastAsiaTheme="minorEastAsia"/>
        </w:rPr>
        <w:t>’s average market value of equity for the 100 days ending 21 days before the announcement</w:t>
      </w:r>
      <w:r>
        <w:rPr>
          <w:rFonts w:eastAsiaTheme="minorEastAsia"/>
        </w:rPr>
        <w:t>.</w:t>
      </w:r>
      <w:r w:rsidRPr="00DE1359">
        <w:rPr>
          <w:rFonts w:eastAsiaTheme="minorEastAsia"/>
        </w:rPr>
        <w:t xml:space="preserve"> </w:t>
      </w:r>
    </w:p>
    <w:p w14:paraId="54A82F1E" w14:textId="0E5DB877" w:rsidR="00B72F9B" w:rsidRPr="00530DD7" w:rsidRDefault="00B72F9B" w:rsidP="00B72F9B">
      <w:pPr>
        <w:pStyle w:val="ListParagraph"/>
        <w:numPr>
          <w:ilvl w:val="0"/>
          <w:numId w:val="5"/>
        </w:numPr>
        <w:spacing w:line="360" w:lineRule="auto"/>
        <w:jc w:val="both"/>
        <w:rPr>
          <w:i/>
        </w:rPr>
      </w:pPr>
      <w:r w:rsidRPr="00DE1359">
        <w:rPr>
          <w:rFonts w:eastAsiaTheme="minorEastAsia"/>
          <w:i/>
        </w:rPr>
        <w:t>Turnover</w:t>
      </w:r>
      <w:r w:rsidRPr="00DE1359">
        <w:rPr>
          <w:rFonts w:eastAsiaTheme="minorEastAsia"/>
        </w:rPr>
        <w:t xml:space="preserve"> is the average daily </w:t>
      </w:r>
      <w:r w:rsidR="005569C1">
        <w:rPr>
          <w:rFonts w:eastAsiaTheme="minorEastAsia"/>
        </w:rPr>
        <w:t>share trading volume</w:t>
      </w:r>
      <w:r w:rsidRPr="00DE1359">
        <w:rPr>
          <w:rFonts w:eastAsiaTheme="minorEastAsia"/>
        </w:rPr>
        <w:t xml:space="preserve"> for firm </w:t>
      </w:r>
      <w:r w:rsidRPr="00546729">
        <w:rPr>
          <w:rFonts w:eastAsiaTheme="minorEastAsia"/>
          <w:i/>
        </w:rPr>
        <w:t>i</w:t>
      </w:r>
      <w:r w:rsidRPr="00DE1359">
        <w:rPr>
          <w:rFonts w:eastAsiaTheme="minorEastAsia"/>
        </w:rPr>
        <w:t xml:space="preserve"> for the 100 days ending 21 days before the announcement</w:t>
      </w:r>
      <w:r>
        <w:rPr>
          <w:rFonts w:eastAsiaTheme="minorEastAsia"/>
        </w:rPr>
        <w:t>.</w:t>
      </w:r>
      <w:r w:rsidRPr="00DE1359">
        <w:rPr>
          <w:rFonts w:eastAsiaTheme="minorEastAsia"/>
        </w:rPr>
        <w:t xml:space="preserve"> </w:t>
      </w:r>
    </w:p>
    <w:p w14:paraId="5324740E" w14:textId="77777777" w:rsidR="00B72F9B" w:rsidRPr="00530DD7" w:rsidRDefault="00B72F9B" w:rsidP="00B72F9B">
      <w:pPr>
        <w:pStyle w:val="ListParagraph"/>
        <w:numPr>
          <w:ilvl w:val="0"/>
          <w:numId w:val="5"/>
        </w:numPr>
        <w:spacing w:line="360" w:lineRule="auto"/>
        <w:jc w:val="both"/>
        <w:rPr>
          <w:i/>
        </w:rPr>
      </w:pPr>
      <w:r w:rsidRPr="00DE1359">
        <w:rPr>
          <w:rFonts w:eastAsiaTheme="minorEastAsia"/>
          <w:i/>
        </w:rPr>
        <w:lastRenderedPageBreak/>
        <w:t>Volume</w:t>
      </w:r>
      <w:r w:rsidRPr="00DE1359">
        <w:rPr>
          <w:rFonts w:eastAsiaTheme="minorEastAsia"/>
        </w:rPr>
        <w:t xml:space="preserve"> is 100 multiplied by share trading volume for firm </w:t>
      </w:r>
      <w:r w:rsidRPr="00546729">
        <w:rPr>
          <w:rFonts w:eastAsiaTheme="minorEastAsia"/>
          <w:i/>
        </w:rPr>
        <w:t>i</w:t>
      </w:r>
      <w:r w:rsidRPr="00DE1359">
        <w:rPr>
          <w:rFonts w:eastAsiaTheme="minorEastAsia"/>
        </w:rPr>
        <w:t xml:space="preserve"> on day </w:t>
      </w:r>
      <w:r w:rsidRPr="00546729">
        <w:rPr>
          <w:rFonts w:eastAsiaTheme="minorEastAsia"/>
          <w:i/>
        </w:rPr>
        <w:t>d</w:t>
      </w:r>
      <w:r w:rsidRPr="00DE1359">
        <w:rPr>
          <w:rFonts w:eastAsiaTheme="minorEastAsia"/>
        </w:rPr>
        <w:t xml:space="preserve"> divided by the number of ordinary shares outstanding</w:t>
      </w:r>
      <w:r>
        <w:rPr>
          <w:rFonts w:eastAsiaTheme="minorEastAsia"/>
        </w:rPr>
        <w:t>.</w:t>
      </w:r>
      <w:r w:rsidRPr="00DE1359">
        <w:rPr>
          <w:rFonts w:eastAsiaTheme="minorEastAsia"/>
        </w:rPr>
        <w:t xml:space="preserve"> </w:t>
      </w:r>
    </w:p>
    <w:p w14:paraId="388514FA" w14:textId="77777777" w:rsidR="00B72F9B" w:rsidRPr="00530DD7" w:rsidRDefault="00B72F9B" w:rsidP="00B72F9B">
      <w:pPr>
        <w:pStyle w:val="ListParagraph"/>
        <w:numPr>
          <w:ilvl w:val="0"/>
          <w:numId w:val="5"/>
        </w:numPr>
        <w:spacing w:line="360" w:lineRule="auto"/>
        <w:jc w:val="both"/>
        <w:rPr>
          <w:i/>
        </w:rPr>
      </w:pPr>
      <w:r w:rsidRPr="00DE1359">
        <w:rPr>
          <w:rFonts w:eastAsiaTheme="minorEastAsia"/>
          <w:i/>
        </w:rPr>
        <w:t>Volatility</w:t>
      </w:r>
      <w:r w:rsidRPr="00DE1359">
        <w:rPr>
          <w:rFonts w:eastAsiaTheme="minorEastAsia"/>
        </w:rPr>
        <w:t xml:space="preserve"> is the standard deviation of firm </w:t>
      </w:r>
      <w:r w:rsidRPr="00546729">
        <w:rPr>
          <w:rFonts w:eastAsiaTheme="minorEastAsia"/>
          <w:i/>
        </w:rPr>
        <w:t>i</w:t>
      </w:r>
      <w:r w:rsidRPr="00DE1359">
        <w:rPr>
          <w:rFonts w:eastAsiaTheme="minorEastAsia"/>
        </w:rPr>
        <w:t>’s daily stock returns for the 100 days ending 21 days before the announcement</w:t>
      </w:r>
      <w:r>
        <w:rPr>
          <w:rFonts w:eastAsiaTheme="minorEastAsia"/>
        </w:rPr>
        <w:t>.</w:t>
      </w:r>
    </w:p>
    <w:p w14:paraId="64829721" w14:textId="77777777" w:rsidR="00B72F9B" w:rsidRDefault="00B72F9B" w:rsidP="00B72F9B">
      <w:pPr>
        <w:spacing w:line="360" w:lineRule="auto"/>
        <w:jc w:val="both"/>
      </w:pPr>
    </w:p>
    <w:p w14:paraId="3C527C86" w14:textId="28C54918" w:rsidR="00802ECF" w:rsidRDefault="00B72F9B" w:rsidP="00694619">
      <w:pPr>
        <w:spacing w:line="360" w:lineRule="auto"/>
        <w:jc w:val="both"/>
        <w:rPr>
          <w:color w:val="FF0000"/>
        </w:rPr>
      </w:pPr>
      <w:r>
        <w:rPr>
          <w:rFonts w:ascii="Calibri" w:eastAsia="Calibri" w:hAnsi="Calibri" w:cs="Calibri"/>
        </w:rPr>
        <w:t xml:space="preserve">All variable definitions are detailed in Appendix 2. </w:t>
      </w:r>
      <w:r>
        <w:t>Firm financial variables were obtained from the Worldscope database, project information (</w:t>
      </w:r>
      <w:r w:rsidRPr="00546729">
        <w:rPr>
          <w:i/>
        </w:rPr>
        <w:t>DQ</w:t>
      </w:r>
      <w:r>
        <w:t xml:space="preserve"> and project dollar cost) was compiled from the SIRCA announcements database and trading data was from the Thomson Reuters Datastream database. Firm financial variables are at the beginning of the fiscal year, unless otherwise indicated.</w:t>
      </w:r>
      <w:r w:rsidRPr="009D061F">
        <w:t xml:space="preserve"> We </w:t>
      </w:r>
      <w:r w:rsidRPr="00624D91">
        <w:t>winsorise at the 1</w:t>
      </w:r>
      <w:r w:rsidRPr="00624D91">
        <w:rPr>
          <w:vertAlign w:val="superscript"/>
        </w:rPr>
        <w:t>st</w:t>
      </w:r>
      <w:r w:rsidRPr="00624D91">
        <w:t xml:space="preserve"> and 99</w:t>
      </w:r>
      <w:r w:rsidRPr="00624D91">
        <w:rPr>
          <w:vertAlign w:val="superscript"/>
        </w:rPr>
        <w:t>th</w:t>
      </w:r>
      <w:r w:rsidRPr="00624D91">
        <w:t xml:space="preserve"> percentiles</w:t>
      </w:r>
      <w:r w:rsidRPr="009D061F">
        <w:t xml:space="preserve"> all </w:t>
      </w:r>
      <w:r w:rsidRPr="00624D91">
        <w:t xml:space="preserve">financial </w:t>
      </w:r>
      <w:r w:rsidR="00093F78">
        <w:t xml:space="preserve">and cost </w:t>
      </w:r>
      <w:r w:rsidRPr="00624D91">
        <w:t>variables</w:t>
      </w:r>
      <w:r w:rsidR="00093F78">
        <w:t>,</w:t>
      </w:r>
      <w:r>
        <w:t xml:space="preserve"> </w:t>
      </w:r>
      <w:r w:rsidRPr="00A85113">
        <w:t>and</w:t>
      </w:r>
      <w:r>
        <w:t xml:space="preserve"> the trading variables</w:t>
      </w:r>
      <w:r w:rsidRPr="00A85113">
        <w:t xml:space="preserve"> </w:t>
      </w:r>
      <w:r w:rsidRPr="00530DD7">
        <w:rPr>
          <w:i/>
        </w:rPr>
        <w:t xml:space="preserve">BAS </w:t>
      </w:r>
      <w:r w:rsidRPr="00530DD7">
        <w:t xml:space="preserve">and </w:t>
      </w:r>
      <w:r w:rsidRPr="00530DD7">
        <w:rPr>
          <w:i/>
        </w:rPr>
        <w:t>Volume</w:t>
      </w:r>
      <w:r w:rsidRPr="002B6789">
        <w:rPr>
          <w:i/>
        </w:rPr>
        <w:t>.</w:t>
      </w:r>
      <w:r>
        <w:rPr>
          <w:i/>
        </w:rPr>
        <w:t xml:space="preserve"> </w:t>
      </w:r>
      <w:r w:rsidR="00B66646">
        <w:t xml:space="preserve">On a </w:t>
      </w:r>
      <w:r w:rsidR="005C433D">
        <w:t xml:space="preserve">few </w:t>
      </w:r>
      <w:r w:rsidR="00B66646">
        <w:t>days</w:t>
      </w:r>
      <w:r w:rsidR="005C433D">
        <w:t xml:space="preserve"> whe</w:t>
      </w:r>
      <w:r w:rsidR="00B66646">
        <w:t>n</w:t>
      </w:r>
      <w:r w:rsidR="005C433D">
        <w:t xml:space="preserve"> </w:t>
      </w:r>
      <w:r w:rsidR="005C433D" w:rsidRPr="001C2124">
        <w:rPr>
          <w:i/>
        </w:rPr>
        <w:t xml:space="preserve">BAS </w:t>
      </w:r>
      <w:r w:rsidR="005C433D">
        <w:t xml:space="preserve">is missing, </w:t>
      </w:r>
      <w:r w:rsidR="00793244">
        <w:t xml:space="preserve">we replace the missing value with </w:t>
      </w:r>
      <w:r w:rsidR="005C433D">
        <w:t xml:space="preserve">the last </w:t>
      </w:r>
      <w:r w:rsidR="00793244">
        <w:t xml:space="preserve">observed </w:t>
      </w:r>
      <w:r w:rsidR="00AC4CFC">
        <w:t xml:space="preserve">closing </w:t>
      </w:r>
      <w:r w:rsidR="00AC4CFC" w:rsidRPr="00646D2C">
        <w:rPr>
          <w:i/>
        </w:rPr>
        <w:t>BAS</w:t>
      </w:r>
      <w:r w:rsidR="005C433D">
        <w:t xml:space="preserve">. </w:t>
      </w:r>
      <w:r w:rsidR="00B66646">
        <w:t>O</w:t>
      </w:r>
      <w:r w:rsidR="005C433D">
        <w:t xml:space="preserve">n the </w:t>
      </w:r>
      <w:r w:rsidR="00793244">
        <w:t xml:space="preserve">few </w:t>
      </w:r>
      <w:r w:rsidR="00B66646">
        <w:t>days</w:t>
      </w:r>
      <w:r w:rsidR="005C433D">
        <w:t xml:space="preserve"> </w:t>
      </w:r>
      <w:r w:rsidR="00793244">
        <w:t>whe</w:t>
      </w:r>
      <w:r w:rsidR="00B66646">
        <w:t>n</w:t>
      </w:r>
      <w:r w:rsidR="00793244">
        <w:t xml:space="preserve"> </w:t>
      </w:r>
      <w:r w:rsidR="00793244" w:rsidRPr="00530DD7">
        <w:rPr>
          <w:i/>
        </w:rPr>
        <w:t>Volume</w:t>
      </w:r>
      <w:r w:rsidR="00793244">
        <w:t xml:space="preserve"> is missing, we average the next observed daily volume over the total of the non-missing day plus the immediately preceding missing day(s). </w:t>
      </w:r>
    </w:p>
    <w:p w14:paraId="2C7CD044" w14:textId="77777777" w:rsidR="00B72F9B" w:rsidRDefault="00B72F9B" w:rsidP="00B72F9B">
      <w:pPr>
        <w:spacing w:line="360" w:lineRule="auto"/>
        <w:jc w:val="both"/>
      </w:pPr>
    </w:p>
    <w:p w14:paraId="1646B0F6" w14:textId="478D832A" w:rsidR="00B72F9B" w:rsidRDefault="00B72F9B" w:rsidP="00B72F9B">
      <w:pPr>
        <w:spacing w:line="360" w:lineRule="auto"/>
        <w:jc w:val="both"/>
      </w:pPr>
      <w:r>
        <w:t xml:space="preserve">Table 2 presents the descriptive statistics for the project announcements sample partitioned by our high/low transparency measure, </w:t>
      </w:r>
      <w:r w:rsidRPr="006A77ED">
        <w:rPr>
          <w:i/>
        </w:rPr>
        <w:t>DQ</w:t>
      </w:r>
      <w:r>
        <w:t xml:space="preserve">. The statistics relating to variables used in the </w:t>
      </w:r>
      <w:r w:rsidRPr="003B13F2">
        <w:rPr>
          <w:i/>
        </w:rPr>
        <w:t>CAR</w:t>
      </w:r>
      <w:r>
        <w:t xml:space="preserve"> </w:t>
      </w:r>
      <w:r w:rsidRPr="006A77ED">
        <w:t>[0,+2]</w:t>
      </w:r>
      <w:r>
        <w:rPr>
          <w:i/>
        </w:rPr>
        <w:t xml:space="preserve"> </w:t>
      </w:r>
      <w:r w:rsidRPr="00CF4E8D">
        <w:t>analysis</w:t>
      </w:r>
      <w:r w:rsidRPr="00CF4E8D">
        <w:rPr>
          <w:i/>
        </w:rPr>
        <w:t xml:space="preserve"> </w:t>
      </w:r>
      <w:r>
        <w:t>and bid-ask spread analysis for the window [-20,+20] surrounding the project announcements are shown in Panels A and B, respectively.</w:t>
      </w:r>
      <w:r w:rsidRPr="002B6789">
        <w:rPr>
          <w:i/>
        </w:rPr>
        <w:t xml:space="preserve"> </w:t>
      </w:r>
      <w:r>
        <w:t>O</w:t>
      </w:r>
      <w:r w:rsidRPr="00530DD7">
        <w:t xml:space="preserve">ur sample firms have a median book value of assets of $149.9 million, and announce price-sensitive projects with a median cost of 4.3% of the book value of assets. </w:t>
      </w:r>
      <w:r w:rsidRPr="00A85113">
        <w:t xml:space="preserve">While Table </w:t>
      </w:r>
      <w:r>
        <w:t>2</w:t>
      </w:r>
      <w:r w:rsidRPr="00A85113">
        <w:t xml:space="preserve"> reveals few differen</w:t>
      </w:r>
      <w:r>
        <w:t xml:space="preserve">ces to distinguish high and low transparency firms in terms of the financial variables, the trading variables show considerable differences. </w:t>
      </w:r>
      <w:r w:rsidRPr="00CF4E8D">
        <w:t xml:space="preserve">Relative to low </w:t>
      </w:r>
      <w:r>
        <w:t>transparency</w:t>
      </w:r>
      <w:r w:rsidRPr="00CF4E8D">
        <w:t xml:space="preserve"> firms, high </w:t>
      </w:r>
      <w:r>
        <w:t>transparency</w:t>
      </w:r>
      <w:r w:rsidRPr="00CF4E8D">
        <w:t xml:space="preserve"> firms have higher median debt ratios, lower information asymmetry (</w:t>
      </w:r>
      <w:r w:rsidRPr="00CF4E8D">
        <w:rPr>
          <w:i/>
        </w:rPr>
        <w:t>BAS</w:t>
      </w:r>
      <w:r w:rsidRPr="00CF4E8D">
        <w:t xml:space="preserve"> and </w:t>
      </w:r>
      <w:r w:rsidRPr="00BC1909">
        <w:rPr>
          <w:i/>
        </w:rPr>
        <w:t>V</w:t>
      </w:r>
      <w:r w:rsidRPr="008727F0">
        <w:rPr>
          <w:i/>
        </w:rPr>
        <w:t>o</w:t>
      </w:r>
      <w:r w:rsidRPr="00CF4E8D">
        <w:rPr>
          <w:i/>
        </w:rPr>
        <w:t>latility</w:t>
      </w:r>
      <w:r w:rsidRPr="00CF4E8D">
        <w:t>), are larger (</w:t>
      </w:r>
      <w:r w:rsidRPr="00BC1909">
        <w:rPr>
          <w:i/>
        </w:rPr>
        <w:t>Ln Assets</w:t>
      </w:r>
      <w:r w:rsidRPr="00CF4E8D">
        <w:t xml:space="preserve"> and </w:t>
      </w:r>
      <w:r w:rsidRPr="00BC1909">
        <w:rPr>
          <w:i/>
        </w:rPr>
        <w:t>Size</w:t>
      </w:r>
      <w:r w:rsidRPr="00CF4E8D">
        <w:t>) and have greater liquidity (</w:t>
      </w:r>
      <w:r w:rsidRPr="00BC1909">
        <w:rPr>
          <w:i/>
        </w:rPr>
        <w:t>Turnover</w:t>
      </w:r>
      <w:r w:rsidRPr="00CF4E8D">
        <w:t xml:space="preserve"> and </w:t>
      </w:r>
      <w:r w:rsidRPr="00BC1909">
        <w:rPr>
          <w:i/>
        </w:rPr>
        <w:t>Volume</w:t>
      </w:r>
      <w:r w:rsidRPr="00CF4E8D">
        <w:t xml:space="preserve">).  </w:t>
      </w:r>
      <w:r>
        <w:t xml:space="preserve"> </w:t>
      </w:r>
    </w:p>
    <w:p w14:paraId="46B3E37D" w14:textId="77777777" w:rsidR="00B72F9B" w:rsidRDefault="00B72F9B" w:rsidP="00C05EFB">
      <w:pPr>
        <w:spacing w:line="360" w:lineRule="auto"/>
        <w:jc w:val="both"/>
      </w:pPr>
    </w:p>
    <w:p w14:paraId="4352FF00" w14:textId="5BDCC6E8" w:rsidR="007D0A57" w:rsidRDefault="007D0A57" w:rsidP="00C05EFB">
      <w:pPr>
        <w:spacing w:line="360" w:lineRule="auto"/>
        <w:jc w:val="both"/>
      </w:pPr>
    </w:p>
    <w:p w14:paraId="13CA3D59" w14:textId="334B66BC" w:rsidR="001E512E" w:rsidRPr="00CF4E8D" w:rsidRDefault="003F6529" w:rsidP="00C05EFB">
      <w:pPr>
        <w:spacing w:line="360" w:lineRule="auto"/>
        <w:jc w:val="both"/>
        <w:rPr>
          <w:b/>
        </w:rPr>
      </w:pPr>
      <w:r w:rsidRPr="00CF4E8D">
        <w:rPr>
          <w:b/>
        </w:rPr>
        <w:t>3.  Investment transparency and market returns</w:t>
      </w:r>
    </w:p>
    <w:p w14:paraId="3355B3FD" w14:textId="77777777" w:rsidR="003F6529" w:rsidRDefault="003F6529" w:rsidP="00C05EFB">
      <w:pPr>
        <w:spacing w:line="360" w:lineRule="auto"/>
        <w:jc w:val="both"/>
      </w:pPr>
    </w:p>
    <w:p w14:paraId="3FC78ED1" w14:textId="528BDAB6" w:rsidR="00337156" w:rsidRPr="006D24C6" w:rsidRDefault="00337156" w:rsidP="00C05EFB">
      <w:pPr>
        <w:spacing w:line="360" w:lineRule="auto"/>
        <w:jc w:val="both"/>
        <w:rPr>
          <w:b/>
        </w:rPr>
      </w:pPr>
      <w:r w:rsidRPr="00624D91">
        <w:t>3.</w:t>
      </w:r>
      <w:r w:rsidR="003F6529">
        <w:t>1</w:t>
      </w:r>
      <w:r w:rsidR="00491262">
        <w:t xml:space="preserve">  </w:t>
      </w:r>
      <w:r w:rsidRPr="00624D91">
        <w:t>Event study</w:t>
      </w:r>
      <w:r w:rsidR="003F6529">
        <w:t xml:space="preserve"> </w:t>
      </w:r>
    </w:p>
    <w:p w14:paraId="3B0F738F" w14:textId="77777777" w:rsidR="00B344E0" w:rsidRPr="00337156" w:rsidRDefault="00B344E0" w:rsidP="00C05EFB">
      <w:pPr>
        <w:spacing w:line="360" w:lineRule="auto"/>
        <w:jc w:val="both"/>
        <w:rPr>
          <w:b/>
        </w:rPr>
      </w:pPr>
    </w:p>
    <w:p w14:paraId="5F74A24C" w14:textId="6EB10167" w:rsidR="00337156" w:rsidRDefault="00337156" w:rsidP="00B43420">
      <w:pPr>
        <w:spacing w:line="360" w:lineRule="auto"/>
        <w:jc w:val="both"/>
      </w:pPr>
      <w:r>
        <w:t xml:space="preserve">Event study methodology is used to test the stock market reaction to the sample of project announcements. Abnormal returns are calculated as </w:t>
      </w:r>
      <w:r w:rsidR="00B43420">
        <w:t xml:space="preserve">mean </w:t>
      </w:r>
      <w:r>
        <w:t xml:space="preserve">daily market-adjusted returns that are cumulated over various event windows. </w:t>
      </w:r>
      <w:r w:rsidR="00B43420">
        <w:t>Results</w:t>
      </w:r>
      <w:r>
        <w:t xml:space="preserve"> </w:t>
      </w:r>
      <w:r w:rsidR="00B43420">
        <w:t>are analysed using</w:t>
      </w:r>
      <w:r w:rsidR="00E14611">
        <w:t xml:space="preserve"> the</w:t>
      </w:r>
      <w:r w:rsidR="00B43420">
        <w:t xml:space="preserve"> Boehmer, Musumeci and Poulsen (1991) standardised cross-sectional test. For robustness, non-parametric results for the </w:t>
      </w:r>
      <w:r w:rsidR="00B43420">
        <w:lastRenderedPageBreak/>
        <w:t>generalised sign test for the proportion of positive returns and the Corrado (1989) rank test are also reported.</w:t>
      </w:r>
    </w:p>
    <w:p w14:paraId="467CB47E" w14:textId="792C2E0C" w:rsidR="00B43420" w:rsidRDefault="00B43420" w:rsidP="00B43420">
      <w:pPr>
        <w:spacing w:line="360" w:lineRule="auto"/>
        <w:jc w:val="both"/>
      </w:pPr>
    </w:p>
    <w:p w14:paraId="2933EA71" w14:textId="0906EA18" w:rsidR="001B6388" w:rsidRDefault="00CE26B7" w:rsidP="00B43420">
      <w:pPr>
        <w:spacing w:line="360" w:lineRule="auto"/>
        <w:jc w:val="both"/>
      </w:pPr>
      <w:r w:rsidRPr="006D24C6">
        <w:t>3.</w:t>
      </w:r>
      <w:r w:rsidR="001B6388">
        <w:t>2</w:t>
      </w:r>
      <w:r w:rsidR="00491262">
        <w:t xml:space="preserve">  </w:t>
      </w:r>
      <w:r w:rsidR="001B6388">
        <w:t>Market response to investment announcement</w:t>
      </w:r>
    </w:p>
    <w:p w14:paraId="167AFE59" w14:textId="1F54491C" w:rsidR="001B6388" w:rsidRDefault="001B6388" w:rsidP="00B43420">
      <w:pPr>
        <w:spacing w:line="360" w:lineRule="auto"/>
        <w:jc w:val="both"/>
      </w:pPr>
    </w:p>
    <w:p w14:paraId="556C5A65" w14:textId="4BDC85A5" w:rsidR="005B1B5D" w:rsidRDefault="001B6388" w:rsidP="00312AF8">
      <w:pPr>
        <w:spacing w:line="360" w:lineRule="auto"/>
        <w:jc w:val="both"/>
      </w:pPr>
      <w:r>
        <w:t xml:space="preserve">Table </w:t>
      </w:r>
      <w:r w:rsidR="00B72F9B">
        <w:t>3</w:t>
      </w:r>
      <w:r>
        <w:t xml:space="preserve"> presents event study results of market-adjusted returns surrounding new project announcements. The Boehmer, Musumeci and Poulsen </w:t>
      </w:r>
      <w:r>
        <w:fldChar w:fldCharType="begin"/>
      </w:r>
      <w:r>
        <w:instrText xml:space="preserve"> ADDIN EN.CITE &lt;EndNote&gt;&lt;Cite ExcludeAuth="1"&gt;&lt;Author&gt;Boehmer&lt;/Author&gt;&lt;Year&gt;1991&lt;/Year&gt;&lt;RecNum&gt;719&lt;/RecNum&gt;&lt;DisplayText&gt;(1991)&lt;/DisplayText&gt;&lt;record&gt;&lt;rec-number&gt;719&lt;/rec-number&gt;&lt;foreign-keys&gt;&lt;key app="EN" db-id="20p2wrv0m2av96e55d1pzxv2zxx5pvw55d55" timestamp="0"&gt;719&lt;/key&gt;&lt;/foreign-keys&gt;&lt;ref-type name="Journal Article"&gt;17&lt;/ref-type&gt;&lt;contributors&gt;&lt;authors&gt;&lt;author&gt;Boehmer, E.&lt;/author&gt;&lt;author&gt;Musumeci, J.&lt;/author&gt;&lt;author&gt;Poulsen, A. B.&lt;/author&gt;&lt;/authors&gt;&lt;/contributors&gt;&lt;titles&gt;&lt;title&gt;Event study methodology under conditions of event-induced variance&lt;/title&gt;&lt;secondary-title&gt;Journal of Financial Economics&lt;/secondary-title&gt;&lt;/titles&gt;&lt;periodical&gt;&lt;full-title&gt;Journal of Financial Economics&lt;/full-title&gt;&lt;/periodical&gt;&lt;pages&gt;253-272&lt;/pages&gt;&lt;volume&gt;30&lt;/volume&gt;&lt;number&gt;2&lt;/number&gt;&lt;keywords&gt;&lt;keyword&gt;SECURITY-PRICE PERFORMANCE&lt;/keyword&gt;&lt;keyword&gt;MARKET-EFFICIENCY&lt;/keyword&gt;&lt;keyword&gt;STOCK RETURNS&lt;/keyword&gt;&lt;keyword&gt;INFORMATION&lt;/keyword&gt;&lt;/keywords&gt;&lt;dates&gt;&lt;year&gt;1991&lt;/year&gt;&lt;pub-dates&gt;&lt;date&gt;Dec&lt;/date&gt;&lt;/pub-dates&gt;&lt;/dates&gt;&lt;isbn&gt;0304-405X&lt;/isbn&gt;&lt;accession-num&gt;ISI:A1991HN68100002&lt;/accession-num&gt;&lt;urls&gt;&lt;related-urls&gt;&lt;url&gt;&amp;lt;Go to ISI&amp;gt;://A1991HN68100002 &lt;/url&gt;&lt;/related-urls&gt;&lt;/urls&gt;&lt;/record&gt;&lt;/Cite&gt;&lt;/EndNote&gt;</w:instrText>
      </w:r>
      <w:r>
        <w:fldChar w:fldCharType="separate"/>
      </w:r>
      <w:r>
        <w:rPr>
          <w:noProof/>
        </w:rPr>
        <w:t>(</w:t>
      </w:r>
      <w:hyperlink w:anchor="_ENREF_7" w:tooltip="Boehmer, 1991 #719" w:history="1">
        <w:r w:rsidR="006C57ED">
          <w:rPr>
            <w:noProof/>
          </w:rPr>
          <w:t>1991</w:t>
        </w:r>
      </w:hyperlink>
      <w:r>
        <w:rPr>
          <w:noProof/>
        </w:rPr>
        <w:t>)</w:t>
      </w:r>
      <w:r>
        <w:fldChar w:fldCharType="end"/>
      </w:r>
      <w:r>
        <w:t xml:space="preserve"> standardised cross-sectional test indicates that the announcement day 0 mean return of 0.97% is significant at the 5% level. The cumulative market-adjusted returns of 1.16%, 1.26% and 2.15% for the event windows </w:t>
      </w:r>
      <w:r w:rsidR="00EC4B3D">
        <w:t>[</w:t>
      </w:r>
      <w:r>
        <w:t>-2,+2</w:t>
      </w:r>
      <w:r w:rsidR="00EC4B3D">
        <w:t>]</w:t>
      </w:r>
      <w:r>
        <w:t xml:space="preserve">, </w:t>
      </w:r>
      <w:r w:rsidR="00EC4B3D">
        <w:t>[</w:t>
      </w:r>
      <w:r>
        <w:t>0,+2</w:t>
      </w:r>
      <w:r w:rsidR="00EC4B3D">
        <w:t>]</w:t>
      </w:r>
      <w:r>
        <w:t xml:space="preserve"> and </w:t>
      </w:r>
      <w:r w:rsidR="00EC4B3D">
        <w:t>[</w:t>
      </w:r>
      <w:r>
        <w:t>-10,+20</w:t>
      </w:r>
      <w:r w:rsidR="00EC4B3D">
        <w:t>]</w:t>
      </w:r>
      <w:r>
        <w:t xml:space="preserve">, respectively are also significant at either the 1% or 5% levels. These results are interpreted as a positive stock market reaction to new capital investment announcements, and are broadly consistent with prior comparable Australasian studies </w:t>
      </w:r>
      <w:r>
        <w:fldChar w:fldCharType="begin">
          <w:fldData xml:space="preserve">PEVuZE5vdGU+PENpdGU+PEF1dGhvcj5CcmFpbHNmb3JkPC9BdXRob3I+PFllYXI+MjAwNDwvWWVh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</w:fldData>
        </w:fldChar>
      </w:r>
      <w:r>
        <w:instrText xml:space="preserve"> ADDIN EN.CITE </w:instrText>
      </w:r>
      <w:r>
        <w:fldChar w:fldCharType="begin">
          <w:fldData xml:space="preserve">PEVuZE5vdGU+PENpdGU+PEF1dGhvcj5CcmFpbHNmb3JkPC9BdXRob3I+PFllYXI+MjAwNDwvWWVh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</w:fldData>
        </w:fldChar>
      </w:r>
      <w:r>
        <w:instrText xml:space="preserve"> ADDIN EN.CITE.DATA </w:instrText>
      </w:r>
      <w:r>
        <w:fldChar w:fldCharType="end"/>
      </w:r>
      <w:r>
        <w:fldChar w:fldCharType="separate"/>
      </w:r>
      <w:r>
        <w:rPr>
          <w:noProof/>
        </w:rPr>
        <w:t>(</w:t>
      </w:r>
      <w:hyperlink w:anchor="_ENREF_8" w:tooltip="Brailsford, 2004 #626" w:history="1">
        <w:r w:rsidR="006C57ED">
          <w:rPr>
            <w:noProof/>
          </w:rPr>
          <w:t>Brailsford &amp; Yeoh, 2004</w:t>
        </w:r>
      </w:hyperlink>
      <w:r>
        <w:rPr>
          <w:noProof/>
        </w:rPr>
        <w:t xml:space="preserve">; </w:t>
      </w:r>
      <w:hyperlink w:anchor="_ENREF_43" w:tooltip="Powell, 2012 #1474" w:history="1">
        <w:r w:rsidR="006C57ED">
          <w:rPr>
            <w:noProof/>
          </w:rPr>
          <w:t>Powell et al., 2012</w:t>
        </w:r>
      </w:hyperlink>
      <w:r>
        <w:rPr>
          <w:noProof/>
        </w:rPr>
        <w:t xml:space="preserve">; </w:t>
      </w:r>
      <w:hyperlink w:anchor="_ENREF_48" w:tooltip="Wirth, 2013 #1601" w:history="1">
        <w:r w:rsidR="006C57ED">
          <w:rPr>
            <w:noProof/>
          </w:rPr>
          <w:t>Wirth et al., 2013</w:t>
        </w:r>
      </w:hyperlink>
      <w:r>
        <w:rPr>
          <w:noProof/>
        </w:rPr>
        <w:t>)</w:t>
      </w:r>
      <w:r>
        <w:fldChar w:fldCharType="end"/>
      </w:r>
      <w:r>
        <w:t>.</w:t>
      </w:r>
      <w:r w:rsidR="0062549F">
        <w:t xml:space="preserve"> </w:t>
      </w:r>
      <w:r w:rsidR="0062549F" w:rsidRPr="00312AF8">
        <w:t xml:space="preserve">Nevertheless, </w:t>
      </w:r>
      <w:r w:rsidR="00B06EC1" w:rsidRPr="00312AF8">
        <w:t>4</w:t>
      </w:r>
      <w:r w:rsidR="005B1B5D" w:rsidRPr="00312AF8">
        <w:t xml:space="preserve">5% of </w:t>
      </w:r>
      <w:r w:rsidR="00B06EC1" w:rsidRPr="001C2124">
        <w:rPr>
          <w:i/>
        </w:rPr>
        <w:t>CAR</w:t>
      </w:r>
      <w:r w:rsidR="00B06EC1" w:rsidRPr="001C2124">
        <w:t xml:space="preserve"> in the [0,+2]</w:t>
      </w:r>
      <w:r w:rsidR="005B1B5D" w:rsidRPr="00312AF8">
        <w:t xml:space="preserve"> window </w:t>
      </w:r>
      <w:r w:rsidR="00B06EC1" w:rsidRPr="001C2124">
        <w:t>have a negative</w:t>
      </w:r>
      <w:r w:rsidR="00B06EC1" w:rsidRPr="00312AF8">
        <w:t xml:space="preserve"> sign</w:t>
      </w:r>
      <w:r w:rsidR="00B06EC1">
        <w:t xml:space="preserve">, so </w:t>
      </w:r>
      <w:r w:rsidR="00312AF8">
        <w:t xml:space="preserve">our subsequent analyses divide the sample between positive and negative </w:t>
      </w:r>
      <w:r w:rsidR="00312AF8" w:rsidRPr="001C2124">
        <w:rPr>
          <w:i/>
        </w:rPr>
        <w:t>CAR</w:t>
      </w:r>
      <w:r w:rsidR="00312AF8">
        <w:t xml:space="preserve"> to allow for potential </w:t>
      </w:r>
      <w:r w:rsidR="00312AF8" w:rsidRPr="00627865">
        <w:t>asymmetry in market reactions</w:t>
      </w:r>
      <w:r w:rsidR="00312AF8">
        <w:t xml:space="preserve"> </w:t>
      </w:r>
      <w:r w:rsidR="00312AF8">
        <w:fldChar w:fldCharType="begin"/>
      </w:r>
      <w:r w:rsidR="00312AF8">
        <w:instrText xml:space="preserve"> ADDIN EN.CITE &lt;EndNote&gt;&lt;Cite&gt;&lt;Author&gt;Frank&lt;/Author&gt;&lt;Year&gt;2018&lt;/Year&gt;&lt;RecNum&gt;2382&lt;/RecNum&gt;&lt;DisplayText&gt;(Frank &amp;amp; Sanati, 2018)&lt;/DisplayText&gt;&lt;record&gt;&lt;rec-number&gt;2382&lt;/rec-number&gt;&lt;foreign-keys&gt;&lt;key app="EN" db-id="20p2wrv0m2av96e55d1pzxv2zxx5pvw55d55" timestamp="1533786512"&gt;2382&lt;/key&gt;&lt;/foreign-keys&gt;&lt;ref-type name="Journal Article"&gt;17&lt;/ref-type&gt;&lt;contributors&gt;&lt;authors&gt;&lt;author&gt;Frank, M. Z.&lt;/author&gt;&lt;author&gt;Sanati, A.&lt;/author&gt;&lt;/authors&gt;&lt;/contributors&gt;&lt;auth-address&gt;Carlson School of Management, University of Minnesota, 321 19th Ave South, Minneapolis, MN, United States&amp;#xD;Kogod School of Business, American University, 4400 Massachusetts Ave NW, Washington, DC, United States&lt;/auth-address&gt;&lt;titles&gt;&lt;title&gt;How does the stock market absorb shocks?&lt;/title&gt;&lt;secondary-title&gt;Journal of Financial Economics&lt;/secondary-title&gt;&lt;/titles&gt;&lt;periodical&gt;&lt;full-title&gt;Journal of Financial Economics&lt;/full-title&gt;&lt;/periodical&gt;&lt;pages&gt;136-153&lt;/pages&gt;&lt;volume&gt;129&lt;/volume&gt;&lt;number&gt;1&lt;/number&gt;&lt;keywords&gt;&lt;keyword&gt;Limited attention&lt;/keyword&gt;&lt;keyword&gt;Limits to arbitrage&lt;/keyword&gt;&lt;keyword&gt;News&lt;/keyword&gt;&lt;keyword&gt;Overreaction&lt;/keyword&gt;&lt;keyword&gt;Stock return predictability&lt;/keyword&gt;&lt;keyword&gt;Text analysis&lt;/keyword&gt;&lt;keyword&gt;Underreaction&lt;/keyword&gt;&lt;/keywords&gt;&lt;dates&gt;&lt;year&gt;2018&lt;/year&gt;&lt;/dates&gt;&lt;work-type&gt;Article&lt;/work-type&gt;&lt;urls&gt;&lt;related-urls&gt;&lt;url&gt;https://www.scopus.com/inward/record.uri?eid=2-s2.0-85046127311&amp;amp;doi=10.1016%2fj.jfineco.2018.04.002&amp;amp;partnerID=40&amp;amp;md5=8f76b93e18a6bd43e93530bf5396e973&lt;/url&gt;&lt;/related-urls&gt;&lt;/urls&gt;&lt;electronic-resource-num&gt;10.1016/j.jfineco.2018.04.002&lt;/electronic-resource-num&gt;&lt;remote-database-name&gt;Scopus&lt;/remote-database-name&gt;&lt;/record&gt;&lt;/Cite&gt;&lt;/EndNote&gt;</w:instrText>
      </w:r>
      <w:r w:rsidR="00312AF8">
        <w:fldChar w:fldCharType="separate"/>
      </w:r>
      <w:r w:rsidR="00312AF8">
        <w:rPr>
          <w:noProof/>
        </w:rPr>
        <w:t>(</w:t>
      </w:r>
      <w:hyperlink w:anchor="_ENREF_22" w:tooltip="Frank, 2018 #2382" w:history="1">
        <w:r w:rsidR="006C57ED">
          <w:rPr>
            <w:noProof/>
          </w:rPr>
          <w:t>Frank &amp; Sanati, 2018</w:t>
        </w:r>
      </w:hyperlink>
      <w:r w:rsidR="00312AF8">
        <w:rPr>
          <w:noProof/>
        </w:rPr>
        <w:t>)</w:t>
      </w:r>
      <w:r w:rsidR="00312AF8">
        <w:fldChar w:fldCharType="end"/>
      </w:r>
      <w:r w:rsidR="00312AF8">
        <w:t xml:space="preserve">. </w:t>
      </w:r>
    </w:p>
    <w:p w14:paraId="67CE4B9F" w14:textId="2611A75E" w:rsidR="00396284" w:rsidRDefault="00396284" w:rsidP="001B6388">
      <w:pPr>
        <w:spacing w:line="360" w:lineRule="auto"/>
        <w:jc w:val="both"/>
      </w:pPr>
    </w:p>
    <w:p w14:paraId="0E4E8BA1" w14:textId="2F8A75ED" w:rsidR="00396284" w:rsidRDefault="00396284" w:rsidP="001B6388">
      <w:pPr>
        <w:spacing w:line="360" w:lineRule="auto"/>
        <w:jc w:val="both"/>
      </w:pPr>
      <w:r>
        <w:t xml:space="preserve">Figure 1 depicts </w:t>
      </w:r>
      <w:r w:rsidRPr="00CF4E8D">
        <w:rPr>
          <w:i/>
        </w:rPr>
        <w:t>CAR</w:t>
      </w:r>
      <w:r>
        <w:t xml:space="preserve"> around project announcements for the window </w:t>
      </w:r>
      <w:r w:rsidR="00EC4B3D">
        <w:t>[</w:t>
      </w:r>
      <w:r>
        <w:t>-20,+20</w:t>
      </w:r>
      <w:r w:rsidR="00EC4B3D">
        <w:t>]</w:t>
      </w:r>
      <w:r>
        <w:t xml:space="preserve"> for the full, positive </w:t>
      </w:r>
      <w:r w:rsidRPr="00CF4E8D">
        <w:rPr>
          <w:i/>
        </w:rPr>
        <w:t>CAR</w:t>
      </w:r>
      <w:r>
        <w:t xml:space="preserve"> and negative </w:t>
      </w:r>
      <w:r w:rsidRPr="00CF4E8D">
        <w:rPr>
          <w:i/>
        </w:rPr>
        <w:t>CAR</w:t>
      </w:r>
      <w:r>
        <w:t xml:space="preserve"> samples. Before the announcement, </w:t>
      </w:r>
      <w:r w:rsidRPr="00CF4E8D">
        <w:rPr>
          <w:i/>
        </w:rPr>
        <w:t>CAR</w:t>
      </w:r>
      <w:r>
        <w:t xml:space="preserve"> are unable to be distinguished between the positive and negative news </w:t>
      </w:r>
      <w:r w:rsidR="005C245A">
        <w:t>reactions</w:t>
      </w:r>
      <w:r>
        <w:t xml:space="preserve">. </w:t>
      </w:r>
      <w:r w:rsidR="008E2445">
        <w:t xml:space="preserve">By day 2, the positive news </w:t>
      </w:r>
      <w:r w:rsidR="00EA217C">
        <w:t>subsample</w:t>
      </w:r>
      <w:r w:rsidR="008E2445">
        <w:t xml:space="preserve"> </w:t>
      </w:r>
      <w:r w:rsidR="008E2445" w:rsidRPr="00CF4E8D">
        <w:rPr>
          <w:i/>
        </w:rPr>
        <w:t xml:space="preserve">CAR </w:t>
      </w:r>
      <w:r w:rsidR="008E2445">
        <w:t xml:space="preserve">is above 3%, while the negative news </w:t>
      </w:r>
      <w:r w:rsidR="00EA217C">
        <w:t>subsample</w:t>
      </w:r>
      <w:r w:rsidR="008E2445">
        <w:t xml:space="preserve"> </w:t>
      </w:r>
      <w:r w:rsidR="008E2445" w:rsidRPr="00CF4E8D">
        <w:rPr>
          <w:i/>
        </w:rPr>
        <w:t xml:space="preserve">CAR </w:t>
      </w:r>
      <w:r w:rsidR="008E2445">
        <w:t xml:space="preserve">is below </w:t>
      </w:r>
      <w:r w:rsidR="00096C63">
        <w:t>-</w:t>
      </w:r>
      <w:r w:rsidR="008E2445">
        <w:t xml:space="preserve">3%. </w:t>
      </w:r>
      <w:r>
        <w:t>After the announcement,</w:t>
      </w:r>
      <w:r w:rsidR="008E2445">
        <w:t xml:space="preserve"> the relative</w:t>
      </w:r>
      <w:r>
        <w:t xml:space="preserve"> </w:t>
      </w:r>
      <w:r w:rsidR="008E2445">
        <w:t xml:space="preserve">level of </w:t>
      </w:r>
      <w:r w:rsidR="008E2445" w:rsidRPr="00CF4E8D">
        <w:rPr>
          <w:i/>
        </w:rPr>
        <w:t xml:space="preserve">CAR </w:t>
      </w:r>
      <w:r w:rsidR="008E2445">
        <w:t xml:space="preserve">temporarily </w:t>
      </w:r>
      <w:r w:rsidR="008E2445" w:rsidRPr="00CF4E8D">
        <w:t>reverse</w:t>
      </w:r>
      <w:r w:rsidR="006E1E76">
        <w:t>s</w:t>
      </w:r>
      <w:r w:rsidR="008E2445" w:rsidRPr="00CF4E8D">
        <w:t xml:space="preserve"> </w:t>
      </w:r>
      <w:r w:rsidR="008E2445">
        <w:t>somewhat</w:t>
      </w:r>
      <w:r w:rsidR="008E2445">
        <w:rPr>
          <w:i/>
        </w:rPr>
        <w:t xml:space="preserve"> </w:t>
      </w:r>
      <w:r w:rsidR="008E2445">
        <w:t xml:space="preserve">for both </w:t>
      </w:r>
      <w:r w:rsidR="00EA217C">
        <w:t>subsample</w:t>
      </w:r>
      <w:r w:rsidR="008E2445">
        <w:t xml:space="preserve">s, but by day 20 there is little evidence of sustained post-announcement drift or reversals. This suggests that within 2 days of the announcement, price reactions are relatively complete. </w:t>
      </w:r>
    </w:p>
    <w:p w14:paraId="3CDD76DD" w14:textId="0208F60C" w:rsidR="00491262" w:rsidRDefault="00491262" w:rsidP="001B6388">
      <w:pPr>
        <w:spacing w:line="360" w:lineRule="auto"/>
        <w:jc w:val="both"/>
      </w:pPr>
    </w:p>
    <w:p w14:paraId="2CD3EE05" w14:textId="6E2E0BAF" w:rsidR="00491262" w:rsidRDefault="00491262" w:rsidP="00D138FD">
      <w:pPr>
        <w:spacing w:line="360" w:lineRule="auto"/>
        <w:jc w:val="both"/>
      </w:pPr>
      <w:r>
        <w:t>3.3  Does investment transparency explain the market response to investment announcements?</w:t>
      </w:r>
    </w:p>
    <w:p w14:paraId="6CBE175C" w14:textId="77777777" w:rsidR="000D4918" w:rsidRDefault="000D4918" w:rsidP="00D138FD">
      <w:pPr>
        <w:spacing w:line="360" w:lineRule="auto"/>
        <w:jc w:val="both"/>
      </w:pPr>
    </w:p>
    <w:p w14:paraId="7392EEB6" w14:textId="75A34729" w:rsidR="00E07359" w:rsidRDefault="00E07359" w:rsidP="00D138FD">
      <w:pPr>
        <w:spacing w:line="360" w:lineRule="auto"/>
        <w:jc w:val="both"/>
      </w:pPr>
      <w:r>
        <w:t>T</w:t>
      </w:r>
      <w:r w:rsidR="00E14611">
        <w:t xml:space="preserve">o provide evidence </w:t>
      </w:r>
      <w:r w:rsidR="00DB54D8">
        <w:t>r</w:t>
      </w:r>
      <w:r w:rsidR="00E14611">
        <w:t>egard</w:t>
      </w:r>
      <w:r w:rsidR="00B43420">
        <w:t>ing the impact of investment transparency</w:t>
      </w:r>
      <w:r w:rsidR="00A31B7A">
        <w:t xml:space="preserve"> </w:t>
      </w:r>
      <w:r w:rsidR="00E14611">
        <w:t xml:space="preserve">on the three day </w:t>
      </w:r>
      <w:r w:rsidR="00FD53DC">
        <w:t>[0,+2]</w:t>
      </w:r>
      <w:r w:rsidR="00E14611">
        <w:t xml:space="preserve"> project announcement </w:t>
      </w:r>
      <w:r w:rsidR="00C80A4D" w:rsidRPr="00C80A4D">
        <w:rPr>
          <w:i/>
        </w:rPr>
        <w:t>CAR</w:t>
      </w:r>
      <w:r w:rsidR="00E14611">
        <w:t>s</w:t>
      </w:r>
      <w:r>
        <w:t>, the following cross-sectional regression is employed:</w:t>
      </w:r>
    </w:p>
    <w:p w14:paraId="0B03ADD0" w14:textId="77777777" w:rsidR="00B344E0" w:rsidRDefault="00B344E0" w:rsidP="00D138FD">
      <w:pPr>
        <w:spacing w:line="360" w:lineRule="auto"/>
        <w:jc w:val="both"/>
      </w:pPr>
    </w:p>
    <w:p w14:paraId="34FB7ABD" w14:textId="5B28AA68" w:rsidR="00DB54D8" w:rsidRPr="00E108BC" w:rsidRDefault="00E07359" w:rsidP="00D138FD">
      <w:pPr>
        <w:tabs>
          <w:tab w:val="left" w:pos="567"/>
          <w:tab w:val="right" w:pos="8931"/>
        </w:tabs>
        <w:spacing w:line="360" w:lineRule="auto"/>
      </w:pPr>
      <w:r>
        <w:rPr>
          <w:i/>
        </w:rPr>
        <w:t>CAR</w:t>
      </w:r>
      <w:r>
        <w:rPr>
          <w:i/>
          <w:vertAlign w:val="subscript"/>
        </w:rPr>
        <w:t>j</w:t>
      </w:r>
      <w:r w:rsidRPr="005038E6">
        <w:rPr>
          <w:i/>
        </w:rPr>
        <w:t xml:space="preserve"> = B</w:t>
      </w:r>
      <w:r w:rsidRPr="005038E6">
        <w:rPr>
          <w:i/>
          <w:vertAlign w:val="subscript"/>
        </w:rPr>
        <w:t>0</w:t>
      </w:r>
      <w:r w:rsidRPr="005038E6">
        <w:rPr>
          <w:i/>
        </w:rPr>
        <w:t xml:space="preserve"> + B</w:t>
      </w:r>
      <w:r w:rsidRPr="005038E6">
        <w:rPr>
          <w:i/>
          <w:vertAlign w:val="subscript"/>
        </w:rPr>
        <w:t>1</w:t>
      </w:r>
      <w:r>
        <w:rPr>
          <w:i/>
        </w:rPr>
        <w:t>DQ</w:t>
      </w:r>
      <w:r>
        <w:rPr>
          <w:i/>
          <w:vertAlign w:val="subscript"/>
        </w:rPr>
        <w:t>j,i,</w:t>
      </w:r>
      <w:r w:rsidR="002F56B3">
        <w:rPr>
          <w:i/>
          <w:vertAlign w:val="subscript"/>
        </w:rPr>
        <w:t>d</w:t>
      </w:r>
      <w:r w:rsidRPr="005038E6">
        <w:rPr>
          <w:i/>
        </w:rPr>
        <w:t xml:space="preserve"> + B</w:t>
      </w:r>
      <w:r w:rsidRPr="005038E6">
        <w:rPr>
          <w:i/>
          <w:vertAlign w:val="subscript"/>
        </w:rPr>
        <w:t>2</w:t>
      </w:r>
      <w:r>
        <w:rPr>
          <w:i/>
        </w:rPr>
        <w:t>SDEarn</w:t>
      </w:r>
      <w:r w:rsidRPr="005038E6">
        <w:rPr>
          <w:i/>
          <w:vertAlign w:val="subscript"/>
        </w:rPr>
        <w:t>i,t-1</w:t>
      </w:r>
      <w:r w:rsidRPr="005038E6">
        <w:rPr>
          <w:i/>
        </w:rPr>
        <w:t xml:space="preserve"> + B</w:t>
      </w:r>
      <w:r w:rsidRPr="005038E6">
        <w:rPr>
          <w:i/>
          <w:vertAlign w:val="subscript"/>
        </w:rPr>
        <w:t>3</w:t>
      </w:r>
      <w:r w:rsidR="008C39DD">
        <w:rPr>
          <w:i/>
        </w:rPr>
        <w:t>Debt</w:t>
      </w:r>
      <w:r w:rsidR="008C39DD" w:rsidRPr="005038E6">
        <w:rPr>
          <w:i/>
          <w:vertAlign w:val="subscript"/>
        </w:rPr>
        <w:t>i,t-1</w:t>
      </w:r>
      <w:r w:rsidR="008C39DD" w:rsidRPr="005038E6">
        <w:rPr>
          <w:i/>
        </w:rPr>
        <w:t xml:space="preserve"> </w:t>
      </w:r>
      <w:r w:rsidR="008C39DD">
        <w:rPr>
          <w:i/>
          <w:vertAlign w:val="subscript"/>
        </w:rPr>
        <w:t xml:space="preserve"> </w:t>
      </w:r>
      <w:r w:rsidRPr="005038E6">
        <w:rPr>
          <w:i/>
        </w:rPr>
        <w:t>+ B</w:t>
      </w:r>
      <w:r w:rsidRPr="005038E6">
        <w:rPr>
          <w:i/>
          <w:vertAlign w:val="subscript"/>
        </w:rPr>
        <w:t>4</w:t>
      </w:r>
      <w:r>
        <w:rPr>
          <w:i/>
        </w:rPr>
        <w:t>CFD</w:t>
      </w:r>
      <w:r w:rsidRPr="00E07359">
        <w:rPr>
          <w:i/>
          <w:vertAlign w:val="subscript"/>
        </w:rPr>
        <w:t>H</w:t>
      </w:r>
      <w:r w:rsidRPr="005038E6">
        <w:rPr>
          <w:i/>
          <w:vertAlign w:val="subscript"/>
        </w:rPr>
        <w:t>,</w:t>
      </w:r>
      <w:r>
        <w:rPr>
          <w:i/>
          <w:vertAlign w:val="subscript"/>
        </w:rPr>
        <w:t>i,t-1</w:t>
      </w:r>
      <w:r w:rsidRPr="005038E6">
        <w:rPr>
          <w:i/>
        </w:rPr>
        <w:t xml:space="preserve"> + B</w:t>
      </w:r>
      <w:r w:rsidR="00442087">
        <w:rPr>
          <w:i/>
          <w:vertAlign w:val="subscript"/>
        </w:rPr>
        <w:t>5</w:t>
      </w:r>
      <w:r>
        <w:rPr>
          <w:i/>
        </w:rPr>
        <w:t>MBD</w:t>
      </w:r>
      <w:r>
        <w:rPr>
          <w:i/>
          <w:vertAlign w:val="subscript"/>
        </w:rPr>
        <w:t>L,i,t-1</w:t>
      </w:r>
      <w:r w:rsidR="00DB54D8">
        <w:rPr>
          <w:i/>
          <w:vertAlign w:val="subscript"/>
        </w:rPr>
        <w:t xml:space="preserve"> </w:t>
      </w:r>
      <w:r w:rsidR="00DB54D8" w:rsidRPr="005038E6">
        <w:rPr>
          <w:i/>
        </w:rPr>
        <w:t xml:space="preserve">+ </w:t>
      </w:r>
      <w:r w:rsidR="00DB54D8">
        <w:rPr>
          <w:i/>
        </w:rPr>
        <w:tab/>
      </w:r>
      <w:r w:rsidR="00DB54D8" w:rsidRPr="00DB54D8">
        <w:rPr>
          <w:i/>
        </w:rPr>
        <w:t>B</w:t>
      </w:r>
      <w:r w:rsidR="00442087">
        <w:rPr>
          <w:i/>
          <w:vertAlign w:val="subscript"/>
        </w:rPr>
        <w:t>6</w:t>
      </w:r>
      <w:r w:rsidR="00DB54D8">
        <w:rPr>
          <w:i/>
        </w:rPr>
        <w:t>(</w:t>
      </w:r>
      <w:r w:rsidR="00DB54D8" w:rsidRPr="00DB54D8">
        <w:rPr>
          <w:i/>
        </w:rPr>
        <w:t>MBD</w:t>
      </w:r>
      <w:r w:rsidR="00DB54D8" w:rsidRPr="00DB54D8">
        <w:rPr>
          <w:i/>
          <w:vertAlign w:val="subscript"/>
        </w:rPr>
        <w:t>L</w:t>
      </w:r>
      <w:r w:rsidR="00DB54D8">
        <w:rPr>
          <w:i/>
          <w:vertAlign w:val="subscript"/>
        </w:rPr>
        <w:t>,i,t-1</w:t>
      </w:r>
      <w:r w:rsidR="00DB54D8">
        <w:rPr>
          <w:i/>
        </w:rPr>
        <w:t xml:space="preserve"> </w:t>
      </w:r>
      <w:r w:rsidR="00DB54D8">
        <w:rPr>
          <w:rFonts w:cstheme="minorHAnsi"/>
          <w:i/>
        </w:rPr>
        <w:t xml:space="preserve">× </w:t>
      </w:r>
      <w:r w:rsidR="00DB54D8">
        <w:rPr>
          <w:i/>
        </w:rPr>
        <w:t>CFD</w:t>
      </w:r>
      <w:r w:rsidR="00DB54D8" w:rsidRPr="00E07359">
        <w:rPr>
          <w:i/>
          <w:vertAlign w:val="subscript"/>
        </w:rPr>
        <w:t>H</w:t>
      </w:r>
      <w:r w:rsidR="00DB54D8" w:rsidRPr="005038E6">
        <w:rPr>
          <w:i/>
          <w:vertAlign w:val="subscript"/>
        </w:rPr>
        <w:t>,</w:t>
      </w:r>
      <w:r w:rsidR="00DB54D8">
        <w:rPr>
          <w:i/>
          <w:vertAlign w:val="subscript"/>
        </w:rPr>
        <w:t>i,t-1</w:t>
      </w:r>
      <w:r w:rsidR="00DB54D8">
        <w:rPr>
          <w:i/>
        </w:rPr>
        <w:t>)</w:t>
      </w:r>
      <w:r w:rsidR="00442087">
        <w:rPr>
          <w:i/>
        </w:rPr>
        <w:t xml:space="preserve"> </w:t>
      </w:r>
      <w:r w:rsidR="00DB54D8">
        <w:rPr>
          <w:i/>
        </w:rPr>
        <w:t xml:space="preserve"> </w:t>
      </w:r>
      <w:r w:rsidR="00442087">
        <w:rPr>
          <w:i/>
        </w:rPr>
        <w:tab/>
        <w:t>+</w:t>
      </w:r>
      <w:r w:rsidR="007A1653" w:rsidRPr="007A1653">
        <w:rPr>
          <w:i/>
        </w:rPr>
        <w:t xml:space="preserve"> </w:t>
      </w:r>
      <w:r w:rsidR="007A1653" w:rsidRPr="00DB54D8">
        <w:rPr>
          <w:i/>
        </w:rPr>
        <w:t>B</w:t>
      </w:r>
      <w:r w:rsidR="007A1653">
        <w:rPr>
          <w:i/>
          <w:vertAlign w:val="subscript"/>
        </w:rPr>
        <w:t>7</w:t>
      </w:r>
      <w:r w:rsidR="00442087">
        <w:rPr>
          <w:i/>
        </w:rPr>
        <w:t>LnAssets</w:t>
      </w:r>
      <w:r w:rsidR="00442087" w:rsidRPr="005038E6">
        <w:rPr>
          <w:i/>
          <w:vertAlign w:val="subscript"/>
        </w:rPr>
        <w:t>i,t-1</w:t>
      </w:r>
      <w:r w:rsidR="00442087" w:rsidRPr="005038E6">
        <w:rPr>
          <w:i/>
        </w:rPr>
        <w:t xml:space="preserve"> </w:t>
      </w:r>
      <w:r w:rsidR="00DB54D8">
        <w:rPr>
          <w:i/>
        </w:rPr>
        <w:t>+</w:t>
      </w:r>
      <w:r w:rsidR="00A87CB1">
        <w:rPr>
          <w:i/>
        </w:rPr>
        <w:t xml:space="preserve"> </w:t>
      </w:r>
      <m:oMath>
        <m:nary>
          <m:naryPr>
            <m:chr m:val="∑"/>
            <m:limLoc m:val="undOvr"/>
            <m:supHide m:val="1"/>
            <m:ctrlPr>
              <w:rPr>
                <w:rFonts w:ascii="Cambria Math" w:hAnsi="Cambria Math"/>
                <w:i/>
              </w:rPr>
            </m:ctrlPr>
          </m:naryPr>
          <m:sub>
            <m:r>
              <w:rPr>
                <w:rFonts w:ascii="Cambria Math" w:hAnsi="Cambria Math"/>
              </w:rPr>
              <m:t>k</m:t>
            </m:r>
          </m:sub>
          <m:sup/>
          <m:e>
            <m:sSub>
              <m:sSubPr>
                <m:ctrlPr>
                  <w:rPr>
                    <w:rFonts w:ascii="Cambria Math" w:hAnsi="Cambria Math"/>
                    <w:i/>
                  </w:rPr>
                </m:ctrlPr>
              </m:sSubPr>
              <m:e>
                <m:r>
                  <w:rPr>
                    <w:rFonts w:ascii="Cambria Math" w:hAnsi="Cambria Math"/>
                  </w:rPr>
                  <m:t>β</m:t>
                </m:r>
              </m:e>
              <m:sub>
                <m:r>
                  <w:rPr>
                    <w:rFonts w:ascii="Cambria Math" w:hAnsi="Cambria Math"/>
                  </w:rPr>
                  <m:t>k</m:t>
                </m:r>
              </m:sub>
            </m:sSub>
            <m:r>
              <w:rPr>
                <w:rFonts w:ascii="Cambria Math" w:hAnsi="Cambria Math"/>
              </w:rPr>
              <m:t>Industry dummies</m:t>
            </m:r>
          </m:e>
        </m:nary>
        <m:r>
          <w:rPr>
            <w:rFonts w:ascii="Cambria Math" w:hAnsi="Cambria Math"/>
          </w:rPr>
          <m:t xml:space="preserve">+ </m:t>
        </m:r>
        <m:nary>
          <m:naryPr>
            <m:chr m:val="∑"/>
            <m:limLoc m:val="undOvr"/>
            <m:supHide m:val="1"/>
            <m:ctrlPr>
              <w:rPr>
                <w:rFonts w:ascii="Cambria Math" w:hAnsi="Cambria Math"/>
                <w:i/>
              </w:rPr>
            </m:ctrlPr>
          </m:naryPr>
          <m:sub>
            <m:r>
              <w:rPr>
                <w:rFonts w:ascii="Cambria Math" w:hAnsi="Cambria Math"/>
              </w:rPr>
              <m:t>t</m:t>
            </m:r>
          </m:sub>
          <m:sup/>
          <m:e>
            <m:sSub>
              <m:sSubPr>
                <m:ctrlPr>
                  <w:rPr>
                    <w:rFonts w:ascii="Cambria Math" w:hAnsi="Cambria Math"/>
                    <w:i/>
                  </w:rPr>
                </m:ctrlPr>
              </m:sSubPr>
              <m:e>
                <m:r>
                  <w:rPr>
                    <w:rFonts w:ascii="Cambria Math" w:hAnsi="Cambria Math"/>
                  </w:rPr>
                  <m:t>β</m:t>
                </m:r>
              </m:e>
              <m:sub>
                <m:r>
                  <w:rPr>
                    <w:rFonts w:ascii="Cambria Math" w:hAnsi="Cambria Math"/>
                  </w:rPr>
                  <m:t>t</m:t>
                </m:r>
              </m:sub>
            </m:sSub>
            <m:r>
              <w:rPr>
                <w:rFonts w:ascii="Cambria Math" w:hAnsi="Cambria Math"/>
              </w:rPr>
              <m:t>Year dummies</m:t>
            </m:r>
          </m:e>
        </m:nary>
        <m:r>
          <w:rPr>
            <w:rFonts w:ascii="Cambria Math" w:hAnsi="Cambria Math"/>
          </w:rPr>
          <m:t>+</m:t>
        </m:r>
      </m:oMath>
      <w:r w:rsidR="00DB54D8">
        <w:rPr>
          <w:i/>
        </w:rPr>
        <w:t xml:space="preserve"> </w:t>
      </w:r>
      <w:r w:rsidR="00DB54D8">
        <w:rPr>
          <w:rFonts w:cstheme="minorHAnsi"/>
          <w:i/>
        </w:rPr>
        <w:t>Ɛ</w:t>
      </w:r>
      <w:r w:rsidR="00DB54D8">
        <w:rPr>
          <w:i/>
          <w:vertAlign w:val="subscript"/>
        </w:rPr>
        <w:t>i</w:t>
      </w:r>
      <w:r w:rsidR="00E108BC">
        <w:tab/>
        <w:t>(1)</w:t>
      </w:r>
    </w:p>
    <w:p w14:paraId="1ADCD441" w14:textId="66AC8643" w:rsidR="00DB54D8" w:rsidRDefault="00DB54D8" w:rsidP="00CF4E8D">
      <w:pPr>
        <w:tabs>
          <w:tab w:val="left" w:pos="567"/>
        </w:tabs>
        <w:spacing w:line="360" w:lineRule="auto"/>
        <w:jc w:val="both"/>
        <w:rPr>
          <w:i/>
          <w:vertAlign w:val="subscript"/>
        </w:rPr>
      </w:pPr>
    </w:p>
    <w:p w14:paraId="407CB122" w14:textId="6DDAD917" w:rsidR="00337156" w:rsidRDefault="00DB54D8" w:rsidP="00C05EFB">
      <w:pPr>
        <w:spacing w:line="360" w:lineRule="auto"/>
        <w:jc w:val="both"/>
      </w:pPr>
      <w:r>
        <w:t xml:space="preserve">where </w:t>
      </w:r>
      <w:r>
        <w:rPr>
          <w:i/>
        </w:rPr>
        <w:t>DQ</w:t>
      </w:r>
      <w:r>
        <w:rPr>
          <w:i/>
          <w:vertAlign w:val="subscript"/>
        </w:rPr>
        <w:t>j,i,</w:t>
      </w:r>
      <w:r w:rsidR="002F56B3">
        <w:rPr>
          <w:i/>
          <w:vertAlign w:val="subscript"/>
        </w:rPr>
        <w:t>d</w:t>
      </w:r>
      <w:r>
        <w:t xml:space="preserve"> (disclosure quantity) is a </w:t>
      </w:r>
      <w:r w:rsidR="00491262">
        <w:t xml:space="preserve">dummy variable to </w:t>
      </w:r>
      <w:r>
        <w:t>measure investment transparency</w:t>
      </w:r>
      <w:r w:rsidR="002F56B3">
        <w:t xml:space="preserve"> with respect to a project </w:t>
      </w:r>
      <w:r w:rsidR="002F56B3" w:rsidRPr="006A77ED">
        <w:rPr>
          <w:i/>
        </w:rPr>
        <w:t>j</w:t>
      </w:r>
      <w:r w:rsidR="002F56B3">
        <w:t xml:space="preserve"> announcement by firm </w:t>
      </w:r>
      <w:r w:rsidR="002F56B3" w:rsidRPr="006A77ED">
        <w:rPr>
          <w:i/>
        </w:rPr>
        <w:t xml:space="preserve">i </w:t>
      </w:r>
      <w:r w:rsidR="002F56B3">
        <w:t xml:space="preserve">on day </w:t>
      </w:r>
      <w:r w:rsidR="002F56B3" w:rsidRPr="006A77ED">
        <w:rPr>
          <w:i/>
        </w:rPr>
        <w:t>d</w:t>
      </w:r>
      <w:r w:rsidR="00491262">
        <w:t xml:space="preserve">, where 1 denotes high </w:t>
      </w:r>
      <w:r w:rsidR="00015DF8">
        <w:t>transparency</w:t>
      </w:r>
      <w:r w:rsidR="00491262">
        <w:t xml:space="preserve"> and 0 </w:t>
      </w:r>
      <w:r w:rsidR="00491262">
        <w:lastRenderedPageBreak/>
        <w:t xml:space="preserve">represents low </w:t>
      </w:r>
      <w:r w:rsidR="00015DF8">
        <w:t>transparency</w:t>
      </w:r>
      <w:r w:rsidR="00491262">
        <w:t>.</w:t>
      </w:r>
      <w:r w:rsidR="00217A45">
        <w:t xml:space="preserve"> </w:t>
      </w:r>
      <w:r w:rsidR="009D2B8C">
        <w:t xml:space="preserve">We anticipate a positive relationship between event window </w:t>
      </w:r>
      <w:r w:rsidR="009D2B8C" w:rsidRPr="00624D91">
        <w:rPr>
          <w:i/>
        </w:rPr>
        <w:t>CAR</w:t>
      </w:r>
      <w:r w:rsidR="009D2B8C">
        <w:t xml:space="preserve">s and the transparency of the announcement. </w:t>
      </w:r>
      <w:r w:rsidR="00491262">
        <w:t>T</w:t>
      </w:r>
      <w:r>
        <w:t>he</w:t>
      </w:r>
      <w:r w:rsidR="001239FB">
        <w:t xml:space="preserve"> remaining variables</w:t>
      </w:r>
      <w:r>
        <w:t xml:space="preserve"> </w:t>
      </w:r>
      <w:r w:rsidR="00A87CB1">
        <w:t xml:space="preserve">including industry and year dummies </w:t>
      </w:r>
      <w:r>
        <w:t xml:space="preserve">control </w:t>
      </w:r>
      <w:r w:rsidR="001239FB">
        <w:t xml:space="preserve">for other influences on </w:t>
      </w:r>
      <w:r w:rsidR="001239FB" w:rsidRPr="00624D91">
        <w:rPr>
          <w:i/>
        </w:rPr>
        <w:t>CAR</w:t>
      </w:r>
      <w:r w:rsidR="001239FB">
        <w:t xml:space="preserve">. </w:t>
      </w:r>
      <w:r w:rsidR="006717B2">
        <w:t>The rationale for explanatory v</w:t>
      </w:r>
      <w:r w:rsidR="005C18B1">
        <w:rPr>
          <w:rFonts w:ascii="Calibri" w:eastAsia="Calibri" w:hAnsi="Calibri" w:cs="Calibri"/>
        </w:rPr>
        <w:t xml:space="preserve">ariable </w:t>
      </w:r>
      <w:r w:rsidR="006717B2">
        <w:rPr>
          <w:rFonts w:ascii="Calibri" w:eastAsia="Calibri" w:hAnsi="Calibri" w:cs="Calibri"/>
        </w:rPr>
        <w:t>inclusions</w:t>
      </w:r>
      <w:r w:rsidR="005C18B1">
        <w:rPr>
          <w:rFonts w:ascii="Calibri" w:eastAsia="Calibri" w:hAnsi="Calibri" w:cs="Calibri"/>
        </w:rPr>
        <w:t xml:space="preserve"> </w:t>
      </w:r>
      <w:r w:rsidR="006717B2">
        <w:rPr>
          <w:rFonts w:ascii="Calibri" w:eastAsia="Calibri" w:hAnsi="Calibri" w:cs="Calibri"/>
        </w:rPr>
        <w:t>is</w:t>
      </w:r>
      <w:r w:rsidR="005C18B1">
        <w:rPr>
          <w:rFonts w:ascii="Calibri" w:eastAsia="Calibri" w:hAnsi="Calibri" w:cs="Calibri"/>
        </w:rPr>
        <w:t xml:space="preserve"> </w:t>
      </w:r>
      <w:r w:rsidR="006717B2">
        <w:rPr>
          <w:rFonts w:ascii="Calibri" w:eastAsia="Calibri" w:hAnsi="Calibri" w:cs="Calibri"/>
        </w:rPr>
        <w:t>discussed</w:t>
      </w:r>
      <w:r w:rsidR="00217A45">
        <w:rPr>
          <w:rFonts w:ascii="Calibri" w:eastAsia="Calibri" w:hAnsi="Calibri" w:cs="Calibri"/>
        </w:rPr>
        <w:t xml:space="preserve"> below.</w:t>
      </w:r>
      <w:r w:rsidR="00015DF8">
        <w:rPr>
          <w:rFonts w:ascii="Calibri" w:eastAsia="Calibri" w:hAnsi="Calibri" w:cs="Calibri"/>
        </w:rPr>
        <w:t xml:space="preserve"> </w:t>
      </w:r>
    </w:p>
    <w:p w14:paraId="5537EB47" w14:textId="4CD4DD2E" w:rsidR="00544475" w:rsidRDefault="00544475" w:rsidP="00C05EFB">
      <w:pPr>
        <w:spacing w:line="360" w:lineRule="auto"/>
        <w:jc w:val="both"/>
      </w:pPr>
    </w:p>
    <w:p w14:paraId="4B29E0A4" w14:textId="020AAAD2" w:rsidR="000A2DF8" w:rsidRPr="00CF4E8D" w:rsidRDefault="000A2DF8" w:rsidP="000A2DF8">
      <w:pPr>
        <w:spacing w:line="360" w:lineRule="auto"/>
        <w:jc w:val="both"/>
      </w:pPr>
      <w:r w:rsidRPr="009B5654">
        <w:t>I</w:t>
      </w:r>
      <w:r w:rsidRPr="00CF4E8D">
        <w:t xml:space="preserve">nformation uncertainty surrounding an announcement can result from poor information quality and the volatility of a firm’s fundamentals </w:t>
      </w:r>
      <w:r w:rsidRPr="00CF4E8D">
        <w:fldChar w:fldCharType="begin"/>
      </w:r>
      <w:r w:rsidRPr="00CF4E8D">
        <w:instrText xml:space="preserve"> ADDIN EN.CITE &lt;EndNote&gt;&lt;Cite&gt;&lt;Author&gt;Zhang&lt;/Author&gt;&lt;Year&gt;2006&lt;/Year&gt;&lt;RecNum&gt;360&lt;/RecNum&gt;&lt;DisplayText&gt;(Zhang, 2006)&lt;/DisplayText&gt;&lt;record&gt;&lt;rec-number&gt;360&lt;/rec-number&gt;&lt;foreign-keys&gt;&lt;key app="EN" db-id="20p2wrv0m2av96e55d1pzxv2zxx5pvw55d55" timestamp="0"&gt;360&lt;/key&gt;&lt;/foreign-keys&gt;&lt;ref-type name="Journal Article"&gt;17&lt;/ref-type&gt;&lt;contributors&gt;&lt;authors&gt;&lt;author&gt;Zhang, X. F.&lt;/author&gt;&lt;/authors&gt;&lt;/contributors&gt;&lt;titles&gt;&lt;title&gt;Information uncertainty and stock returns&lt;/title&gt;&lt;secondary-title&gt;Journal of Finance&lt;/secondary-title&gt;&lt;/titles&gt;&lt;periodical&gt;&lt;full-title&gt;Journal of Finance&lt;/full-title&gt;&lt;/periodical&gt;&lt;pages&gt;105-136&lt;/pages&gt;&lt;volume&gt;61&lt;/volume&gt;&lt;number&gt;1&lt;/number&gt;&lt;keywords&gt;&lt;keyword&gt;momentum strategies&lt;/keyword&gt;&lt;keyword&gt;security market&lt;/keyword&gt;&lt;keyword&gt;investor psychology&lt;/keyword&gt;&lt;keyword&gt;disclosure level&lt;/keyword&gt;&lt;keyword&gt;earnings&lt;/keyword&gt;&lt;keyword&gt;returns&lt;/keyword&gt;&lt;keyword&gt;cost&lt;/keyword&gt;&lt;keyword&gt;profitability&lt;/keyword&gt;&lt;keyword&gt;explanations&lt;/keyword&gt;&lt;keyword&gt;equilibrium&lt;/keyword&gt;&lt;/keywords&gt;&lt;dates&gt;&lt;year&gt;2006&lt;/year&gt;&lt;pub-dates&gt;&lt;date&gt;Feb&lt;/date&gt;&lt;/pub-dates&gt;&lt;/dates&gt;&lt;accession-num&gt;CCC:000234800300004&lt;/accession-num&gt;&lt;label&gt;announcements/stock returns/capital markets/event study&lt;/label&gt;&lt;urls&gt;&lt;related-urls&gt;&lt;url&gt;&amp;lt;Go to ISI&amp;gt;://000234800300004&lt;/url&gt;&lt;/related-urls&gt;&lt;/urls&gt;&lt;/record&gt;&lt;/Cite&gt;&lt;/EndNote&gt;</w:instrText>
      </w:r>
      <w:r w:rsidRPr="00CF4E8D">
        <w:fldChar w:fldCharType="separate"/>
      </w:r>
      <w:r w:rsidRPr="00CF4E8D">
        <w:rPr>
          <w:noProof/>
        </w:rPr>
        <w:t>(</w:t>
      </w:r>
      <w:hyperlink w:anchor="_ENREF_49" w:tooltip="Zhang, 2006 #360" w:history="1">
        <w:r w:rsidR="006C57ED" w:rsidRPr="00CF4E8D">
          <w:rPr>
            <w:noProof/>
          </w:rPr>
          <w:t>Zhang, 2006</w:t>
        </w:r>
      </w:hyperlink>
      <w:r w:rsidRPr="00CF4E8D">
        <w:rPr>
          <w:noProof/>
        </w:rPr>
        <w:t>)</w:t>
      </w:r>
      <w:r w:rsidRPr="00CF4E8D">
        <w:fldChar w:fldCharType="end"/>
      </w:r>
      <w:r w:rsidRPr="00CF4E8D">
        <w:t xml:space="preserve">. </w:t>
      </w:r>
      <w:r w:rsidR="0072604E">
        <w:t xml:space="preserve">In our analysis, </w:t>
      </w:r>
      <w:r w:rsidR="0072604E" w:rsidRPr="00546729">
        <w:rPr>
          <w:i/>
        </w:rPr>
        <w:t>DQ</w:t>
      </w:r>
      <w:r w:rsidR="0072604E">
        <w:rPr>
          <w:i/>
        </w:rPr>
        <w:t xml:space="preserve"> </w:t>
      </w:r>
      <w:r w:rsidR="0072604E" w:rsidRPr="00CF4E8D">
        <w:t>proxies for information quality, while we use historical earnings volatility</w:t>
      </w:r>
      <w:r w:rsidR="00AF7D4A">
        <w:t xml:space="preserve"> (</w:t>
      </w:r>
      <w:r w:rsidR="00AF7D4A" w:rsidRPr="00BC1909">
        <w:rPr>
          <w:i/>
        </w:rPr>
        <w:t>SDEarn</w:t>
      </w:r>
      <w:r w:rsidR="00AF7D4A">
        <w:t>)</w:t>
      </w:r>
      <w:r w:rsidR="0072604E" w:rsidRPr="00CF4E8D">
        <w:t xml:space="preserve"> for the latter.</w:t>
      </w:r>
      <w:r w:rsidR="0072604E">
        <w:t xml:space="preserve"> E</w:t>
      </w:r>
      <w:r w:rsidRPr="00CF4E8D">
        <w:t xml:space="preserve">arnings volatility arises from economic shocks and accounting measurement issues, both of which can hamper the predictability of earnings </w:t>
      </w:r>
      <w:r w:rsidRPr="00CF4E8D">
        <w:fldChar w:fldCharType="begin"/>
      </w:r>
      <w:r w:rsidRPr="00CF4E8D">
        <w:instrText xml:space="preserve"> ADDIN EN.CITE &lt;EndNote&gt;&lt;Cite&gt;&lt;Author&gt;Dichev&lt;/Author&gt;&lt;Year&gt;2009&lt;/Year&gt;&lt;RecNum&gt;2369&lt;/RecNum&gt;&lt;DisplayText&gt;(Dichev &amp;amp; Tang, 2009)&lt;/DisplayText&gt;&lt;record&gt;&lt;rec-number&gt;2369&lt;/rec-number&gt;&lt;foreign-keys&gt;&lt;key app="EN" db-id="20p2wrv0m2av96e55d1pzxv2zxx5pvw55d55" timestamp="1528429607"&gt;2369&lt;/key&gt;&lt;/foreign-keys&gt;&lt;ref-type name="Journal Article"&gt;17&lt;/ref-type&gt;&lt;contributors&gt;&lt;authors&gt;&lt;author&gt;Dichev, I. D.&lt;/author&gt;&lt;author&gt;Tang, V. W.&lt;/author&gt;&lt;/authors&gt;&lt;/contributors&gt;&lt;auth-address&gt;Stephen M. Ross School of Business, University of Michigan, 701 Tappan St, Ann Arbor, MI 48109, United States&amp;#xD;McDonough School of Business, Georgetown University, United States&lt;/auth-address&gt;&lt;titles&gt;&lt;title&gt;Earnings volatility and earnings predictability&lt;/title&gt;&lt;secondary-title&gt;Journal of Accounting and Economics&lt;/secondary-title&gt;&lt;/titles&gt;&lt;periodical&gt;&lt;full-title&gt;Journal of Accounting and Economics&lt;/full-title&gt;&lt;/periodical&gt;&lt;pages&gt;160-181&lt;/pages&gt;&lt;volume&gt;47&lt;/volume&gt;&lt;number&gt;1-2&lt;/number&gt;&lt;keywords&gt;&lt;keyword&gt;Analyst forecasts&lt;/keyword&gt;&lt;keyword&gt;Earnings predictability&lt;/keyword&gt;&lt;keyword&gt;Earnings volatility&lt;/keyword&gt;&lt;keyword&gt;Fundamental analysis&lt;/keyword&gt;&lt;/keywords&gt;&lt;dates&gt;&lt;year&gt;2009&lt;/year&gt;&lt;/dates&gt;&lt;work-type&gt;Article&lt;/work-type&gt;&lt;urls&gt;&lt;related-urls&gt;&lt;url&gt;https://www.scopus.com/inward/record.uri?eid=2-s2.0-59749097824&amp;amp;doi=10.1016%2fj.jacceco.2008.09.005&amp;amp;partnerID=40&amp;amp;md5=8b7642fd36d5d488f47e0b4a4e9f968b&lt;/url&gt;&lt;/related-urls&gt;&lt;/urls&gt;&lt;electronic-resource-num&gt;10.1016/j.jacceco.2008.09.005&lt;/electronic-resource-num&gt;&lt;remote-database-name&gt;Scopus&lt;/remote-database-name&gt;&lt;/record&gt;&lt;/Cite&gt;&lt;/EndNote&gt;</w:instrText>
      </w:r>
      <w:r w:rsidRPr="00CF4E8D">
        <w:fldChar w:fldCharType="separate"/>
      </w:r>
      <w:r w:rsidRPr="00CF4E8D">
        <w:t>(</w:t>
      </w:r>
      <w:hyperlink w:anchor="_ENREF_18" w:tooltip="Dichev, 2009 #2369" w:history="1">
        <w:r w:rsidR="006C57ED" w:rsidRPr="00CF4E8D">
          <w:t>Dichev &amp; Tang, 2009</w:t>
        </w:r>
      </w:hyperlink>
      <w:r w:rsidRPr="00CF4E8D">
        <w:t>)</w:t>
      </w:r>
      <w:r w:rsidRPr="00CF4E8D">
        <w:fldChar w:fldCharType="end"/>
      </w:r>
      <w:r w:rsidRPr="00CF4E8D">
        <w:t xml:space="preserve">. Due to mean-reversion tendencies and transitory elements of extreme earnings, Dichev and Tang </w:t>
      </w:r>
      <w:r w:rsidRPr="00CF4E8D">
        <w:fldChar w:fldCharType="begin"/>
      </w:r>
      <w:r w:rsidRPr="00CF4E8D">
        <w:instrText xml:space="preserve"> ADDIN EN.CITE &lt;EndNote&gt;&lt;Cite ExcludeAuth="1"&gt;&lt;Author&gt;Dichev&lt;/Author&gt;&lt;Year&gt;2009&lt;/Year&gt;&lt;RecNum&gt;2369&lt;/RecNum&gt;&lt;DisplayText&gt;(2009)&lt;/DisplayText&gt;&lt;record&gt;&lt;rec-number&gt;2369&lt;/rec-number&gt;&lt;foreign-keys&gt;&lt;key app="EN" db-id="20p2wrv0m2av96e55d1pzxv2zxx5pvw55d55" timestamp="1528429607"&gt;2369&lt;/key&gt;&lt;/foreign-keys&gt;&lt;ref-type name="Journal Article"&gt;17&lt;/ref-type&gt;&lt;contributors&gt;&lt;authors&gt;&lt;author&gt;Dichev, I. D.&lt;/author&gt;&lt;author&gt;Tang, V. W.&lt;/author&gt;&lt;/authors&gt;&lt;/contributors&gt;&lt;auth-address&gt;Stephen M. Ross School of Business, University of Michigan, 701 Tappan St, Ann Arbor, MI 48109, United States&amp;#xD;McDonough School of Business, Georgetown University, United States&lt;/auth-address&gt;&lt;titles&gt;&lt;title&gt;Earnings volatility and earnings predictability&lt;/title&gt;&lt;secondary-title&gt;Journal of Accounting and Economics&lt;/secondary-title&gt;&lt;/titles&gt;&lt;periodical&gt;&lt;full-title&gt;Journal of Accounting and Economics&lt;/full-title&gt;&lt;/periodical&gt;&lt;pages&gt;160-181&lt;/pages&gt;&lt;volume&gt;47&lt;/volume&gt;&lt;number&gt;1-2&lt;/number&gt;&lt;keywords&gt;&lt;keyword&gt;Analyst forecasts&lt;/keyword&gt;&lt;keyword&gt;Earnings predictability&lt;/keyword&gt;&lt;keyword&gt;Earnings volatility&lt;/keyword&gt;&lt;keyword&gt;Fundamental analysis&lt;/keyword&gt;&lt;/keywords&gt;&lt;dates&gt;&lt;year&gt;2009&lt;/year&gt;&lt;/dates&gt;&lt;work-type&gt;Article&lt;/work-type&gt;&lt;urls&gt;&lt;related-urls&gt;&lt;url&gt;https://www.scopus.com/inward/record.uri?eid=2-s2.0-59749097824&amp;amp;doi=10.1016%2fj.jacceco.2008.09.005&amp;amp;partnerID=40&amp;amp;md5=8b7642fd36d5d488f47e0b4a4e9f968b&lt;/url&gt;&lt;/related-urls&gt;&lt;/urls&gt;&lt;electronic-resource-num&gt;10.1016/j.jacceco.2008.09.005&lt;/electronic-resource-num&gt;&lt;remote-database-name&gt;Scopus&lt;/remote-database-name&gt;&lt;/record&gt;&lt;/Cite&gt;&lt;/EndNote&gt;</w:instrText>
      </w:r>
      <w:r w:rsidRPr="00CF4E8D">
        <w:fldChar w:fldCharType="separate"/>
      </w:r>
      <w:r w:rsidRPr="00CF4E8D">
        <w:rPr>
          <w:noProof/>
        </w:rPr>
        <w:t>(</w:t>
      </w:r>
      <w:hyperlink w:anchor="_ENREF_18" w:tooltip="Dichev, 2009 #2369" w:history="1">
        <w:r w:rsidR="006C57ED" w:rsidRPr="00CF4E8D">
          <w:rPr>
            <w:noProof/>
          </w:rPr>
          <w:t>2009</w:t>
        </w:r>
      </w:hyperlink>
      <w:r w:rsidRPr="00CF4E8D">
        <w:rPr>
          <w:noProof/>
        </w:rPr>
        <w:t>)</w:t>
      </w:r>
      <w:r w:rsidRPr="00CF4E8D">
        <w:fldChar w:fldCharType="end"/>
      </w:r>
      <w:r w:rsidRPr="00CF4E8D">
        <w:t xml:space="preserve"> show that stocks with high historical earnings volatility have little predictive persistence, while stocks with low historical earnings volatility have high future earnings persistence. </w:t>
      </w:r>
      <w:r w:rsidR="00A04C5A">
        <w:t>They also find that</w:t>
      </w:r>
      <w:r w:rsidR="00B36073">
        <w:t xml:space="preserve"> analysts fail to fully impound the implications of past earnings volatility on earnings predictability. </w:t>
      </w:r>
      <w:r w:rsidRPr="00CF4E8D">
        <w:t>The</w:t>
      </w:r>
      <w:r w:rsidR="00B36073">
        <w:t>ir</w:t>
      </w:r>
      <w:r w:rsidRPr="00CF4E8D">
        <w:t xml:space="preserve"> findings could imply different outcomes for project announcements by firms with high historical earnings volatility.  First, the announcements may be viewed sceptically by investors who discount the information based upon an assumption of low predictive earnings persistence. This suggests a negative relationship between historical earnings volatility and project announcement returns. Second, investors may not fully incorporate the firm’s past earnings volatility into their analyses, resulting in a weak relationship between historical earnings volatility and project announcement returns.  </w:t>
      </w:r>
    </w:p>
    <w:p w14:paraId="113352F7" w14:textId="77777777" w:rsidR="009B1DEF" w:rsidRDefault="009B1DEF" w:rsidP="00A9097B">
      <w:pPr>
        <w:spacing w:line="360" w:lineRule="auto"/>
        <w:jc w:val="both"/>
      </w:pPr>
    </w:p>
    <w:p w14:paraId="48650279" w14:textId="261FA3E9" w:rsidR="009B5654" w:rsidRDefault="009B1DEF" w:rsidP="00A9097B">
      <w:pPr>
        <w:spacing w:line="360" w:lineRule="auto"/>
        <w:jc w:val="both"/>
      </w:pPr>
      <w:r>
        <w:t xml:space="preserve">In contrast, real options theory implies alternative predictions for the relationship between historical earnings volatility and stock returns. </w:t>
      </w:r>
      <w:r w:rsidR="00606246" w:rsidRPr="00606246">
        <w:t>Capital expenditures exercise growth options, but they</w:t>
      </w:r>
      <w:r w:rsidR="00606246">
        <w:t xml:space="preserve"> can also give rise to new ones</w:t>
      </w:r>
      <w:r w:rsidR="00606246" w:rsidRPr="00606246">
        <w:t xml:space="preserve"> </w:t>
      </w:r>
      <w:r w:rsidR="00606246" w:rsidRPr="00606246">
        <w:fldChar w:fldCharType="begin"/>
      </w:r>
      <w:r w:rsidR="00606246" w:rsidRPr="00606246">
        <w:instrText xml:space="preserve"> ADDIN EN.CITE &lt;EndNote&gt;&lt;Cite&gt;&lt;Author&gt;Carlson&lt;/Author&gt;&lt;Year&gt;2010&lt;/Year&gt;&lt;RecNum&gt;2383&lt;/RecNum&gt;&lt;DisplayText&gt;(Carlson, Fisher, &amp;amp; Giammarino, 2010)&lt;/DisplayText&gt;&lt;record&gt;&lt;rec-number&gt;2383&lt;/rec-number&gt;&lt;foreign-keys&gt;&lt;key app="EN" db-id="20p2wrv0m2av96e55d1pzxv2zxx5pvw55d55" timestamp="1534976987"&gt;2383&lt;/key&gt;&lt;/foreign-keys&gt;&lt;ref-type name="Journal Article"&gt;17&lt;/ref-type&gt;&lt;contributors&gt;&lt;authors&gt;&lt;author&gt;Carlson, M.&lt;/author&gt;&lt;author&gt;Fisher, A.&lt;/author&gt;&lt;author&gt;Giammarino, R.&lt;/author&gt;&lt;/authors&gt;&lt;/contributors&gt;&lt;auth-address&gt;Sauder School of Business, University of British Columbia, 2053 Main Mall, Vancouver, BC V6R 1X4, Canada&lt;/auth-address&gt;&lt;titles&gt;&lt;title&gt;SEO risk dynamics&lt;/title&gt;&lt;secondary-title&gt;Review of Financial Studies&lt;/secondary-title&gt;&lt;/titles&gt;&lt;periodical&gt;&lt;full-title&gt;Review of Financial Studies&lt;/full-title&gt;&lt;/periodical&gt;&lt;pages&gt;4026-4077&lt;/pages&gt;&lt;volume&gt;23&lt;/volume&gt;&lt;number&gt;11&lt;/number&gt;&lt;dates&gt;&lt;year&gt;2010&lt;/year&gt;&lt;/dates&gt;&lt;work-type&gt;Article&lt;/work-type&gt;&lt;urls&gt;&lt;related-urls&gt;&lt;url&gt;https://www.scopus.com/inward/record.uri?eid=2-s2.0-77958591599&amp;amp;doi=10.1093%2frfs%2fhhq083&amp;amp;partnerID=40&amp;amp;md5=6c7adbff142035da3b10370c44a4fcf6&lt;/url&gt;&lt;url&gt;https://watermark.silverchair.com/hhq083.pdf?token=AQECAHi208BE49Ooan9kkhW_Ercy7Dm3ZL_9Cf3qfKAc485ysgAAAbMwggGvBgkqhkiG9w0BBwagggGgMIIBnAIBADCCAZUGCSqGSIb3DQEHATAeBglghkgBZQMEAS4wEQQMTIYG5HSycqWN2hUbAgEQgIIBZvTTFGqvCwlrHHpOjCe149Ag3MdQhH6UZe1ww9Fj6NRsCIeeLpkhwS-mq-8L6H5g3hzeoRsF5anCv857eIAfXTy8Xqrty8jBEWItEDHvc-p72eNj0W6MpMMYLhGP9_dVN37tv81DHtsGXoQnSIMfh7Hk2LH9An5B9m2NQWWcRFyk1fhT3CKWhfrEl7ClgOi5864VLKKR1iSqxm0xPqMksacgouw-J9sBNugUw1VEdAdj4en1VHRHaUFHOEdfMhmnbFvnhn5CEc4KmlvboneOV8BEHqtzvKT56J6nEVXPp2WdHUJa9Gywc_JkL1-p7Ee6KVU-4TITa793JJRFQonmTMuMNv2h8aRVDP8IiAO1IuY9vceGHhKZKJ5PK1bdqLZt4mGffMgLDu_pdsAc7keznnTmoMVxW4npWOJ42o6eyQiCkPweS-nmaxL3NFONgkZ7BYLRZsoowIaQS9PzmVgpu0fRKHpAkRY&lt;/url&gt;&lt;/related-urls&gt;&lt;/urls&gt;&lt;electronic-resource-num&gt;10.1093/rfs/hhq083&lt;/electronic-resource-num&gt;&lt;remote-database-name&gt;Scopus&lt;/remote-database-name&gt;&lt;/record&gt;&lt;/Cite&gt;&lt;/EndNote&gt;</w:instrText>
      </w:r>
      <w:r w:rsidR="00606246" w:rsidRPr="00606246">
        <w:fldChar w:fldCharType="separate"/>
      </w:r>
      <w:r w:rsidR="00606246" w:rsidRPr="00606246">
        <w:rPr>
          <w:noProof/>
        </w:rPr>
        <w:t>(</w:t>
      </w:r>
      <w:hyperlink w:anchor="_ENREF_10" w:tooltip="Carlson, 2010 #2383" w:history="1">
        <w:r w:rsidR="006C57ED" w:rsidRPr="00606246">
          <w:rPr>
            <w:noProof/>
          </w:rPr>
          <w:t>Carlson, Fisher, &amp; Giammarino, 2010</w:t>
        </w:r>
      </w:hyperlink>
      <w:r w:rsidR="00606246" w:rsidRPr="00606246">
        <w:rPr>
          <w:noProof/>
        </w:rPr>
        <w:t>)</w:t>
      </w:r>
      <w:r w:rsidR="00606246" w:rsidRPr="00606246">
        <w:fldChar w:fldCharType="end"/>
      </w:r>
      <w:r w:rsidR="00606246">
        <w:t xml:space="preserve">. </w:t>
      </w:r>
      <w:r>
        <w:t xml:space="preserve">Applying </w:t>
      </w:r>
      <w:r w:rsidR="00606246" w:rsidRPr="00CF4E8D">
        <w:t>real options theory,</w:t>
      </w:r>
      <w:r>
        <w:t xml:space="preserve"> Grullon</w:t>
      </w:r>
      <w:r w:rsidRPr="009B1DEF">
        <w:t xml:space="preserve">, Lyandres and Zhdanov </w:t>
      </w:r>
      <w:r w:rsidR="00A9097B">
        <w:fldChar w:fldCharType="begin"/>
      </w:r>
      <w:r>
        <w:instrText xml:space="preserve"> ADDIN EN.CITE &lt;EndNote&gt;&lt;Cite ExcludeAuth="1"&gt;&lt;Author&gt;Grullon&lt;/Author&gt;&lt;Year&gt;2012&lt;/Year&gt;&lt;RecNum&gt;2378&lt;/RecNum&gt;&lt;DisplayText&gt;(2012)&lt;/DisplayText&gt;&lt;record&gt;&lt;rec-number&gt;2378&lt;/rec-number&gt;&lt;foreign-keys&gt;&lt;key app="EN" db-id="20p2wrv0m2av96e55d1pzxv2zxx5pvw55d55" timestamp="1533011221"&gt;2378&lt;/key&gt;&lt;/foreign-keys&gt;&lt;ref-type name="Journal Article"&gt;17&lt;/ref-type&gt;&lt;contributors&gt;&lt;authors&gt;&lt;author&gt;Grullon, G.&lt;/author&gt;&lt;author&gt;Lyandres, E.&lt;/author&gt;&lt;author&gt;Zhdanov, A.&lt;/author&gt;&lt;/authors&gt;&lt;/contributors&gt;&lt;auth-address&gt;Jesse H. Jones Graduate School of Business, Rice Univerisity, United States&amp;#xD;The School of Management, Boston University, United States&amp;#xD;University of Lausanne, Swiss Finance Institute, Switzerland&lt;/auth-address&gt;&lt;titles&gt;&lt;title&gt;Real Options, Volatility, and Stock Returns&lt;/title&gt;&lt;secondary-title&gt;Journal of Finance&lt;/secondary-title&gt;&lt;/titles&gt;&lt;periodical&gt;&lt;full-title&gt;Journal of Finance&lt;/full-title&gt;&lt;/periodical&gt;&lt;pages&gt;1499-1537&lt;/pages&gt;&lt;volume&gt;67&lt;/volume&gt;&lt;number&gt;4&lt;/number&gt;&lt;dates&gt;&lt;year&gt;2012&lt;/year&gt;&lt;/dates&gt;&lt;work-type&gt;Article&lt;/work-type&gt;&lt;urls&gt;&lt;related-urls&gt;&lt;url&gt;https://www.scopus.com/inward/record.uri?eid=2-s2.0-84864042165&amp;amp;doi=10.1111%2fj.1540-6261.2012.01754.x&amp;amp;partnerID=40&amp;amp;md5=1b3bb4a912097c29c05051f5f9d36339&lt;/url&gt;&lt;/related-urls&gt;&lt;/urls&gt;&lt;electronic-resource-num&gt;10.1111/j.1540-6261.2012.01754.x&lt;/electronic-resource-num&gt;&lt;remote-database-name&gt;Scopus&lt;/remote-database-name&gt;&lt;/record&gt;&lt;/Cite&gt;&lt;/EndNote&gt;</w:instrText>
      </w:r>
      <w:r w:rsidR="00A9097B">
        <w:fldChar w:fldCharType="separate"/>
      </w:r>
      <w:r>
        <w:rPr>
          <w:noProof/>
        </w:rPr>
        <w:t>(</w:t>
      </w:r>
      <w:hyperlink w:anchor="_ENREF_23" w:tooltip="Grullon, 2012 #2378" w:history="1">
        <w:r w:rsidR="006C57ED">
          <w:rPr>
            <w:noProof/>
          </w:rPr>
          <w:t>2012</w:t>
        </w:r>
      </w:hyperlink>
      <w:r>
        <w:rPr>
          <w:noProof/>
        </w:rPr>
        <w:t>)</w:t>
      </w:r>
      <w:r w:rsidR="00A9097B">
        <w:fldChar w:fldCharType="end"/>
      </w:r>
      <w:r w:rsidR="00A9097B">
        <w:t xml:space="preserve"> find </w:t>
      </w:r>
      <w:r w:rsidR="00606246" w:rsidRPr="00CF4E8D">
        <w:t>the presence of valuable growth options</w:t>
      </w:r>
      <w:r w:rsidR="0072604E">
        <w:t xml:space="preserve"> (proxied by firm age, research &amp; development and growth)</w:t>
      </w:r>
      <w:r w:rsidR="00606246" w:rsidRPr="00CF4E8D">
        <w:t xml:space="preserve"> creates a positive relationship between a firm’s stock</w:t>
      </w:r>
      <w:r w:rsidR="00A9097B" w:rsidRPr="00CF4E8D">
        <w:t xml:space="preserve"> returns and return volatility</w:t>
      </w:r>
      <w:r w:rsidR="00A9097B">
        <w:t>.</w:t>
      </w:r>
      <w:r w:rsidR="00A9097B" w:rsidRPr="00CF4E8D">
        <w:t xml:space="preserve"> This positive association is stronger before the exercise of real options, weaker after the exercise, and subsequently rises with the creation of new real options.</w:t>
      </w:r>
      <w:r w:rsidR="00A9097B">
        <w:t xml:space="preserve"> Given </w:t>
      </w:r>
      <w:r w:rsidR="0072604E">
        <w:t xml:space="preserve">the </w:t>
      </w:r>
      <w:r w:rsidR="00B36073">
        <w:t>d</w:t>
      </w:r>
      <w:r w:rsidR="00A9097B">
        <w:t>ifficult</w:t>
      </w:r>
      <w:r w:rsidR="00B36073">
        <w:t>ies</w:t>
      </w:r>
      <w:r w:rsidR="00A9097B">
        <w:t xml:space="preserve"> of </w:t>
      </w:r>
      <w:r w:rsidR="00B36073">
        <w:t>measuring</w:t>
      </w:r>
      <w:r w:rsidR="00A9097B">
        <w:t xml:space="preserve"> growth opportunities</w:t>
      </w:r>
      <w:r w:rsidR="00B36073">
        <w:t xml:space="preserve"> </w:t>
      </w:r>
      <w:r w:rsidR="00B36073">
        <w:fldChar w:fldCharType="begin"/>
      </w:r>
      <w:r w:rsidR="00B36073">
        <w:instrText xml:space="preserve"> ADDIN EN.CITE &lt;EndNote&gt;&lt;Cite&gt;&lt;Author&gt;Erickson&lt;/Author&gt;&lt;Year&gt;2006&lt;/Year&gt;&lt;RecNum&gt;636&lt;/RecNum&gt;&lt;DisplayText&gt;(Erickson &amp;amp; Whited, 2006)&lt;/DisplayText&gt;&lt;record&gt;&lt;rec-number&gt;636&lt;/rec-number&gt;&lt;foreign-keys&gt;&lt;key app="EN" db-id="20p2wrv0m2av96e55d1pzxv2zxx5pvw55d55" timestamp="0"&gt;636&lt;/key&gt;&lt;/foreign-keys&gt;&lt;ref-type name="Journal Article"&gt;17&lt;/ref-type&gt;&lt;contributors&gt;&lt;authors&gt;&lt;author&gt;Erickson, T.&lt;/author&gt;&lt;author&gt;Whited, T. M.&lt;/author&gt;&lt;/authors&gt;&lt;/contributors&gt;&lt;titles&gt;&lt;title&gt;On the accuracy of different measures of q&lt;/title&gt;&lt;secondary-title&gt;Financial Management&lt;/secondary-title&gt;&lt;/titles&gt;&lt;periodical&gt;&lt;full-title&gt;Financial Management&lt;/full-title&gt;&lt;/periodical&gt;&lt;pages&gt;5-33&lt;/pages&gt;&lt;volume&gt;35&lt;/volume&gt;&lt;number&gt;3&lt;/number&gt;&lt;keywords&gt;&lt;keyword&gt;FREE CASH FLOW&lt;/keyword&gt;&lt;keyword&gt;IN-VARIABLES MODELS&lt;/keyword&gt;&lt;keyword&gt;TOBINS-Q&lt;/keyword&gt;&lt;keyword&gt;CORPORATE&lt;/keyword&gt;&lt;keyword&gt;DIVERSIFICATION&lt;/keyword&gt;&lt;keyword&gt;MEASUREMENT ERROR&lt;/keyword&gt;&lt;keyword&gt;CAPITAL STRUCTURE&lt;/keyword&gt;&lt;keyword&gt;DEBT CONTRACTS&lt;/keyword&gt;&lt;keyword&gt;TENDER OFFERS&lt;/keyword&gt;&lt;keyword&gt;PANEL DATA&lt;/keyword&gt;&lt;keyword&gt;INVESTMENT&lt;/keyword&gt;&lt;/keywords&gt;&lt;dates&gt;&lt;year&gt;2006&lt;/year&gt;&lt;pub-dates&gt;&lt;date&gt;Fal&lt;/date&gt;&lt;/pub-dates&gt;&lt;/dates&gt;&lt;isbn&gt;0046-3892&lt;/isbn&gt;&lt;accession-num&gt;ISI:000241365300001&lt;/accession-num&gt;&lt;urls&gt;&lt;related-urls&gt;&lt;url&gt;&amp;lt;Go to ISI&amp;gt;://000241365300001 &lt;/url&gt;&lt;/related-urls&gt;&lt;/urls&gt;&lt;/record&gt;&lt;/Cite&gt;&lt;/EndNote&gt;</w:instrText>
      </w:r>
      <w:r w:rsidR="00B36073">
        <w:fldChar w:fldCharType="separate"/>
      </w:r>
      <w:r w:rsidR="00B36073">
        <w:rPr>
          <w:noProof/>
        </w:rPr>
        <w:t>(</w:t>
      </w:r>
      <w:hyperlink w:anchor="_ENREF_20" w:tooltip="Erickson, 2006 #636" w:history="1">
        <w:r w:rsidR="006C57ED">
          <w:rPr>
            <w:noProof/>
          </w:rPr>
          <w:t>Erickson &amp; Whited, 2006</w:t>
        </w:r>
      </w:hyperlink>
      <w:r w:rsidR="00B36073">
        <w:rPr>
          <w:noProof/>
        </w:rPr>
        <w:t>)</w:t>
      </w:r>
      <w:r w:rsidR="00B36073">
        <w:fldChar w:fldCharType="end"/>
      </w:r>
      <w:r w:rsidR="00A9097B">
        <w:t>, and given the relevance of</w:t>
      </w:r>
      <w:r>
        <w:t xml:space="preserve"> </w:t>
      </w:r>
      <w:r w:rsidR="009B5654">
        <w:t>earnings a</w:t>
      </w:r>
      <w:r>
        <w:t>nd earnings for</w:t>
      </w:r>
      <w:r w:rsidR="009B5654">
        <w:t>e</w:t>
      </w:r>
      <w:r>
        <w:t>casts to our announcement</w:t>
      </w:r>
      <w:r w:rsidR="00B36073">
        <w:t>s</w:t>
      </w:r>
      <w:r>
        <w:t xml:space="preserve">, </w:t>
      </w:r>
      <w:r w:rsidRPr="009B5654">
        <w:t xml:space="preserve">we </w:t>
      </w:r>
      <w:r w:rsidR="009B5654">
        <w:t>test the influence of</w:t>
      </w:r>
      <w:r w:rsidR="00A9097B" w:rsidRPr="00CF4E8D">
        <w:t xml:space="preserve"> earnings uncertainty and difficulty of earnings </w:t>
      </w:r>
      <w:r w:rsidR="00A9097B" w:rsidRPr="00A85113">
        <w:t>predictability</w:t>
      </w:r>
      <w:r w:rsidR="00B36073" w:rsidRPr="00A85113">
        <w:t xml:space="preserve"> </w:t>
      </w:r>
      <w:r w:rsidR="009B5654" w:rsidRPr="00A85113">
        <w:t>using</w:t>
      </w:r>
      <w:r w:rsidR="00A9097B" w:rsidRPr="00A85113">
        <w:t xml:space="preserve"> </w:t>
      </w:r>
      <w:r w:rsidR="00A9097B" w:rsidRPr="003D6E55">
        <w:rPr>
          <w:i/>
        </w:rPr>
        <w:t>SDEarn</w:t>
      </w:r>
      <w:r w:rsidR="00A9097B" w:rsidRPr="003D6E55">
        <w:t>.</w:t>
      </w:r>
      <w:r w:rsidR="00A9097B" w:rsidRPr="008F41FA">
        <w:t xml:space="preserve"> </w:t>
      </w:r>
    </w:p>
    <w:p w14:paraId="11380E3D" w14:textId="2B2E3C84" w:rsidR="009B5654" w:rsidRDefault="009B5654" w:rsidP="00A9097B">
      <w:pPr>
        <w:spacing w:line="360" w:lineRule="auto"/>
        <w:jc w:val="both"/>
      </w:pPr>
    </w:p>
    <w:p w14:paraId="6B2726DD" w14:textId="54282047" w:rsidR="00FC7157" w:rsidRDefault="009B5654" w:rsidP="00FC7157">
      <w:pPr>
        <w:spacing w:line="360" w:lineRule="auto"/>
        <w:jc w:val="both"/>
        <w:rPr>
          <w:rFonts w:ascii="Calibri" w:eastAsia="Calibri" w:hAnsi="Calibri" w:cs="Times New Roman"/>
        </w:rPr>
      </w:pPr>
      <w:r>
        <w:t xml:space="preserve">A further possibility is </w:t>
      </w:r>
      <w:r w:rsidR="0072604E">
        <w:t xml:space="preserve">the existence of </w:t>
      </w:r>
      <w:r>
        <w:t xml:space="preserve">an interaction between </w:t>
      </w:r>
      <w:r w:rsidR="002A64B7">
        <w:t>investment transparency</w:t>
      </w:r>
      <w:r>
        <w:t xml:space="preserve"> and historical earnings volatility. </w:t>
      </w:r>
      <w:r w:rsidR="004F0D33" w:rsidRPr="00CF4E8D">
        <w:t xml:space="preserve">For example, </w:t>
      </w:r>
      <w:r w:rsidR="00330F95" w:rsidRPr="00CF4E8D">
        <w:t>more extensive</w:t>
      </w:r>
      <w:r w:rsidR="00B36073" w:rsidRPr="00B36073">
        <w:t xml:space="preserve"> profit</w:t>
      </w:r>
      <w:r w:rsidR="00330F95" w:rsidRPr="00CF4E8D">
        <w:t xml:space="preserve"> forecasts</w:t>
      </w:r>
      <w:r w:rsidR="004F0D33" w:rsidRPr="00CF4E8D">
        <w:t xml:space="preserve"> may be relatively less informative </w:t>
      </w:r>
      <w:r w:rsidR="00330F95" w:rsidRPr="00CF4E8D">
        <w:t xml:space="preserve">in </w:t>
      </w:r>
      <w:r w:rsidR="00330F95" w:rsidRPr="00CF4E8D">
        <w:lastRenderedPageBreak/>
        <w:t xml:space="preserve">the presence of high </w:t>
      </w:r>
      <w:r w:rsidR="00FC7157" w:rsidRPr="00F747B7">
        <w:t xml:space="preserve">firm-level </w:t>
      </w:r>
      <w:r w:rsidR="00330F95" w:rsidRPr="00CF4E8D">
        <w:t xml:space="preserve">historical earnings volatility </w:t>
      </w:r>
      <w:r w:rsidR="004F0D33" w:rsidRPr="00CF4E8D">
        <w:t>as there is</w:t>
      </w:r>
      <w:r w:rsidR="00330F95" w:rsidRPr="00CF4E8D">
        <w:t xml:space="preserve"> </w:t>
      </w:r>
      <w:r w:rsidR="004F0D33" w:rsidRPr="00CF4E8D">
        <w:t>more ambiguity regarding the implications</w:t>
      </w:r>
      <w:r w:rsidR="00330F95" w:rsidRPr="00CF4E8D">
        <w:t xml:space="preserve"> and persistence </w:t>
      </w:r>
      <w:r w:rsidR="004F0D33" w:rsidRPr="00CF4E8D">
        <w:t xml:space="preserve">of the new information. This suggests that the market sensitivity to greater investment transparency may be weaker (stronger) when firm-level volatility of fundamentals is high (low). </w:t>
      </w:r>
      <w:r w:rsidRPr="00CF4E8D">
        <w:t xml:space="preserve">The variation in profit-related disclosures associated with our project announcements sample provides an opportunity to shed more light on this. </w:t>
      </w:r>
      <w:r w:rsidR="00A04C5A">
        <w:t>W</w:t>
      </w:r>
      <w:r w:rsidR="00A04C5A" w:rsidRPr="00CF4E8D">
        <w:t>e consider this</w:t>
      </w:r>
      <w:r w:rsidR="00A04C5A">
        <w:t xml:space="preserve"> in subsequent analys</w:t>
      </w:r>
      <w:r w:rsidR="00B36073">
        <w:t>e</w:t>
      </w:r>
      <w:r w:rsidR="00A04C5A">
        <w:t>s</w:t>
      </w:r>
      <w:r w:rsidR="00A04C5A" w:rsidRPr="00CF4E8D">
        <w:t xml:space="preserve"> by</w:t>
      </w:r>
      <w:r w:rsidRPr="00CF4E8D">
        <w:t xml:space="preserve"> adding an interaction</w:t>
      </w:r>
      <w:r w:rsidR="00A04C5A" w:rsidRPr="00CF4E8D">
        <w:t xml:space="preserve"> between our investment transparency measure and historical earnings volatility, </w:t>
      </w:r>
      <w:r w:rsidR="00A04C5A" w:rsidRPr="00B91328">
        <w:rPr>
          <w:rFonts w:ascii="Calibri" w:eastAsia="Calibri" w:hAnsi="Calibri" w:cs="Times New Roman"/>
          <w:i/>
        </w:rPr>
        <w:t>DQ</w:t>
      </w:r>
      <w:r w:rsidR="00A04C5A">
        <w:rPr>
          <w:rFonts w:ascii="Calibri" w:eastAsia="Calibri" w:hAnsi="Calibri" w:cs="Times New Roman"/>
          <w:i/>
        </w:rPr>
        <w:t xml:space="preserve"> </w:t>
      </w:r>
      <w:r w:rsidR="00A04C5A">
        <w:rPr>
          <w:rFonts w:ascii="Calibri" w:eastAsia="Calibri" w:hAnsi="Calibri" w:cs="Calibri"/>
          <w:i/>
        </w:rPr>
        <w:t xml:space="preserve">× </w:t>
      </w:r>
      <w:r w:rsidR="00A04C5A" w:rsidRPr="00FC7157">
        <w:rPr>
          <w:rFonts w:ascii="Calibri" w:eastAsia="Calibri" w:hAnsi="Calibri" w:cs="Calibri"/>
          <w:i/>
        </w:rPr>
        <w:t>SDEarn.</w:t>
      </w:r>
      <w:r w:rsidRPr="00CF4E8D">
        <w:t xml:space="preserve"> </w:t>
      </w:r>
      <w:r w:rsidR="00FC7157" w:rsidRPr="00FC7157">
        <w:rPr>
          <w:rFonts w:ascii="Calibri" w:eastAsia="Calibri" w:hAnsi="Calibri" w:cs="Times New Roman"/>
        </w:rPr>
        <w:t>If</w:t>
      </w:r>
      <w:r w:rsidR="00FC7157">
        <w:rPr>
          <w:rFonts w:ascii="Calibri" w:eastAsia="Calibri" w:hAnsi="Calibri" w:cs="Times New Roman"/>
        </w:rPr>
        <w:t xml:space="preserve"> event-window abnormal returns are less sensitive to the transparency of capital investments when firm-level historical earnings volatility is high, then a negative coefficient would be expected on the interaction term.</w:t>
      </w:r>
    </w:p>
    <w:p w14:paraId="3CF9D08B" w14:textId="77777777" w:rsidR="00FC7157" w:rsidRPr="007801A8" w:rsidRDefault="00FC7157" w:rsidP="004F0D33">
      <w:pPr>
        <w:spacing w:line="360" w:lineRule="auto"/>
        <w:jc w:val="both"/>
        <w:rPr>
          <w:highlight w:val="yellow"/>
        </w:rPr>
      </w:pPr>
    </w:p>
    <w:p w14:paraId="32D0AE0E" w14:textId="78C36A70" w:rsidR="00E37B69" w:rsidRDefault="008369A0" w:rsidP="00C05EFB">
      <w:pPr>
        <w:spacing w:line="360" w:lineRule="auto"/>
        <w:jc w:val="both"/>
        <w:rPr>
          <w:rFonts w:ascii="Calibri" w:eastAsia="Calibri" w:hAnsi="Calibri" w:cs="Calibri"/>
        </w:rPr>
      </w:pPr>
      <w:r>
        <w:t>Following previous research, o</w:t>
      </w:r>
      <w:r w:rsidR="008176D5">
        <w:t xml:space="preserve">ther variables </w:t>
      </w:r>
      <w:r w:rsidR="001239FB">
        <w:t>tha</w:t>
      </w:r>
      <w:r w:rsidR="001D1651">
        <w:t>t</w:t>
      </w:r>
      <w:r w:rsidR="001239FB">
        <w:t xml:space="preserve"> may </w:t>
      </w:r>
      <w:r w:rsidR="001D1651">
        <w:t>influ</w:t>
      </w:r>
      <w:r w:rsidR="00C55AC3">
        <w:t>e</w:t>
      </w:r>
      <w:r w:rsidR="001D1651">
        <w:t>nce</w:t>
      </w:r>
      <w:r w:rsidR="001239FB">
        <w:t xml:space="preserve"> announcement returns</w:t>
      </w:r>
      <w:r>
        <w:t xml:space="preserve"> a</w:t>
      </w:r>
      <w:r w:rsidR="001239FB">
        <w:t>re</w:t>
      </w:r>
      <w:r>
        <w:t xml:space="preserve"> leverage, cash flow, market to book ratio and </w:t>
      </w:r>
      <w:r w:rsidR="00B36073">
        <w:t>firm size</w:t>
      </w:r>
      <w:r>
        <w:t xml:space="preserve">. </w:t>
      </w:r>
      <w:r w:rsidR="00C23FFA">
        <w:t xml:space="preserve">Highly levered firms have higher default risk, while </w:t>
      </w:r>
      <w:r w:rsidR="00DF079C">
        <w:t xml:space="preserve">the commitment to pay debt may be a positive signal of the </w:t>
      </w:r>
      <w:r w:rsidR="00C23FFA">
        <w:t xml:space="preserve">judicious use of </w:t>
      </w:r>
      <w:r w:rsidR="00DF079C">
        <w:t>cash</w:t>
      </w:r>
      <w:r w:rsidR="00C23FFA">
        <w:t xml:space="preserve">, so </w:t>
      </w:r>
      <w:r w:rsidR="00C23FFA">
        <w:rPr>
          <w:i/>
        </w:rPr>
        <w:t>Debt</w:t>
      </w:r>
      <w:r w:rsidR="00C23FFA">
        <w:t xml:space="preserve"> is measured as total debt divided by total assets</w:t>
      </w:r>
      <w:r w:rsidR="00DF079C">
        <w:t xml:space="preserve"> </w:t>
      </w:r>
      <w:r w:rsidR="00DF079C">
        <w:fldChar w:fldCharType="begin"/>
      </w:r>
      <w:r w:rsidR="00DF079C">
        <w:instrText xml:space="preserve"> ADDIN EN.CITE &lt;EndNote&gt;&lt;Cite&gt;&lt;Author&gt;Chen&lt;/Author&gt;&lt;Year&gt;2006&lt;/Year&gt;&lt;RecNum&gt;363&lt;/RecNum&gt;&lt;DisplayText&gt;(Chen, 2006)&lt;/DisplayText&gt;&lt;record&gt;&lt;rec-number&gt;363&lt;/rec-number&gt;&lt;foreign-keys&gt;&lt;key app="EN" db-id="20p2wrv0m2av96e55d1pzxv2zxx5pvw55d55" timestamp="0"&gt;363&lt;/key&gt;&lt;/foreign-keys&gt;&lt;ref-type name="Journal Article"&gt;17&lt;/ref-type&gt;&lt;contributors&gt;&lt;authors&gt;&lt;author&gt;Chen, S. S.&lt;/author&gt;&lt;/authors&gt;&lt;/contributors&gt;&lt;titles&gt;&lt;title&gt;The economic impact of corporate capital expenditures: Focused firms versus diversified firms&lt;/title&gt;&lt;secondary-title&gt;Journal of Financial &amp;amp; Quantitative Analysis&lt;/secondary-title&gt;&lt;/titles&gt;&lt;pages&gt;341-355&lt;/pages&gt;&lt;volume&gt;41&lt;/volume&gt;&lt;number&gt;2&lt;/number&gt;&lt;keywords&gt;&lt;keyword&gt;CAPITAL investments&lt;/keyword&gt;&lt;keyword&gt;CAPITALISTS &amp;amp; financiers&lt;/keyword&gt;&lt;keyword&gt;STOCK companies&lt;/keyword&gt;&lt;keyword&gt;STOCK exchanges&lt;/keyword&gt;&lt;keyword&gt;ECONOMIC impact&lt;/keyword&gt;&lt;keyword&gt;DIVERSIFIED companies&lt;/keyword&gt;&lt;/keywords&gt;&lt;dates&gt;&lt;year&gt;2006&lt;/year&gt;&lt;pub-dates&gt;&lt;date&gt;2006/06//&lt;/date&gt;&lt;/pub-dates&gt;&lt;/dates&gt;&lt;isbn&gt;00221090&lt;/isbn&gt;&lt;label&gt;Event study/announcements/capital markets/stock returns/Tobin&amp;apos;s q/capital expenditures/Essay 3/methodology/operating performance&lt;/label&gt;&lt;work-type&gt;Article&lt;/work-type&gt;&lt;urls&gt;&lt;related-urls&gt;&lt;url&gt;http://ezproxy.massey.ac.nz/login?url=http://search.epnet.com/login.aspx?direct=true&amp;amp;AuthType=ip,cookie,url,uid&amp;amp;db=buh&amp;amp;an=21066561&lt;/url&gt;&lt;/related-urls&gt;&lt;/urls&gt;&lt;/record&gt;&lt;/Cite&gt;&lt;/EndNote&gt;</w:instrText>
      </w:r>
      <w:r w:rsidR="00DF079C">
        <w:fldChar w:fldCharType="separate"/>
      </w:r>
      <w:r w:rsidR="00DF079C">
        <w:rPr>
          <w:noProof/>
        </w:rPr>
        <w:t>(</w:t>
      </w:r>
      <w:hyperlink w:anchor="_ENREF_12" w:tooltip="Chen, 2006 #363" w:history="1">
        <w:r w:rsidR="006C57ED">
          <w:rPr>
            <w:noProof/>
          </w:rPr>
          <w:t>Chen, 2006</w:t>
        </w:r>
      </w:hyperlink>
      <w:r w:rsidR="00DF079C">
        <w:rPr>
          <w:noProof/>
        </w:rPr>
        <w:t>)</w:t>
      </w:r>
      <w:r w:rsidR="00DF079C">
        <w:fldChar w:fldCharType="end"/>
      </w:r>
      <w:r w:rsidR="00C23FFA">
        <w:t>.</w:t>
      </w:r>
      <w:r w:rsidR="005D6211">
        <w:t xml:space="preserve"> High free cash flow may result in agency costs if managers engage in wasteful spending </w:t>
      </w:r>
      <w:r w:rsidR="005D6211">
        <w:fldChar w:fldCharType="begin"/>
      </w:r>
      <w:r w:rsidR="005D6211">
        <w:instrText xml:space="preserve"> ADDIN EN.CITE &lt;EndNote&gt;&lt;Cite&gt;&lt;Author&gt;Jensen&lt;/Author&gt;&lt;Year&gt;1986&lt;/Year&gt;&lt;RecNum&gt;1906&lt;/RecNum&gt;&lt;DisplayText&gt;(Jensen, 1986)&lt;/DisplayText&gt;&lt;record&gt;&lt;rec-number&gt;1906&lt;/rec-number&gt;&lt;foreign-keys&gt;&lt;key app="EN" db-id="20p2wrv0m2av96e55d1pzxv2zxx5pvw55d55" timestamp="1423088548"&gt;1906&lt;/key&gt;&lt;/foreign-keys&gt;&lt;ref-type name="Journal Article"&gt;17&lt;/ref-type&gt;&lt;contributors&gt;&lt;authors&gt;&lt;author&gt;Jensen, M. C.&lt;/author&gt;&lt;/authors&gt;&lt;/contributors&gt;&lt;titles&gt;&lt;title&gt;Agency costs of free cash flow, corporate finance, and takeovers&lt;/title&gt;&lt;secondary-title&gt;American Economic Review&lt;/secondary-title&gt;&lt;/titles&gt;&lt;periodical&gt;&lt;full-title&gt;American Economic Review&lt;/full-title&gt;&lt;/periodical&gt;&lt;pages&gt;323-329&lt;/pages&gt;&lt;volume&gt;76&lt;/volume&gt;&lt;number&gt;2&lt;/number&gt;&lt;dates&gt;&lt;year&gt;1986&lt;/year&gt;&lt;pub-dates&gt;&lt;date&gt;May&lt;/date&gt;&lt;/pub-dates&gt;&lt;/dates&gt;&lt;isbn&gt;0002-8282&lt;/isbn&gt;&lt;accession-num&gt;WOS:A1986C125500066&lt;/accession-num&gt;&lt;urls&gt;&lt;related-urls&gt;&lt;url&gt;&amp;lt;Go to ISI&amp;gt;://WOS:A1986C125500066&lt;/url&gt;&lt;/related-urls&gt;&lt;/urls&gt;&lt;/record&gt;&lt;/Cite&gt;&lt;/EndNote&gt;</w:instrText>
      </w:r>
      <w:r w:rsidR="005D6211">
        <w:fldChar w:fldCharType="separate"/>
      </w:r>
      <w:r w:rsidR="005D6211">
        <w:rPr>
          <w:noProof/>
        </w:rPr>
        <w:t>(</w:t>
      </w:r>
      <w:hyperlink w:anchor="_ENREF_32" w:tooltip="Jensen, 1986 #1906" w:history="1">
        <w:r w:rsidR="006C57ED">
          <w:rPr>
            <w:noProof/>
          </w:rPr>
          <w:t>Jensen, 1986</w:t>
        </w:r>
      </w:hyperlink>
      <w:r w:rsidR="005D6211">
        <w:rPr>
          <w:noProof/>
        </w:rPr>
        <w:t>)</w:t>
      </w:r>
      <w:r w:rsidR="005D6211">
        <w:fldChar w:fldCharType="end"/>
      </w:r>
      <w:r w:rsidR="005D6211">
        <w:t xml:space="preserve">, so we control for </w:t>
      </w:r>
      <w:r w:rsidR="000956C7">
        <w:t>this as follows</w:t>
      </w:r>
      <w:r w:rsidR="005D6211">
        <w:t xml:space="preserve">. </w:t>
      </w:r>
      <w:r w:rsidR="000956C7">
        <w:t>C</w:t>
      </w:r>
      <w:r w:rsidR="00BD0267">
        <w:t xml:space="preserve">ash flow is defined as operating income before depreciation and amortisation minus interest, taxes and dividends </w:t>
      </w:r>
      <w:r w:rsidR="00BD0267">
        <w:fldChar w:fldCharType="begin"/>
      </w:r>
      <w:r w:rsidR="00BD0267">
        <w:instrText xml:space="preserve"> ADDIN EN.CITE &lt;EndNote&gt;&lt;Cite&gt;&lt;Author&gt;Brailsford&lt;/Author&gt;&lt;Year&gt;2004&lt;/Year&gt;&lt;RecNum&gt;626&lt;/RecNum&gt;&lt;DisplayText&gt;(Brailsford &amp;amp; Yeoh, 2004)&lt;/DisplayText&gt;&lt;record&gt;&lt;rec-number&gt;626&lt;/rec-number&gt;&lt;foreign-keys&gt;&lt;key app="EN" db-id="20p2wrv0m2av96e55d1pzxv2zxx5pvw55d55" timestamp="0"&gt;626&lt;/key&gt;&lt;/foreign-keys&gt;&lt;ref-type name="Journal Article"&gt;17&lt;/ref-type&gt;&lt;contributors&gt;&lt;authors&gt;&lt;author&gt;Brailsford, T. J.&lt;/author&gt;&lt;author&gt;Yeoh, D.&lt;/author&gt;&lt;/authors&gt;&lt;/contributors&gt;&lt;titles&gt;&lt;title&gt;Agency problems and capital expenditure announcements&lt;/title&gt;&lt;secondary-title&gt;Journal of Business&lt;/secondary-title&gt;&lt;/titles&gt;&lt;periodical&gt;&lt;full-title&gt;Journal of Business&lt;/full-title&gt;&lt;/periodical&gt;&lt;pages&gt;223-256&lt;/pages&gt;&lt;volume&gt;77&lt;/volume&gt;&lt;number&gt;2&lt;/number&gt;&lt;keywords&gt;&lt;keyword&gt;FREE CASH FLOW&lt;/keyword&gt;&lt;keyword&gt;INCREMENTAL INFORMATION-CONTENT&lt;/keyword&gt;&lt;keyword&gt;INVESTMENT&lt;/keyword&gt;&lt;keyword&gt;OPPORTUNITIES&lt;/keyword&gt;&lt;keyword&gt;STOCK RETURNS&lt;/keyword&gt;&lt;keyword&gt;OWNERSHIP STRUCTURE&lt;/keyword&gt;&lt;keyword&gt;FINANCING POLICIES&lt;/keyword&gt;&lt;keyword&gt;EMPIRICAL-ANALYSIS&lt;/keyword&gt;&lt;keyword&gt;TRANSACTIONS DATA&lt;/keyword&gt;&lt;keyword&gt;CORPORATE VALUE&lt;/keyword&gt;&lt;keyword&gt;NYSE STOCKS&lt;/keyword&gt;&lt;/keywords&gt;&lt;dates&gt;&lt;year&gt;2004&lt;/year&gt;&lt;pub-dates&gt;&lt;date&gt;Apr&lt;/date&gt;&lt;/pub-dates&gt;&lt;/dates&gt;&lt;isbn&gt;0021-9398&lt;/isbn&gt;&lt;accession-num&gt;ISI:000221650900001&lt;/accession-num&gt;&lt;label&gt;announcements/capital expenditures/Tobin&amp;apos;s q/stock returns/event study/regression/essay 1/essay 3&lt;/label&gt;&lt;urls&gt;&lt;related-urls&gt;&lt;url&gt;&amp;lt;Go to ISI&amp;gt;://000221650900001 &lt;/url&gt;&lt;/related-urls&gt;&lt;/urls&gt;&lt;/record&gt;&lt;/Cite&gt;&lt;/EndNote&gt;</w:instrText>
      </w:r>
      <w:r w:rsidR="00BD0267">
        <w:fldChar w:fldCharType="separate"/>
      </w:r>
      <w:r w:rsidR="00BD0267">
        <w:rPr>
          <w:noProof/>
        </w:rPr>
        <w:t>(</w:t>
      </w:r>
      <w:hyperlink w:anchor="_ENREF_8" w:tooltip="Brailsford, 2004 #626" w:history="1">
        <w:r w:rsidR="006C57ED">
          <w:rPr>
            <w:noProof/>
          </w:rPr>
          <w:t>Brailsford &amp; Yeoh, 2004</w:t>
        </w:r>
      </w:hyperlink>
      <w:r w:rsidR="00BD0267">
        <w:rPr>
          <w:noProof/>
        </w:rPr>
        <w:t>)</w:t>
      </w:r>
      <w:r w:rsidR="00BD0267">
        <w:fldChar w:fldCharType="end"/>
      </w:r>
      <w:r w:rsidR="000956C7">
        <w:t>, then</w:t>
      </w:r>
      <w:r w:rsidR="00BD0267">
        <w:t xml:space="preserve"> a dummy variable </w:t>
      </w:r>
      <w:r w:rsidR="00472F2D" w:rsidRPr="00BD0267">
        <w:rPr>
          <w:rFonts w:ascii="Calibri" w:eastAsia="Times New Roman" w:hAnsi="Calibri" w:cs="Times New Roman"/>
          <w:i/>
          <w:color w:val="000000"/>
          <w:lang w:eastAsia="en-NZ"/>
        </w:rPr>
        <w:t>CFD</w:t>
      </w:r>
      <w:r w:rsidR="00472F2D" w:rsidRPr="00BD0267">
        <w:rPr>
          <w:rFonts w:ascii="Calibri" w:eastAsia="Times New Roman" w:hAnsi="Calibri" w:cs="Times New Roman"/>
          <w:i/>
          <w:color w:val="000000"/>
          <w:vertAlign w:val="subscript"/>
          <w:lang w:eastAsia="en-NZ"/>
        </w:rPr>
        <w:t>H</w:t>
      </w:r>
      <w:r w:rsidR="00472F2D">
        <w:t xml:space="preserve"> </w:t>
      </w:r>
      <w:r w:rsidR="00BD0267">
        <w:t>equal to one is created when</w:t>
      </w:r>
      <w:r w:rsidR="000956C7">
        <w:t xml:space="preserve"> a</w:t>
      </w:r>
      <w:r w:rsidR="00BD0267">
        <w:t xml:space="preserve"> firm</w:t>
      </w:r>
      <w:r w:rsidR="000956C7">
        <w:t>’s</w:t>
      </w:r>
      <w:r w:rsidR="00BD0267">
        <w:t xml:space="preserve"> cash flow is above the median </w:t>
      </w:r>
      <w:r w:rsidR="00472F2D">
        <w:t xml:space="preserve">cash flow </w:t>
      </w:r>
      <w:r w:rsidR="00BD0267">
        <w:t xml:space="preserve">for </w:t>
      </w:r>
      <w:r w:rsidR="00BD0267" w:rsidRPr="007723B6">
        <w:t>all firms</w:t>
      </w:r>
      <w:r w:rsidR="000956C7" w:rsidRPr="007723B6">
        <w:rPr>
          <w:rFonts w:ascii="Calibri" w:eastAsia="Times New Roman" w:hAnsi="Calibri" w:cs="Times New Roman"/>
          <w:color w:val="000000"/>
          <w:lang w:eastAsia="en-NZ"/>
        </w:rPr>
        <w:t xml:space="preserve">. </w:t>
      </w:r>
      <w:r w:rsidR="00472F2D" w:rsidRPr="007723B6">
        <w:t xml:space="preserve">Firms with greater future investment opportunities are able to invest in positive NPV investments, and on average stock prices react positively upon their announcement </w:t>
      </w:r>
      <w:r w:rsidR="00472F2D" w:rsidRPr="007723B6">
        <w:fldChar w:fldCharType="begin"/>
      </w:r>
      <w:r w:rsidR="00472F2D" w:rsidRPr="007723B6">
        <w:instrText xml:space="preserve"> ADDIN EN.CITE &lt;EndNote&gt;&lt;Cite&gt;&lt;Author&gt;Lang&lt;/Author&gt;&lt;Year&gt;1989&lt;/Year&gt;&lt;RecNum&gt;897&lt;/RecNum&gt;&lt;DisplayText&gt;(Lang, Stulz, &amp;amp; Walkling, 1989)&lt;/DisplayText&gt;&lt;record&gt;&lt;rec-number&gt;897&lt;/rec-number&gt;&lt;foreign-keys&gt;&lt;key app="EN" db-id="20p2wrv0m2av96e55d1pzxv2zxx5pvw55d55" timestamp="0"&gt;897&lt;/key&gt;&lt;/foreign-keys&gt;&lt;ref-type name="Journal Article"&gt;17&lt;/ref-type&gt;&lt;contributors&gt;&lt;authors&gt;&lt;author&gt;Lang, Larry H. P.&lt;/author&gt;&lt;author&gt;Stulz, R. M.&lt;/author&gt;&lt;author&gt;Walkling, R. A.&lt;/author&gt;&lt;/authors&gt;&lt;/contributors&gt;&lt;titles&gt;&lt;title&gt;Managerial performance, Tobin&amp;apos;s q, and the gains from successful tender offers&lt;/title&gt;&lt;secondary-title&gt;Journal of Financial Economics&lt;/secondary-title&gt;&lt;/titles&gt;&lt;periodical&gt;&lt;full-title&gt;Journal of Financial Economics&lt;/full-title&gt;&lt;/periodical&gt;&lt;pages&gt;137-154&lt;/pages&gt;&lt;volume&gt;24&lt;/volume&gt;&lt;number&gt;1&lt;/number&gt;&lt;dates&gt;&lt;year&gt;1989&lt;/year&gt;&lt;pub-dates&gt;&lt;date&gt;Sep&lt;/date&gt;&lt;/pub-dates&gt;&lt;/dates&gt;&lt;isbn&gt;0304-405X&lt;/isbn&gt;&lt;accession-num&gt;ISI:A1989CE39400007&lt;/accession-num&gt;&lt;label&gt;Essay 1&lt;/label&gt;&lt;urls&gt;&lt;related-urls&gt;&lt;url&gt;&amp;lt;Go to ISI&amp;gt;://A1989CE39400007 &lt;/url&gt;&lt;/related-urls&gt;&lt;/urls&gt;&lt;/record&gt;&lt;/Cite&gt;&lt;/EndNote&gt;</w:instrText>
      </w:r>
      <w:r w:rsidR="00472F2D" w:rsidRPr="007723B6">
        <w:fldChar w:fldCharType="separate"/>
      </w:r>
      <w:r w:rsidR="00472F2D" w:rsidRPr="007723B6">
        <w:rPr>
          <w:noProof/>
        </w:rPr>
        <w:t>(</w:t>
      </w:r>
      <w:hyperlink w:anchor="_ENREF_37" w:tooltip="Lang, 1989 #897" w:history="1">
        <w:r w:rsidR="006C57ED" w:rsidRPr="007723B6">
          <w:rPr>
            <w:noProof/>
          </w:rPr>
          <w:t>Lang, Stulz, &amp; Walkling, 1989</w:t>
        </w:r>
      </w:hyperlink>
      <w:r w:rsidR="00472F2D" w:rsidRPr="007723B6">
        <w:rPr>
          <w:noProof/>
        </w:rPr>
        <w:t>)</w:t>
      </w:r>
      <w:r w:rsidR="00472F2D" w:rsidRPr="007723B6">
        <w:fldChar w:fldCharType="end"/>
      </w:r>
      <w:r w:rsidR="00472F2D" w:rsidRPr="007723B6">
        <w:t>. Conversely</w:t>
      </w:r>
      <w:r w:rsidR="00472F2D">
        <w:t>, i</w:t>
      </w:r>
      <w:r w:rsidR="000956C7">
        <w:rPr>
          <w:rFonts w:ascii="Calibri" w:eastAsia="Times New Roman" w:hAnsi="Calibri" w:cs="Times New Roman"/>
          <w:color w:val="000000"/>
          <w:lang w:eastAsia="en-NZ"/>
        </w:rPr>
        <w:t xml:space="preserve">nvestors may react negatively to project announcements when firms have poor investment opportunities </w:t>
      </w:r>
      <w:r w:rsidR="000956C7">
        <w:rPr>
          <w:rFonts w:ascii="Calibri" w:eastAsia="Times New Roman" w:hAnsi="Calibri" w:cs="Times New Roman"/>
          <w:color w:val="000000"/>
          <w:lang w:eastAsia="en-NZ"/>
        </w:rPr>
        <w:fldChar w:fldCharType="begin"/>
      </w:r>
      <w:r w:rsidR="000956C7">
        <w:rPr>
          <w:rFonts w:ascii="Calibri" w:eastAsia="Times New Roman" w:hAnsi="Calibri" w:cs="Times New Roman"/>
          <w:color w:val="000000"/>
          <w:lang w:eastAsia="en-NZ"/>
        </w:rPr>
        <w:instrText xml:space="preserve"> ADDIN EN.CITE &lt;EndNote&gt;&lt;Cite&gt;&lt;Author&gt;Brailsford&lt;/Author&gt;&lt;Year&gt;2004&lt;/Year&gt;&lt;RecNum&gt;626&lt;/RecNum&gt;&lt;DisplayText&gt;(Brailsford &amp;amp; Yeoh, 2004)&lt;/DisplayText&gt;&lt;record&gt;&lt;rec-number&gt;626&lt;/rec-number&gt;&lt;foreign-keys&gt;&lt;key app="EN" db-id="20p2wrv0m2av96e55d1pzxv2zxx5pvw55d55" timestamp="0"&gt;626&lt;/key&gt;&lt;/foreign-keys&gt;&lt;ref-type name="Journal Article"&gt;17&lt;/ref-type&gt;&lt;contributors&gt;&lt;authors&gt;&lt;author&gt;Brailsford, T. J.&lt;/author&gt;&lt;author&gt;Yeoh, D.&lt;/author&gt;&lt;/authors&gt;&lt;/contributors&gt;&lt;titles&gt;&lt;title&gt;Agency problems and capital expenditure announcements&lt;/title&gt;&lt;secondary-title&gt;Journal of Business&lt;/secondary-title&gt;&lt;/titles&gt;&lt;periodical&gt;&lt;full-title&gt;Journal of Business&lt;/full-title&gt;&lt;/periodical&gt;&lt;pages&gt;223-256&lt;/pages&gt;&lt;volume&gt;77&lt;/volume&gt;&lt;number&gt;2&lt;/number&gt;&lt;keywords&gt;&lt;keyword&gt;FREE CASH FLOW&lt;/keyword&gt;&lt;keyword&gt;INCREMENTAL INFORMATION-CONTENT&lt;/keyword&gt;&lt;keyword&gt;INVESTMENT&lt;/keyword&gt;&lt;keyword&gt;OPPORTUNITIES&lt;/keyword&gt;&lt;keyword&gt;STOCK RETURNS&lt;/keyword&gt;&lt;keyword&gt;OWNERSHIP STRUCTURE&lt;/keyword&gt;&lt;keyword&gt;FINANCING POLICIES&lt;/keyword&gt;&lt;keyword&gt;EMPIRICAL-ANALYSIS&lt;/keyword&gt;&lt;keyword&gt;TRANSACTIONS DATA&lt;/keyword&gt;&lt;keyword&gt;CORPORATE VALUE&lt;/keyword&gt;&lt;keyword&gt;NYSE STOCKS&lt;/keyword&gt;&lt;/keywords&gt;&lt;dates&gt;&lt;year&gt;2004&lt;/year&gt;&lt;pub-dates&gt;&lt;date&gt;Apr&lt;/date&gt;&lt;/pub-dates&gt;&lt;/dates&gt;&lt;isbn&gt;0021-9398&lt;/isbn&gt;&lt;accession-num&gt;ISI:000221650900001&lt;/accession-num&gt;&lt;label&gt;announcements/capital expenditures/Tobin&amp;apos;s q/stock returns/event study/regression/essay 1/essay 3&lt;/label&gt;&lt;urls&gt;&lt;related-urls&gt;&lt;url&gt;&amp;lt;Go to ISI&amp;gt;://000221650900001 &lt;/url&gt;&lt;/related-urls&gt;&lt;/urls&gt;&lt;/record&gt;&lt;/Cite&gt;&lt;/EndNote&gt;</w:instrText>
      </w:r>
      <w:r w:rsidR="000956C7">
        <w:rPr>
          <w:rFonts w:ascii="Calibri" w:eastAsia="Times New Roman" w:hAnsi="Calibri" w:cs="Times New Roman"/>
          <w:color w:val="000000"/>
          <w:lang w:eastAsia="en-NZ"/>
        </w:rPr>
        <w:fldChar w:fldCharType="separate"/>
      </w:r>
      <w:r w:rsidR="000956C7">
        <w:rPr>
          <w:rFonts w:ascii="Calibri" w:eastAsia="Times New Roman" w:hAnsi="Calibri" w:cs="Times New Roman"/>
          <w:noProof/>
          <w:color w:val="000000"/>
          <w:lang w:eastAsia="en-NZ"/>
        </w:rPr>
        <w:t>(</w:t>
      </w:r>
      <w:hyperlink w:anchor="_ENREF_8" w:tooltip="Brailsford, 2004 #626" w:history="1">
        <w:r w:rsidR="006C57ED">
          <w:rPr>
            <w:rFonts w:ascii="Calibri" w:eastAsia="Times New Roman" w:hAnsi="Calibri" w:cs="Times New Roman"/>
            <w:noProof/>
            <w:color w:val="000000"/>
            <w:lang w:eastAsia="en-NZ"/>
          </w:rPr>
          <w:t>Brailsford &amp; Yeoh, 2004</w:t>
        </w:r>
      </w:hyperlink>
      <w:r w:rsidR="000956C7">
        <w:rPr>
          <w:rFonts w:ascii="Calibri" w:eastAsia="Times New Roman" w:hAnsi="Calibri" w:cs="Times New Roman"/>
          <w:noProof/>
          <w:color w:val="000000"/>
          <w:lang w:eastAsia="en-NZ"/>
        </w:rPr>
        <w:t>)</w:t>
      </w:r>
      <w:r w:rsidR="000956C7">
        <w:rPr>
          <w:rFonts w:ascii="Calibri" w:eastAsia="Times New Roman" w:hAnsi="Calibri" w:cs="Times New Roman"/>
          <w:color w:val="000000"/>
          <w:lang w:eastAsia="en-NZ"/>
        </w:rPr>
        <w:fldChar w:fldCharType="end"/>
      </w:r>
      <w:r w:rsidR="000956C7">
        <w:rPr>
          <w:rFonts w:ascii="Calibri" w:eastAsia="Times New Roman" w:hAnsi="Calibri" w:cs="Times New Roman"/>
          <w:color w:val="000000"/>
          <w:lang w:eastAsia="en-NZ"/>
        </w:rPr>
        <w:t>, so to control for this</w:t>
      </w:r>
      <w:r w:rsidR="00472F2D">
        <w:rPr>
          <w:rFonts w:ascii="Calibri" w:eastAsia="Times New Roman" w:hAnsi="Calibri" w:cs="Times New Roman"/>
          <w:color w:val="000000"/>
          <w:lang w:eastAsia="en-NZ"/>
        </w:rPr>
        <w:t>,</w:t>
      </w:r>
      <w:r w:rsidR="000956C7">
        <w:rPr>
          <w:rFonts w:ascii="Calibri" w:eastAsia="Times New Roman" w:hAnsi="Calibri" w:cs="Times New Roman"/>
          <w:color w:val="000000"/>
          <w:lang w:eastAsia="en-NZ"/>
        </w:rPr>
        <w:t xml:space="preserve"> a dummy variable</w:t>
      </w:r>
      <w:r w:rsidR="00472F2D">
        <w:rPr>
          <w:rFonts w:ascii="Calibri" w:eastAsia="Times New Roman" w:hAnsi="Calibri" w:cs="Times New Roman"/>
          <w:color w:val="000000"/>
          <w:lang w:eastAsia="en-NZ"/>
        </w:rPr>
        <w:t xml:space="preserve"> </w:t>
      </w:r>
      <w:r w:rsidR="00472F2D" w:rsidRPr="000956C7">
        <w:rPr>
          <w:rFonts w:ascii="Calibri" w:eastAsia="Times New Roman" w:hAnsi="Calibri" w:cs="Times New Roman"/>
          <w:i/>
          <w:color w:val="000000"/>
          <w:lang w:eastAsia="en-NZ"/>
        </w:rPr>
        <w:t>MBD</w:t>
      </w:r>
      <w:r w:rsidR="00472F2D" w:rsidRPr="000956C7">
        <w:rPr>
          <w:rFonts w:ascii="Calibri" w:eastAsia="Times New Roman" w:hAnsi="Calibri" w:cs="Times New Roman"/>
          <w:i/>
          <w:color w:val="000000"/>
          <w:vertAlign w:val="subscript"/>
          <w:lang w:eastAsia="en-NZ"/>
        </w:rPr>
        <w:t>L</w:t>
      </w:r>
      <w:r w:rsidR="000956C7">
        <w:rPr>
          <w:rFonts w:ascii="Calibri" w:eastAsia="Times New Roman" w:hAnsi="Calibri" w:cs="Times New Roman"/>
          <w:color w:val="000000"/>
          <w:lang w:eastAsia="en-NZ"/>
        </w:rPr>
        <w:t xml:space="preserve"> equal to one is created when a firm’s market to book ratio </w:t>
      </w:r>
      <w:r w:rsidR="000956C7" w:rsidRPr="00BC1909">
        <w:rPr>
          <w:rFonts w:ascii="Calibri" w:eastAsia="Times New Roman" w:hAnsi="Calibri" w:cs="Times New Roman"/>
          <w:i/>
          <w:color w:val="000000"/>
          <w:lang w:eastAsia="en-NZ"/>
        </w:rPr>
        <w:t>(MB)</w:t>
      </w:r>
      <w:r w:rsidR="000956C7">
        <w:rPr>
          <w:rFonts w:ascii="Calibri" w:eastAsia="Times New Roman" w:hAnsi="Calibri" w:cs="Times New Roman"/>
          <w:color w:val="000000"/>
          <w:lang w:eastAsia="en-NZ"/>
        </w:rPr>
        <w:t xml:space="preserve"> is below the median </w:t>
      </w:r>
      <w:r w:rsidR="000956C7" w:rsidRPr="00BC1909">
        <w:rPr>
          <w:rFonts w:ascii="Calibri" w:eastAsia="Times New Roman" w:hAnsi="Calibri" w:cs="Times New Roman"/>
          <w:i/>
          <w:color w:val="000000"/>
          <w:lang w:eastAsia="en-NZ"/>
        </w:rPr>
        <w:t>MB</w:t>
      </w:r>
      <w:r w:rsidR="000956C7">
        <w:rPr>
          <w:rFonts w:ascii="Calibri" w:eastAsia="Times New Roman" w:hAnsi="Calibri" w:cs="Times New Roman"/>
          <w:color w:val="000000"/>
          <w:lang w:eastAsia="en-NZ"/>
        </w:rPr>
        <w:t xml:space="preserve"> for all firms.</w:t>
      </w:r>
      <w:r w:rsidR="00472F2D">
        <w:rPr>
          <w:rFonts w:ascii="Calibri" w:eastAsia="Times New Roman" w:hAnsi="Calibri" w:cs="Times New Roman"/>
          <w:color w:val="000000"/>
          <w:lang w:eastAsia="en-NZ"/>
        </w:rPr>
        <w:t xml:space="preserve"> </w:t>
      </w:r>
      <w:r w:rsidR="00472F2D" w:rsidRPr="00BC1909">
        <w:rPr>
          <w:rFonts w:ascii="Calibri" w:eastAsia="Times New Roman" w:hAnsi="Calibri" w:cs="Times New Roman"/>
          <w:i/>
          <w:color w:val="000000"/>
          <w:lang w:eastAsia="en-NZ"/>
        </w:rPr>
        <w:t>MB</w:t>
      </w:r>
      <w:r w:rsidR="00472F2D">
        <w:rPr>
          <w:rFonts w:ascii="Calibri" w:eastAsia="Times New Roman" w:hAnsi="Calibri" w:cs="Times New Roman"/>
          <w:color w:val="000000"/>
          <w:lang w:eastAsia="en-NZ"/>
        </w:rPr>
        <w:t xml:space="preserve"> is measured as the market value of equity plus total assets minus book value of equity divided by total assets. Firms with high cash flows and poor investment opportunities that announce new projects may be destroying shareholder wealth, </w:t>
      </w:r>
      <w:r w:rsidR="002D4711">
        <w:rPr>
          <w:rFonts w:ascii="Calibri" w:eastAsia="Times New Roman" w:hAnsi="Calibri" w:cs="Times New Roman"/>
          <w:color w:val="000000"/>
          <w:lang w:eastAsia="en-NZ"/>
        </w:rPr>
        <w:t xml:space="preserve">resulting in a negative stock market reaction, so we follow Brailsford and Yeoh </w:t>
      </w:r>
      <w:r w:rsidR="002D4711">
        <w:rPr>
          <w:rFonts w:ascii="Calibri" w:eastAsia="Times New Roman" w:hAnsi="Calibri" w:cs="Times New Roman"/>
          <w:color w:val="000000"/>
          <w:lang w:eastAsia="en-NZ"/>
        </w:rPr>
        <w:fldChar w:fldCharType="begin"/>
      </w:r>
      <w:r w:rsidR="002D4711">
        <w:rPr>
          <w:rFonts w:ascii="Calibri" w:eastAsia="Times New Roman" w:hAnsi="Calibri" w:cs="Times New Roman"/>
          <w:color w:val="000000"/>
          <w:lang w:eastAsia="en-NZ"/>
        </w:rPr>
        <w:instrText xml:space="preserve"> ADDIN EN.CITE &lt;EndNote&gt;&lt;Cite ExcludeAuth="1"&gt;&lt;Author&gt;Brailsford&lt;/Author&gt;&lt;Year&gt;2004&lt;/Year&gt;&lt;RecNum&gt;626&lt;/RecNum&gt;&lt;DisplayText&gt;(2004)&lt;/DisplayText&gt;&lt;record&gt;&lt;rec-number&gt;626&lt;/rec-number&gt;&lt;foreign-keys&gt;&lt;key app="EN" db-id="20p2wrv0m2av96e55d1pzxv2zxx5pvw55d55" timestamp="0"&gt;626&lt;/key&gt;&lt;/foreign-keys&gt;&lt;ref-type name="Journal Article"&gt;17&lt;/ref-type&gt;&lt;contributors&gt;&lt;authors&gt;&lt;author&gt;Brailsford, T. J.&lt;/author&gt;&lt;author&gt;Yeoh, D.&lt;/author&gt;&lt;/authors&gt;&lt;/contributors&gt;&lt;titles&gt;&lt;title&gt;Agency problems and capital expenditure announcements&lt;/title&gt;&lt;secondary-title&gt;Journal of Business&lt;/secondary-title&gt;&lt;/titles&gt;&lt;periodical&gt;&lt;full-title&gt;Journal of Business&lt;/full-title&gt;&lt;/periodical&gt;&lt;pages&gt;223-256&lt;/pages&gt;&lt;volume&gt;77&lt;/volume&gt;&lt;number&gt;2&lt;/number&gt;&lt;keywords&gt;&lt;keyword&gt;FREE CASH FLOW&lt;/keyword&gt;&lt;keyword&gt;INCREMENTAL INFORMATION-CONTENT&lt;/keyword&gt;&lt;keyword&gt;INVESTMENT&lt;/keyword&gt;&lt;keyword&gt;OPPORTUNITIES&lt;/keyword&gt;&lt;keyword&gt;STOCK RETURNS&lt;/keyword&gt;&lt;keyword&gt;OWNERSHIP STRUCTURE&lt;/keyword&gt;&lt;keyword&gt;FINANCING POLICIES&lt;/keyword&gt;&lt;keyword&gt;EMPIRICAL-ANALYSIS&lt;/keyword&gt;&lt;keyword&gt;TRANSACTIONS DATA&lt;/keyword&gt;&lt;keyword&gt;CORPORATE VALUE&lt;/keyword&gt;&lt;keyword&gt;NYSE STOCKS&lt;/keyword&gt;&lt;/keywords&gt;&lt;dates&gt;&lt;year&gt;2004&lt;/year&gt;&lt;pub-dates&gt;&lt;date&gt;Apr&lt;/date&gt;&lt;/pub-dates&gt;&lt;/dates&gt;&lt;isbn&gt;0021-9398&lt;/isbn&gt;&lt;accession-num&gt;ISI:000221650900001&lt;/accession-num&gt;&lt;label&gt;announcements/capital expenditures/Tobin&amp;apos;s q/stock returns/event study/regression/essay 1/essay 3&lt;/label&gt;&lt;urls&gt;&lt;related-urls&gt;&lt;url&gt;&amp;lt;Go to ISI&amp;gt;://000221650900001 &lt;/url&gt;&lt;/related-urls&gt;&lt;/urls&gt;&lt;/record&gt;&lt;/Cite&gt;&lt;/EndNote&gt;</w:instrText>
      </w:r>
      <w:r w:rsidR="002D4711">
        <w:rPr>
          <w:rFonts w:ascii="Calibri" w:eastAsia="Times New Roman" w:hAnsi="Calibri" w:cs="Times New Roman"/>
          <w:color w:val="000000"/>
          <w:lang w:eastAsia="en-NZ"/>
        </w:rPr>
        <w:fldChar w:fldCharType="separate"/>
      </w:r>
      <w:r w:rsidR="002D4711">
        <w:rPr>
          <w:rFonts w:ascii="Calibri" w:eastAsia="Times New Roman" w:hAnsi="Calibri" w:cs="Times New Roman"/>
          <w:noProof/>
          <w:color w:val="000000"/>
          <w:lang w:eastAsia="en-NZ"/>
        </w:rPr>
        <w:t>(</w:t>
      </w:r>
      <w:hyperlink w:anchor="_ENREF_8" w:tooltip="Brailsford, 2004 #626" w:history="1">
        <w:r w:rsidR="006C57ED">
          <w:rPr>
            <w:rFonts w:ascii="Calibri" w:eastAsia="Times New Roman" w:hAnsi="Calibri" w:cs="Times New Roman"/>
            <w:noProof/>
            <w:color w:val="000000"/>
            <w:lang w:eastAsia="en-NZ"/>
          </w:rPr>
          <w:t>2004</w:t>
        </w:r>
      </w:hyperlink>
      <w:r w:rsidR="002D4711">
        <w:rPr>
          <w:rFonts w:ascii="Calibri" w:eastAsia="Times New Roman" w:hAnsi="Calibri" w:cs="Times New Roman"/>
          <w:noProof/>
          <w:color w:val="000000"/>
          <w:lang w:eastAsia="en-NZ"/>
        </w:rPr>
        <w:t>)</w:t>
      </w:r>
      <w:r w:rsidR="002D4711">
        <w:rPr>
          <w:rFonts w:ascii="Calibri" w:eastAsia="Times New Roman" w:hAnsi="Calibri" w:cs="Times New Roman"/>
          <w:color w:val="000000"/>
          <w:lang w:eastAsia="en-NZ"/>
        </w:rPr>
        <w:fldChar w:fldCharType="end"/>
      </w:r>
      <w:r w:rsidR="002D4711">
        <w:rPr>
          <w:rFonts w:ascii="Calibri" w:eastAsia="Times New Roman" w:hAnsi="Calibri" w:cs="Times New Roman"/>
          <w:color w:val="000000"/>
          <w:lang w:eastAsia="en-NZ"/>
        </w:rPr>
        <w:t xml:space="preserve"> by interacting the variables </w:t>
      </w:r>
      <w:r w:rsidR="002D4711" w:rsidRPr="00B91328">
        <w:rPr>
          <w:rFonts w:ascii="Calibri" w:eastAsia="Calibri" w:hAnsi="Calibri" w:cs="Times New Roman"/>
          <w:i/>
        </w:rPr>
        <w:t>MB</w:t>
      </w:r>
      <w:r w:rsidR="002D4711">
        <w:rPr>
          <w:rFonts w:ascii="Calibri" w:eastAsia="Calibri" w:hAnsi="Calibri" w:cs="Times New Roman"/>
          <w:i/>
        </w:rPr>
        <w:t>D</w:t>
      </w:r>
      <w:r w:rsidR="002D4711">
        <w:rPr>
          <w:rFonts w:ascii="Calibri" w:eastAsia="Calibri" w:hAnsi="Calibri" w:cs="Times New Roman"/>
          <w:i/>
          <w:vertAlign w:val="subscript"/>
        </w:rPr>
        <w:t xml:space="preserve">L </w:t>
      </w:r>
      <w:r w:rsidR="002D4711">
        <w:rPr>
          <w:rFonts w:ascii="Calibri" w:eastAsia="Calibri" w:hAnsi="Calibri" w:cs="Calibri"/>
          <w:i/>
        </w:rPr>
        <w:t>× CFD</w:t>
      </w:r>
      <w:r w:rsidR="002D4711">
        <w:rPr>
          <w:rFonts w:ascii="Calibri" w:eastAsia="Calibri" w:hAnsi="Calibri" w:cs="Calibri"/>
          <w:i/>
          <w:vertAlign w:val="subscript"/>
        </w:rPr>
        <w:t>H</w:t>
      </w:r>
      <w:r w:rsidR="002D4711">
        <w:rPr>
          <w:rFonts w:ascii="Calibri" w:eastAsia="Calibri" w:hAnsi="Calibri" w:cs="Calibri"/>
        </w:rPr>
        <w:t>.</w:t>
      </w:r>
      <w:r w:rsidR="00AD690C">
        <w:rPr>
          <w:rFonts w:ascii="Calibri" w:eastAsia="Calibri" w:hAnsi="Calibri" w:cs="Calibri"/>
        </w:rPr>
        <w:t xml:space="preserve"> </w:t>
      </w:r>
      <w:r w:rsidR="00B36073">
        <w:t xml:space="preserve">Large firms may enjoy higher returns from disclosing private investment information as they are more reliant on market liquidity </w:t>
      </w:r>
      <w:r w:rsidR="00B36073">
        <w:fldChar w:fldCharType="begin"/>
      </w:r>
      <w:r w:rsidR="00B36073">
        <w:instrText xml:space="preserve"> ADDIN EN.CITE &lt;EndNote&gt;&lt;Cite&gt;&lt;Author&gt;Diamond&lt;/Author&gt;&lt;Year&gt;1991&lt;/Year&gt;&lt;RecNum&gt;2171&lt;/RecNum&gt;&lt;DisplayText&gt;(Diamond &amp;amp; Verrecchia, 1991)&lt;/DisplayText&gt;&lt;record&gt;&lt;rec-number&gt;2171&lt;/rec-number&gt;&lt;foreign-keys&gt;&lt;key app="EN" db-id="20p2wrv0m2av96e55d1pzxv2zxx5pvw55d55" timestamp="1486423534"&gt;2171&lt;/key&gt;&lt;/foreign-keys&gt;&lt;ref-type name="Journal Article"&gt;17&lt;/ref-type&gt;&lt;contributors&gt;&lt;authors&gt;&lt;author&gt;Diamond, Douglas W.&lt;/author&gt;&lt;author&gt;Verrecchia, Robert E.&lt;/author&gt;&lt;/authors&gt;&lt;/contributors&gt;&lt;titles&gt;&lt;title&gt;Disclosure, liquidity, and the cost of capital&lt;/title&gt;&lt;secondary-title&gt;Journal of Finance&lt;/secondary-title&gt;&lt;/titles&gt;&lt;periodical&gt;&lt;full-title&gt;Journal of Finance&lt;/full-title&gt;&lt;/periodical&gt;&lt;pages&gt;1325-1359&lt;/pages&gt;&lt;volume&gt;46&lt;/volume&gt;&lt;number&gt;4&lt;/number&gt;&lt;keywords&gt;&lt;keyword&gt;Corporations -- Finance&lt;/keyword&gt;&lt;keyword&gt;Liquidity (Economics)&lt;/keyword&gt;&lt;keyword&gt;Securities -- Prices&lt;/keyword&gt;&lt;keyword&gt;Securities&lt;/keyword&gt;&lt;keyword&gt;Market makers&lt;/keyword&gt;&lt;keyword&gt;Going public (Securities)&lt;/keyword&gt;&lt;keyword&gt;Stocks (Finance) -- Prices&lt;/keyword&gt;&lt;keyword&gt;Capital costs&lt;/keyword&gt;&lt;keyword&gt;Market value&lt;/keyword&gt;&lt;keyword&gt;Disclosure of information -- Economic aspects&lt;/keyword&gt;&lt;/keywords&gt;&lt;dates&gt;&lt;year&gt;1991&lt;/year&gt;&lt;/dates&gt;&lt;publisher&gt;Wiley-Blackwell&lt;/publisher&gt;&lt;isbn&gt;00221082&lt;/isbn&gt;&lt;accession-num&gt;4652966&lt;/accession-num&gt;&lt;work-type&gt;Article&lt;/work-type&gt;&lt;urls&gt;&lt;related-urls&gt;&lt;url&gt;http://ezproxy.massey.ac.nz/login?url=http://search.ebscohost.com/login.aspx?direct=true&amp;amp;AuthType=ip,cookie,url,uid&amp;amp;db=bth&amp;amp;AN=4652966&amp;amp;site=ehost-live&amp;amp;scope=site&lt;/url&gt;&lt;/related-urls&gt;&lt;/urls&gt;&lt;remote-database-name&gt;bth&lt;/remote-database-name&gt;&lt;remote-database-provider&gt;EBSCOhost&lt;/remote-database-provider&gt;&lt;/record&gt;&lt;/Cite&gt;&lt;/EndNote&gt;</w:instrText>
      </w:r>
      <w:r w:rsidR="00B36073">
        <w:fldChar w:fldCharType="separate"/>
      </w:r>
      <w:r w:rsidR="00B36073">
        <w:rPr>
          <w:noProof/>
        </w:rPr>
        <w:t>(</w:t>
      </w:r>
      <w:hyperlink w:anchor="_ENREF_17" w:tooltip="Diamond, 1991 #2171" w:history="1">
        <w:r w:rsidR="006C57ED">
          <w:rPr>
            <w:noProof/>
          </w:rPr>
          <w:t>Diamond &amp; Verrecchia, 1991</w:t>
        </w:r>
      </w:hyperlink>
      <w:r w:rsidR="00B36073">
        <w:rPr>
          <w:noProof/>
        </w:rPr>
        <w:t>)</w:t>
      </w:r>
      <w:r w:rsidR="00B36073">
        <w:fldChar w:fldCharType="end"/>
      </w:r>
      <w:r w:rsidR="00B36073">
        <w:t xml:space="preserve">. Alternatively, the greater attention that large firms receive from analysts and investors may lessen the surprise of announcements </w:t>
      </w:r>
      <w:r w:rsidR="00B36073">
        <w:fldChar w:fldCharType="begin"/>
      </w:r>
      <w:r w:rsidR="00B36073">
        <w:instrText xml:space="preserve"> ADDIN EN.CITE &lt;EndNote&gt;&lt;Cite&gt;&lt;Author&gt;Atiase&lt;/Author&gt;&lt;Year&gt;1985&lt;/Year&gt;&lt;RecNum&gt;859&lt;/RecNum&gt;&lt;DisplayText&gt;(Atiase, 1985)&lt;/DisplayText&gt;&lt;record&gt;&lt;rec-number&gt;859&lt;/rec-number&gt;&lt;foreign-keys&gt;&lt;key app="EN" db-id="20p2wrv0m2av96e55d1pzxv2zxx5pvw55d55" timestamp="0"&gt;859&lt;/key&gt;&lt;/foreign-keys&gt;&lt;ref-type name="Journal Article"&gt;17&lt;/ref-type&gt;&lt;contributors&gt;&lt;authors&gt;&lt;author&gt;Atiase, R. K.&lt;/author&gt;&lt;/authors&gt;&lt;/contributors&gt;&lt;titles&gt;&lt;title&gt;Predisclosure information, firm capitalization, and security price behavior around earnings announcements&lt;/title&gt;&lt;secondary-title&gt;Journal of Accounting Research&lt;/secondary-title&gt;&lt;/titles&gt;&lt;periodical&gt;&lt;full-title&gt;Journal of Accounting Research&lt;/full-title&gt;&lt;/periodical&gt;&lt;pages&gt;21-36&lt;/pages&gt;&lt;volume&gt;23&lt;/volume&gt;&lt;number&gt;1&lt;/number&gt;&lt;dates&gt;&lt;year&gt;1985&lt;/year&gt;&lt;/dates&gt;&lt;isbn&gt;0021-8456&lt;/isbn&gt;&lt;accession-num&gt;ISI:A1985ANM8700002&lt;/accession-num&gt;&lt;label&gt;Essay 1/size/announcements&lt;/label&gt;&lt;urls&gt;&lt;related-urls&gt;&lt;url&gt;&amp;lt;Go to ISI&amp;gt;://A1985ANM8700002 &lt;/url&gt;&lt;/related-urls&gt;&lt;/urls&gt;&lt;/record&gt;&lt;/Cite&gt;&lt;/EndNote&gt;</w:instrText>
      </w:r>
      <w:r w:rsidR="00B36073">
        <w:fldChar w:fldCharType="separate"/>
      </w:r>
      <w:r w:rsidR="00B36073">
        <w:rPr>
          <w:noProof/>
        </w:rPr>
        <w:t>(</w:t>
      </w:r>
      <w:hyperlink w:anchor="_ENREF_3" w:tooltip="Atiase, 1985 #859" w:history="1">
        <w:r w:rsidR="006C57ED">
          <w:rPr>
            <w:noProof/>
          </w:rPr>
          <w:t>Atiase, 1985</w:t>
        </w:r>
      </w:hyperlink>
      <w:r w:rsidR="00B36073">
        <w:rPr>
          <w:noProof/>
        </w:rPr>
        <w:t>)</w:t>
      </w:r>
      <w:r w:rsidR="00B36073">
        <w:fldChar w:fldCharType="end"/>
      </w:r>
      <w:r w:rsidR="00B36073">
        <w:t>. Accordingly, we control for firm size using the log of total assets</w:t>
      </w:r>
      <w:r w:rsidR="00630FC0">
        <w:t xml:space="preserve"> </w:t>
      </w:r>
      <w:r w:rsidR="00630FC0">
        <w:rPr>
          <w:i/>
        </w:rPr>
        <w:t>(LnAssets)</w:t>
      </w:r>
      <w:r w:rsidR="00B36073">
        <w:t xml:space="preserve">. </w:t>
      </w:r>
    </w:p>
    <w:p w14:paraId="27294637" w14:textId="77777777" w:rsidR="00E37B69" w:rsidRDefault="00E37B69" w:rsidP="00C05EFB">
      <w:pPr>
        <w:spacing w:line="360" w:lineRule="auto"/>
        <w:jc w:val="both"/>
        <w:rPr>
          <w:rFonts w:ascii="Calibri" w:eastAsia="Calibri" w:hAnsi="Calibri" w:cs="Calibri"/>
        </w:rPr>
      </w:pPr>
    </w:p>
    <w:p w14:paraId="286F47BE" w14:textId="3B4E3261" w:rsidR="00C0779A" w:rsidRPr="00131A5B" w:rsidRDefault="007C3ED5" w:rsidP="00C0779A">
      <w:pPr>
        <w:spacing w:line="360" w:lineRule="auto"/>
        <w:jc w:val="both"/>
      </w:pPr>
      <w:r w:rsidRPr="00CF4E8D">
        <w:t xml:space="preserve">To assess whether or not investment transparency </w:t>
      </w:r>
      <w:r w:rsidR="00254E79" w:rsidRPr="007C3ED5">
        <w:t>influence</w:t>
      </w:r>
      <w:r w:rsidRPr="00CF4E8D">
        <w:t>s</w:t>
      </w:r>
      <w:r w:rsidR="00254E79" w:rsidRPr="007C3ED5">
        <w:t xml:space="preserve"> the </w:t>
      </w:r>
      <w:r w:rsidRPr="00CF4E8D">
        <w:t>magnitude of stock returns,</w:t>
      </w:r>
      <w:r w:rsidR="00254E79" w:rsidRPr="007C3ED5">
        <w:t xml:space="preserve"> Table 4 presents </w:t>
      </w:r>
      <w:r w:rsidR="00FD53DC">
        <w:t>ordinary least squares</w:t>
      </w:r>
      <w:r w:rsidR="00254E79" w:rsidRPr="007C3ED5">
        <w:t xml:space="preserve"> cross-sectional regressions of the </w:t>
      </w:r>
      <w:r w:rsidR="00654228" w:rsidRPr="007C3ED5">
        <w:rPr>
          <w:i/>
        </w:rPr>
        <w:t>CAR</w:t>
      </w:r>
      <w:r w:rsidR="00254E79" w:rsidRPr="007C3ED5">
        <w:t xml:space="preserve"> </w:t>
      </w:r>
      <w:r w:rsidR="00FD53DC">
        <w:t>[0,+2]</w:t>
      </w:r>
      <w:r w:rsidR="00254E79" w:rsidRPr="007C3ED5">
        <w:t xml:space="preserve"> market adjusted returns. </w:t>
      </w:r>
      <w:r w:rsidR="00AB67CC" w:rsidRPr="007C3ED5">
        <w:lastRenderedPageBreak/>
        <w:t xml:space="preserve">For model 1, the main variable of interest, </w:t>
      </w:r>
      <w:r w:rsidR="00AB67CC" w:rsidRPr="007C3ED5">
        <w:rPr>
          <w:i/>
        </w:rPr>
        <w:t>DQ</w:t>
      </w:r>
      <w:r w:rsidR="00B01C30">
        <w:rPr>
          <w:i/>
        </w:rPr>
        <w:t>,</w:t>
      </w:r>
      <w:r w:rsidR="00AB67CC" w:rsidRPr="007C3ED5">
        <w:t xml:space="preserve"> and several control variables are included to explain </w:t>
      </w:r>
      <w:r w:rsidR="00654228" w:rsidRPr="007C3ED5">
        <w:rPr>
          <w:i/>
        </w:rPr>
        <w:t>CAR</w:t>
      </w:r>
      <w:r w:rsidRPr="00CF4E8D">
        <w:t xml:space="preserve"> in the full sample.</w:t>
      </w:r>
      <w:r w:rsidR="00AB67CC" w:rsidRPr="007C3ED5">
        <w:t xml:space="preserve"> </w:t>
      </w:r>
      <w:r w:rsidRPr="00CF4E8D">
        <w:t>Surprisingly</w:t>
      </w:r>
      <w:r w:rsidR="00AB67CC" w:rsidRPr="007C3ED5">
        <w:t xml:space="preserve">, there is no evidence that </w:t>
      </w:r>
      <w:r w:rsidR="00AB67CC" w:rsidRPr="007C3ED5">
        <w:rPr>
          <w:i/>
        </w:rPr>
        <w:t>DQ</w:t>
      </w:r>
      <w:r w:rsidR="00AB67CC" w:rsidRPr="007C3ED5">
        <w:t xml:space="preserve"> influences announcement </w:t>
      </w:r>
      <w:r w:rsidR="00654228" w:rsidRPr="007C3ED5">
        <w:rPr>
          <w:i/>
        </w:rPr>
        <w:t>CAR</w:t>
      </w:r>
      <w:r w:rsidR="00AB67CC" w:rsidRPr="007C3ED5">
        <w:t xml:space="preserve">. </w:t>
      </w:r>
      <w:r w:rsidRPr="00CF4E8D">
        <w:t xml:space="preserve">In fact, none of the explanatory variables in model 1 are </w:t>
      </w:r>
      <w:r w:rsidR="00B01C30">
        <w:t xml:space="preserve">statistically </w:t>
      </w:r>
      <w:r w:rsidRPr="00CF4E8D">
        <w:t xml:space="preserve">significant. </w:t>
      </w:r>
      <w:r>
        <w:t xml:space="preserve">In model 2, the interaction term </w:t>
      </w:r>
      <w:r w:rsidRPr="00CF4E8D">
        <w:rPr>
          <w:rFonts w:ascii="Calibri" w:eastAsia="Calibri" w:hAnsi="Calibri" w:cs="Times New Roman"/>
          <w:i/>
        </w:rPr>
        <w:t xml:space="preserve">DQ </w:t>
      </w:r>
      <w:r w:rsidRPr="00CF4E8D">
        <w:rPr>
          <w:rFonts w:ascii="Calibri" w:eastAsia="Calibri" w:hAnsi="Calibri" w:cs="Calibri"/>
          <w:i/>
        </w:rPr>
        <w:t xml:space="preserve">× </w:t>
      </w:r>
      <w:r w:rsidRPr="00CF4E8D">
        <w:rPr>
          <w:rFonts w:ascii="Calibri" w:eastAsia="Calibri" w:hAnsi="Calibri" w:cs="Times New Roman"/>
          <w:i/>
        </w:rPr>
        <w:t>SDEarn</w:t>
      </w:r>
      <w:r w:rsidRPr="00CF4E8D">
        <w:t xml:space="preserve"> is added to model 1 to test whether or not </w:t>
      </w:r>
      <w:r w:rsidR="00374543" w:rsidRPr="00855977">
        <w:t>the sensitivity</w:t>
      </w:r>
      <w:r w:rsidR="00AB67CC" w:rsidRPr="00855977">
        <w:t xml:space="preserve"> </w:t>
      </w:r>
      <w:r w:rsidR="00374543" w:rsidRPr="00855977">
        <w:t xml:space="preserve">of </w:t>
      </w:r>
      <w:r w:rsidR="00654228" w:rsidRPr="00855977">
        <w:rPr>
          <w:i/>
        </w:rPr>
        <w:t>CAR</w:t>
      </w:r>
      <w:r w:rsidR="00374543" w:rsidRPr="00855977">
        <w:t xml:space="preserve"> to the transparency of capital investment announcements is weaker when earnings volatility is high, and stronger when earnings volatility is low. This may arise if earnings volatility affects investors’ abilities to interpret the implications of the investment information, or if it influences investors’ perceptions of the credibility of management’s investment forecasts. </w:t>
      </w:r>
      <w:r w:rsidRPr="00CF4E8D">
        <w:t>Again, none of the explanatory variables explain project</w:t>
      </w:r>
      <w:r w:rsidR="00855977" w:rsidRPr="00CF4E8D">
        <w:t xml:space="preserve"> announcement </w:t>
      </w:r>
      <w:r w:rsidR="00855977" w:rsidRPr="00CF4E8D">
        <w:rPr>
          <w:i/>
        </w:rPr>
        <w:t>CAR</w:t>
      </w:r>
      <w:r w:rsidR="00855977" w:rsidRPr="00CF4E8D">
        <w:t>.</w:t>
      </w:r>
      <w:r w:rsidR="00855977">
        <w:t xml:space="preserve"> Next, a very different picture emerges when model 2 is applied separately to the sample partitioned according to the sign of the announcement </w:t>
      </w:r>
      <w:r w:rsidR="003B13F2" w:rsidRPr="003B13F2">
        <w:rPr>
          <w:i/>
        </w:rPr>
        <w:t>CAR</w:t>
      </w:r>
      <w:r w:rsidR="00243099">
        <w:rPr>
          <w:i/>
        </w:rPr>
        <w:t>;</w:t>
      </w:r>
      <w:r w:rsidR="00855977">
        <w:t xml:space="preserve"> positive in model 3, and negative in model 4. </w:t>
      </w:r>
      <w:r w:rsidR="000D7238">
        <w:t xml:space="preserve">For the positive </w:t>
      </w:r>
      <w:r w:rsidR="00542612" w:rsidRPr="003D6E55">
        <w:rPr>
          <w:i/>
        </w:rPr>
        <w:t>CAR</w:t>
      </w:r>
      <w:r w:rsidR="00542612">
        <w:t xml:space="preserve"> subsample</w:t>
      </w:r>
      <w:r w:rsidR="000D7238">
        <w:t xml:space="preserve">, </w:t>
      </w:r>
      <w:r w:rsidR="00FA7CB7">
        <w:t xml:space="preserve">the coefficient </w:t>
      </w:r>
      <w:r w:rsidR="00FA7CB7" w:rsidRPr="00CF4E8D">
        <w:rPr>
          <w:i/>
        </w:rPr>
        <w:t>DQ</w:t>
      </w:r>
      <w:r w:rsidR="00FA7CB7">
        <w:t xml:space="preserve"> is significantly positive (1% level), indicating that greater (weaker) transparency is associated with higher (lower) announcement period returns. The significantly positive coefficient (1% level) on </w:t>
      </w:r>
      <w:r w:rsidR="00FA7CB7" w:rsidRPr="00CF4E8D">
        <w:rPr>
          <w:i/>
        </w:rPr>
        <w:t>SDEarn</w:t>
      </w:r>
      <w:r w:rsidR="00FA7CB7">
        <w:t xml:space="preserve"> </w:t>
      </w:r>
      <w:r w:rsidR="00B01C30">
        <w:t>may potentially be explained by</w:t>
      </w:r>
      <w:r w:rsidR="00FA7CB7">
        <w:t xml:space="preserve"> real options theory</w:t>
      </w:r>
      <w:r w:rsidR="00B01C30">
        <w:t>, that</w:t>
      </w:r>
      <w:r w:rsidR="00FA7CB7">
        <w:t xml:space="preserve"> suggest</w:t>
      </w:r>
      <w:r w:rsidR="00B01C30">
        <w:t>s</w:t>
      </w:r>
      <w:r w:rsidR="00FA7CB7">
        <w:t xml:space="preserve"> that </w:t>
      </w:r>
      <w:r w:rsidR="00FA7CB7" w:rsidRPr="00E40165">
        <w:t xml:space="preserve">the presence </w:t>
      </w:r>
      <w:r w:rsidR="00FA7CB7" w:rsidRPr="00704CA4">
        <w:t xml:space="preserve">of </w:t>
      </w:r>
      <w:r w:rsidR="00FA7CB7" w:rsidRPr="00BC1909">
        <w:t>valuable growth options</w:t>
      </w:r>
      <w:r w:rsidR="00FA7CB7" w:rsidRPr="00704CA4">
        <w:t xml:space="preserve"> cre</w:t>
      </w:r>
      <w:r w:rsidR="00FA7CB7" w:rsidRPr="00E40165">
        <w:t xml:space="preserve">ates a positive relationship between a firm’s </w:t>
      </w:r>
      <w:r w:rsidR="00FA7CB7">
        <w:t xml:space="preserve">historical </w:t>
      </w:r>
      <w:r w:rsidR="00FA7CB7" w:rsidRPr="00E40165">
        <w:t>return volatility</w:t>
      </w:r>
      <w:r w:rsidR="00FA7CB7">
        <w:t xml:space="preserve"> and </w:t>
      </w:r>
      <w:r w:rsidR="00FA7CB7" w:rsidRPr="00E40165">
        <w:t>stock returns</w:t>
      </w:r>
      <w:r w:rsidR="00FA7CB7">
        <w:t xml:space="preserve"> </w:t>
      </w:r>
      <w:r w:rsidR="00FA7CB7">
        <w:fldChar w:fldCharType="begin"/>
      </w:r>
      <w:r w:rsidR="00FA7CB7">
        <w:instrText xml:space="preserve"> ADDIN EN.CITE &lt;EndNote&gt;&lt;Cite&gt;&lt;Author&gt;Grullon&lt;/Author&gt;&lt;Year&gt;2012&lt;/Year&gt;&lt;RecNum&gt;2378&lt;/RecNum&gt;&lt;DisplayText&gt;(Grullon et al., 2012)&lt;/DisplayText&gt;&lt;record&gt;&lt;rec-number&gt;2378&lt;/rec-number&gt;&lt;foreign-keys&gt;&lt;key app="EN" db-id="20p2wrv0m2av96e55d1pzxv2zxx5pvw55d55" timestamp="1533011221"&gt;2378&lt;/key&gt;&lt;/foreign-keys&gt;&lt;ref-type name="Journal Article"&gt;17&lt;/ref-type&gt;&lt;contributors&gt;&lt;authors&gt;&lt;author&gt;Grullon, G.&lt;/author&gt;&lt;author&gt;Lyandres, E.&lt;/author&gt;&lt;author&gt;Zhdanov, A.&lt;/author&gt;&lt;/authors&gt;&lt;/contributors&gt;&lt;auth-address&gt;Jesse H. Jones Graduate School of Business, Rice Univerisity, United States&amp;#xD;The School of Management, Boston University, United States&amp;#xD;University of Lausanne, Swiss Finance Institute, Switzerland&lt;/auth-address&gt;&lt;titles&gt;&lt;title&gt;Real Options, Volatility, and Stock Returns&lt;/title&gt;&lt;secondary-title&gt;Journal of Finance&lt;/secondary-title&gt;&lt;/titles&gt;&lt;periodical&gt;&lt;full-title&gt;Journal of Finance&lt;/full-title&gt;&lt;/periodical&gt;&lt;pages&gt;1499-1537&lt;/pages&gt;&lt;volume&gt;67&lt;/volume&gt;&lt;number&gt;4&lt;/number&gt;&lt;dates&gt;&lt;year&gt;2012&lt;/year&gt;&lt;/dates&gt;&lt;work-type&gt;Article&lt;/work-type&gt;&lt;urls&gt;&lt;related-urls&gt;&lt;url&gt;https://www.scopus.com/inward/record.uri?eid=2-s2.0-84864042165&amp;amp;doi=10.1111%2fj.1540-6261.2012.01754.x&amp;amp;partnerID=40&amp;amp;md5=1b3bb4a912097c29c05051f5f9d36339&lt;/url&gt;&lt;/related-urls&gt;&lt;/urls&gt;&lt;electronic-resource-num&gt;10.1111/j.1540-6261.2012.01754.x&lt;/electronic-resource-num&gt;&lt;remote-database-name&gt;Scopus&lt;/remote-database-name&gt;&lt;/record&gt;&lt;/Cite&gt;&lt;/EndNote&gt;</w:instrText>
      </w:r>
      <w:r w:rsidR="00FA7CB7">
        <w:fldChar w:fldCharType="separate"/>
      </w:r>
      <w:r w:rsidR="00FA7CB7">
        <w:rPr>
          <w:noProof/>
        </w:rPr>
        <w:t>(</w:t>
      </w:r>
      <w:hyperlink w:anchor="_ENREF_23" w:tooltip="Grullon, 2012 #2378" w:history="1">
        <w:r w:rsidR="006C57ED">
          <w:rPr>
            <w:noProof/>
          </w:rPr>
          <w:t>Grullon et al., 2012</w:t>
        </w:r>
      </w:hyperlink>
      <w:r w:rsidR="00FA7CB7">
        <w:rPr>
          <w:noProof/>
        </w:rPr>
        <w:t>)</w:t>
      </w:r>
      <w:r w:rsidR="00FA7CB7">
        <w:fldChar w:fldCharType="end"/>
      </w:r>
      <w:r w:rsidR="00FA7CB7">
        <w:t xml:space="preserve">. Also of interest, </w:t>
      </w:r>
      <w:r w:rsidR="00FA7CB7" w:rsidRPr="00CF4E8D">
        <w:t xml:space="preserve">the interaction </w:t>
      </w:r>
      <w:r w:rsidR="00FA7CB7" w:rsidRPr="00CF4E8D">
        <w:rPr>
          <w:i/>
        </w:rPr>
        <w:t xml:space="preserve">DQ </w:t>
      </w:r>
      <w:r w:rsidR="00FA7CB7" w:rsidRPr="00CF4E8D">
        <w:t>x</w:t>
      </w:r>
      <w:r w:rsidR="00FA7CB7" w:rsidRPr="00CF4E8D">
        <w:rPr>
          <w:i/>
        </w:rPr>
        <w:t xml:space="preserve"> SDEarn</w:t>
      </w:r>
      <w:r w:rsidR="00FA7CB7" w:rsidRPr="00CF4E8D">
        <w:t xml:space="preserve"> is </w:t>
      </w:r>
      <w:r w:rsidR="00704CA4">
        <w:t>s</w:t>
      </w:r>
      <w:r w:rsidR="00FA7CB7" w:rsidRPr="00CF4E8D">
        <w:t>ignificant</w:t>
      </w:r>
      <w:r w:rsidR="00704CA4">
        <w:t xml:space="preserve">ly </w:t>
      </w:r>
      <w:r w:rsidR="00704CA4" w:rsidRPr="00CF4E8D">
        <w:t>negative</w:t>
      </w:r>
      <w:r w:rsidR="00FA7CB7" w:rsidRPr="00CF4E8D">
        <w:t xml:space="preserve"> (1% level), supporting the </w:t>
      </w:r>
      <w:r w:rsidR="00A94B7A" w:rsidRPr="00CF4E8D">
        <w:t xml:space="preserve">notion that </w:t>
      </w:r>
      <w:r w:rsidR="00A94B7A" w:rsidRPr="00A94B7A">
        <w:rPr>
          <w:rFonts w:ascii="Calibri" w:eastAsia="Calibri" w:hAnsi="Calibri" w:cs="Times New Roman"/>
        </w:rPr>
        <w:t>event</w:t>
      </w:r>
      <w:r w:rsidR="00A94B7A">
        <w:rPr>
          <w:rFonts w:ascii="Calibri" w:eastAsia="Calibri" w:hAnsi="Calibri" w:cs="Times New Roman"/>
        </w:rPr>
        <w:t xml:space="preserve">-window abnormal returns are less sensitive to the transparency of capital investment announcements when firm-level historical earnings volatility is </w:t>
      </w:r>
      <w:r w:rsidR="00A94B7A" w:rsidRPr="00504B58">
        <w:rPr>
          <w:rFonts w:ascii="Calibri" w:eastAsia="Calibri" w:hAnsi="Calibri" w:cs="Times New Roman"/>
        </w:rPr>
        <w:t>high.</w:t>
      </w:r>
      <w:r w:rsidR="00FA7CB7" w:rsidRPr="00CF4E8D">
        <w:t xml:space="preserve"> </w:t>
      </w:r>
      <w:r w:rsidR="00A94B7A" w:rsidRPr="00CF4E8D">
        <w:t xml:space="preserve">In contrast, when the announcement news is viewed negatively by the market as shown in model 4, there is no evidence of a direct relationship between </w:t>
      </w:r>
      <w:r w:rsidR="00A94B7A" w:rsidRPr="00CF4E8D">
        <w:rPr>
          <w:i/>
        </w:rPr>
        <w:t>DQ</w:t>
      </w:r>
      <w:r w:rsidR="00A94B7A" w:rsidRPr="00CF4E8D">
        <w:t xml:space="preserve"> and </w:t>
      </w:r>
      <w:r w:rsidR="00704CA4" w:rsidRPr="00BC1909">
        <w:rPr>
          <w:i/>
        </w:rPr>
        <w:t>CAR</w:t>
      </w:r>
      <w:r w:rsidR="00A94B7A" w:rsidRPr="00CF4E8D">
        <w:t xml:space="preserve">. Further, the sign on the </w:t>
      </w:r>
      <w:r w:rsidR="00A94B7A" w:rsidRPr="00CF4E8D">
        <w:rPr>
          <w:i/>
        </w:rPr>
        <w:t xml:space="preserve">SDEarn </w:t>
      </w:r>
      <w:r w:rsidR="00A94B7A" w:rsidRPr="00CF4E8D">
        <w:t xml:space="preserve">coefficient </w:t>
      </w:r>
      <w:r w:rsidR="00504B58">
        <w:t xml:space="preserve">in model 4 changes to </w:t>
      </w:r>
      <w:r w:rsidR="00A94B7A" w:rsidRPr="00CF4E8D">
        <w:t xml:space="preserve">significantly negative (10% level), suggesting that historical earnings volatility negatively </w:t>
      </w:r>
      <w:r w:rsidR="00704CA4">
        <w:t>affects</w:t>
      </w:r>
      <w:r w:rsidR="00A94B7A" w:rsidRPr="00CF4E8D">
        <w:t xml:space="preserve"> event window returns when the market </w:t>
      </w:r>
      <w:r w:rsidR="009939D7">
        <w:t>perceives</w:t>
      </w:r>
      <w:r w:rsidR="00A94B7A" w:rsidRPr="00CF4E8D">
        <w:t xml:space="preserve"> the announcement negatively.</w:t>
      </w:r>
      <w:r w:rsidR="00DD2D79">
        <w:t xml:space="preserve"> As in model 3, </w:t>
      </w:r>
      <w:r w:rsidR="00DD2D79" w:rsidRPr="00E40165">
        <w:t xml:space="preserve">the </w:t>
      </w:r>
      <w:r w:rsidR="00DD2D79">
        <w:t xml:space="preserve">model 4 </w:t>
      </w:r>
      <w:r w:rsidR="00DD2D79" w:rsidRPr="00E40165">
        <w:t xml:space="preserve">interaction </w:t>
      </w:r>
      <w:r w:rsidR="00DD2D79" w:rsidRPr="00E40165">
        <w:rPr>
          <w:i/>
        </w:rPr>
        <w:t xml:space="preserve">DQ </w:t>
      </w:r>
      <w:r w:rsidR="00DD2D79" w:rsidRPr="00E40165">
        <w:t>x</w:t>
      </w:r>
      <w:r w:rsidR="00DD2D79" w:rsidRPr="00E40165">
        <w:rPr>
          <w:i/>
        </w:rPr>
        <w:t xml:space="preserve"> SDEarn</w:t>
      </w:r>
      <w:r w:rsidR="00DD2D79" w:rsidRPr="00E40165">
        <w:t xml:space="preserve"> is </w:t>
      </w:r>
      <w:r w:rsidR="00704CA4">
        <w:t>s</w:t>
      </w:r>
      <w:r w:rsidR="00704CA4" w:rsidRPr="00CF4E8D">
        <w:t>ignificant</w:t>
      </w:r>
      <w:r w:rsidR="00704CA4">
        <w:t xml:space="preserve">ly </w:t>
      </w:r>
      <w:r w:rsidR="00704CA4" w:rsidRPr="00CF4E8D">
        <w:t xml:space="preserve">negative </w:t>
      </w:r>
      <w:r w:rsidR="00DD2D79" w:rsidRPr="00131A5B">
        <w:t>(5% level)</w:t>
      </w:r>
      <w:r w:rsidR="00DD2D79" w:rsidRPr="00131A5B">
        <w:rPr>
          <w:rFonts w:ascii="Calibri" w:eastAsia="Calibri" w:hAnsi="Calibri" w:cs="Times New Roman"/>
        </w:rPr>
        <w:t>.</w:t>
      </w:r>
      <w:r w:rsidR="00DD2D79" w:rsidRPr="00131A5B">
        <w:t xml:space="preserve"> </w:t>
      </w:r>
      <w:r w:rsidR="00C0779A" w:rsidRPr="00131A5B">
        <w:t xml:space="preserve">If earnings persistence is low when historical earnings volatility is high </w:t>
      </w:r>
      <w:r w:rsidR="00C0779A" w:rsidRPr="00131A5B">
        <w:fldChar w:fldCharType="begin"/>
      </w:r>
      <w:r w:rsidR="00C0779A" w:rsidRPr="00131A5B">
        <w:instrText xml:space="preserve"> ADDIN EN.CITE &lt;EndNote&gt;&lt;Cite&gt;&lt;Author&gt;Dichev&lt;/Author&gt;&lt;Year&gt;2009&lt;/Year&gt;&lt;RecNum&gt;2369&lt;/RecNum&gt;&lt;DisplayText&gt;(Dichev &amp;amp; Tang, 2009)&lt;/DisplayText&gt;&lt;record&gt;&lt;rec-number&gt;2369&lt;/rec-number&gt;&lt;foreign-keys&gt;&lt;key app="EN" db-id="20p2wrv0m2av96e55d1pzxv2zxx5pvw55d55" timestamp="1528429607"&gt;2369&lt;/key&gt;&lt;/foreign-keys&gt;&lt;ref-type name="Journal Article"&gt;17&lt;/ref-type&gt;&lt;contributors&gt;&lt;authors&gt;&lt;author&gt;Dichev, I. D.&lt;/author&gt;&lt;author&gt;Tang, V. W.&lt;/author&gt;&lt;/authors&gt;&lt;/contributors&gt;&lt;auth-address&gt;Stephen M. Ross School of Business, University of Michigan, 701 Tappan St, Ann Arbor, MI 48109, United States&amp;#xD;McDonough School of Business, Georgetown University, United States&lt;/auth-address&gt;&lt;titles&gt;&lt;title&gt;Earnings volatility and earnings predictability&lt;/title&gt;&lt;secondary-title&gt;Journal of Accounting and Economics&lt;/secondary-title&gt;&lt;/titles&gt;&lt;periodical&gt;&lt;full-title&gt;Journal of Accounting and Economics&lt;/full-title&gt;&lt;/periodical&gt;&lt;pages&gt;160-181&lt;/pages&gt;&lt;volume&gt;47&lt;/volume&gt;&lt;number&gt;1-2&lt;/number&gt;&lt;keywords&gt;&lt;keyword&gt;Analyst forecasts&lt;/keyword&gt;&lt;keyword&gt;Earnings predictability&lt;/keyword&gt;&lt;keyword&gt;Earnings volatility&lt;/keyword&gt;&lt;keyword&gt;Fundamental analysis&lt;/keyword&gt;&lt;/keywords&gt;&lt;dates&gt;&lt;year&gt;2009&lt;/year&gt;&lt;/dates&gt;&lt;work-type&gt;Article&lt;/work-type&gt;&lt;urls&gt;&lt;related-urls&gt;&lt;url&gt;https://www.scopus.com/inward/record.uri?eid=2-s2.0-59749097824&amp;amp;doi=10.1016%2fj.jacceco.2008.09.005&amp;amp;partnerID=40&amp;amp;md5=8b7642fd36d5d488f47e0b4a4e9f968b&lt;/url&gt;&lt;/related-urls&gt;&lt;/urls&gt;&lt;electronic-resource-num&gt;10.1016/j.jacceco.2008.09.005&lt;/electronic-resource-num&gt;&lt;remote-database-name&gt;Scopus&lt;/remote-database-name&gt;&lt;/record&gt;&lt;/Cite&gt;&lt;/EndNote&gt;</w:instrText>
      </w:r>
      <w:r w:rsidR="00C0779A" w:rsidRPr="00131A5B">
        <w:fldChar w:fldCharType="separate"/>
      </w:r>
      <w:r w:rsidR="00C0779A" w:rsidRPr="00131A5B">
        <w:rPr>
          <w:noProof/>
        </w:rPr>
        <w:t>(</w:t>
      </w:r>
      <w:hyperlink w:anchor="_ENREF_18" w:tooltip="Dichev, 2009 #2369" w:history="1">
        <w:r w:rsidR="006C57ED" w:rsidRPr="00131A5B">
          <w:rPr>
            <w:noProof/>
          </w:rPr>
          <w:t>Dichev &amp; Tang, 2009</w:t>
        </w:r>
      </w:hyperlink>
      <w:r w:rsidR="00C0779A" w:rsidRPr="00131A5B">
        <w:rPr>
          <w:noProof/>
        </w:rPr>
        <w:t>)</w:t>
      </w:r>
      <w:r w:rsidR="00C0779A" w:rsidRPr="00131A5B">
        <w:fldChar w:fldCharType="end"/>
      </w:r>
      <w:r w:rsidR="00C0779A" w:rsidRPr="00131A5B">
        <w:t>, then investors may react negatively if the ability to forecast the impact of the news announcements is impaired.</w:t>
      </w:r>
    </w:p>
    <w:p w14:paraId="1EA40343" w14:textId="77777777" w:rsidR="00C0779A" w:rsidRPr="00131A5B" w:rsidRDefault="00C0779A" w:rsidP="009C20C7">
      <w:pPr>
        <w:spacing w:line="360" w:lineRule="auto"/>
        <w:jc w:val="both"/>
      </w:pPr>
    </w:p>
    <w:p w14:paraId="4741DB9D" w14:textId="30B821BA" w:rsidR="00DD2D79" w:rsidRDefault="009C20C7" w:rsidP="009C20C7">
      <w:pPr>
        <w:spacing w:line="360" w:lineRule="auto"/>
        <w:jc w:val="both"/>
      </w:pPr>
      <w:r w:rsidRPr="00131A5B">
        <w:t xml:space="preserve">To assist the interpretation of the results in models 3 and 4, Table 5 calculates the impact of </w:t>
      </w:r>
      <w:r w:rsidR="002A64B7">
        <w:t>investment transparency</w:t>
      </w:r>
      <w:r w:rsidRPr="00131A5B">
        <w:t xml:space="preserve"> on </w:t>
      </w:r>
      <w:r w:rsidRPr="00131A5B">
        <w:rPr>
          <w:i/>
        </w:rPr>
        <w:t>CAR</w:t>
      </w:r>
      <w:r w:rsidRPr="00131A5B">
        <w:t xml:space="preserve"> at</w:t>
      </w:r>
      <w:r w:rsidR="00590246" w:rsidRPr="00131A5B">
        <w:t xml:space="preserve"> the</w:t>
      </w:r>
      <w:r w:rsidRPr="00131A5B">
        <w:t xml:space="preserve"> </w:t>
      </w:r>
      <w:r w:rsidR="00590246" w:rsidRPr="00131A5B">
        <w:t>25</w:t>
      </w:r>
      <w:r w:rsidR="00590246" w:rsidRPr="00131A5B">
        <w:rPr>
          <w:vertAlign w:val="superscript"/>
        </w:rPr>
        <w:t>th</w:t>
      </w:r>
      <w:r w:rsidR="00590246" w:rsidRPr="00131A5B">
        <w:t>, 50</w:t>
      </w:r>
      <w:r w:rsidR="00590246" w:rsidRPr="00131A5B">
        <w:rPr>
          <w:vertAlign w:val="superscript"/>
        </w:rPr>
        <w:t>th</w:t>
      </w:r>
      <w:r w:rsidR="00590246" w:rsidRPr="00131A5B">
        <w:t xml:space="preserve"> and 75</w:t>
      </w:r>
      <w:r w:rsidR="00590246" w:rsidRPr="00131A5B">
        <w:rPr>
          <w:vertAlign w:val="superscript"/>
        </w:rPr>
        <w:t>th</w:t>
      </w:r>
      <w:r w:rsidR="00590246" w:rsidRPr="00131A5B">
        <w:t xml:space="preserve"> percentiles for </w:t>
      </w:r>
      <w:r w:rsidR="00590246" w:rsidRPr="006A77ED">
        <w:rPr>
          <w:i/>
        </w:rPr>
        <w:t>SDEarn</w:t>
      </w:r>
      <w:r w:rsidR="00590246" w:rsidRPr="006A77ED">
        <w:t>.</w:t>
      </w:r>
      <w:r w:rsidRPr="00131A5B">
        <w:t xml:space="preserve"> As shown in Panel A, for the positive </w:t>
      </w:r>
      <w:r w:rsidR="003B13F2" w:rsidRPr="003B13F2">
        <w:rPr>
          <w:i/>
        </w:rPr>
        <w:t>CAR</w:t>
      </w:r>
      <w:r w:rsidRPr="00131A5B">
        <w:t xml:space="preserve"> </w:t>
      </w:r>
      <w:r w:rsidR="00EA217C">
        <w:t>subsample</w:t>
      </w:r>
      <w:r w:rsidRPr="00131A5B">
        <w:t xml:space="preserve">, greater </w:t>
      </w:r>
      <w:r w:rsidR="002A64B7">
        <w:t>transparency</w:t>
      </w:r>
      <w:r w:rsidR="002A64B7" w:rsidRPr="00131A5B">
        <w:t xml:space="preserve"> </w:t>
      </w:r>
      <w:r w:rsidRPr="00131A5B">
        <w:t xml:space="preserve">increases </w:t>
      </w:r>
      <w:r w:rsidR="003B13F2" w:rsidRPr="003B13F2">
        <w:rPr>
          <w:i/>
        </w:rPr>
        <w:t>CAR</w:t>
      </w:r>
      <w:r w:rsidRPr="00131A5B">
        <w:t xml:space="preserve"> at low and median levels of </w:t>
      </w:r>
      <w:r w:rsidRPr="00131A5B">
        <w:rPr>
          <w:i/>
        </w:rPr>
        <w:t>SDEarn,</w:t>
      </w:r>
      <w:r w:rsidRPr="00131A5B">
        <w:t xml:space="preserve"> but not at high levels. </w:t>
      </w:r>
      <w:r w:rsidR="002F53B2" w:rsidRPr="00131A5B">
        <w:t xml:space="preserve">This appears consistent with the earnings persistence argument above. </w:t>
      </w:r>
      <w:r w:rsidR="00312065" w:rsidRPr="00131A5B">
        <w:t xml:space="preserve">For the </w:t>
      </w:r>
      <w:r w:rsidRPr="00131A5B">
        <w:t xml:space="preserve">negative </w:t>
      </w:r>
      <w:r w:rsidR="003B13F2" w:rsidRPr="003B13F2">
        <w:rPr>
          <w:i/>
        </w:rPr>
        <w:t>CAR</w:t>
      </w:r>
      <w:r w:rsidRPr="00131A5B">
        <w:t xml:space="preserve"> </w:t>
      </w:r>
      <w:r w:rsidR="00EA217C">
        <w:t>subsample</w:t>
      </w:r>
      <w:r w:rsidRPr="00131A5B">
        <w:t xml:space="preserve">, </w:t>
      </w:r>
      <w:r w:rsidR="00C0779A" w:rsidRPr="00131A5B">
        <w:t xml:space="preserve">Panel B shows that </w:t>
      </w:r>
      <w:r w:rsidR="006022A1" w:rsidRPr="00131A5B">
        <w:t>there is little change to stock returns as a</w:t>
      </w:r>
      <w:r w:rsidR="004F4B0B" w:rsidRPr="00131A5B">
        <w:t xml:space="preserve"> direct</w:t>
      </w:r>
      <w:r w:rsidR="006022A1" w:rsidRPr="00131A5B">
        <w:t xml:space="preserve"> result of transparency, and </w:t>
      </w:r>
      <w:r w:rsidR="00C0779A" w:rsidRPr="00131A5B">
        <w:t xml:space="preserve">higher </w:t>
      </w:r>
      <w:r w:rsidR="00DD2D79" w:rsidRPr="00131A5B">
        <w:t>forecasting</w:t>
      </w:r>
      <w:r w:rsidR="00C0779A" w:rsidRPr="00131A5B">
        <w:t xml:space="preserve"> risk is associated with lower </w:t>
      </w:r>
      <w:r w:rsidR="003B13F2" w:rsidRPr="003B13F2">
        <w:rPr>
          <w:i/>
        </w:rPr>
        <w:t>CAR</w:t>
      </w:r>
      <w:r w:rsidR="00C0779A" w:rsidRPr="00131A5B">
        <w:t>, although the strength of this relationship is not strong</w:t>
      </w:r>
      <w:r w:rsidR="00C0779A" w:rsidRPr="00D57896">
        <w:t xml:space="preserve">. </w:t>
      </w:r>
      <w:r w:rsidR="00630FC0">
        <w:t>If</w:t>
      </w:r>
      <w:r w:rsidR="00312065" w:rsidRPr="00D57896">
        <w:t xml:space="preserve"> the negative </w:t>
      </w:r>
      <w:r w:rsidR="003B13F2" w:rsidRPr="00D57896">
        <w:rPr>
          <w:i/>
        </w:rPr>
        <w:t>CAR</w:t>
      </w:r>
      <w:r w:rsidR="00312065" w:rsidRPr="00D57896">
        <w:t xml:space="preserve"> </w:t>
      </w:r>
      <w:r w:rsidR="00EA217C" w:rsidRPr="00D57896">
        <w:t>subsample</w:t>
      </w:r>
      <w:r w:rsidR="00312065" w:rsidRPr="00D57896">
        <w:t xml:space="preserve"> suffers from higher information asymmetry, </w:t>
      </w:r>
      <w:r w:rsidR="00630FC0">
        <w:t>then</w:t>
      </w:r>
      <w:r w:rsidR="00312065" w:rsidRPr="00D57896">
        <w:t xml:space="preserve"> a lack of earnings persistence may add to the ambiguity problem. </w:t>
      </w:r>
      <w:r w:rsidR="0038024C" w:rsidRPr="00D57896">
        <w:t>B</w:t>
      </w:r>
      <w:r w:rsidR="0038024C" w:rsidRPr="00131A5B">
        <w:t xml:space="preserve">ehavioural </w:t>
      </w:r>
      <w:r w:rsidR="0038024C" w:rsidRPr="00131A5B">
        <w:lastRenderedPageBreak/>
        <w:t xml:space="preserve">explanations may also be plausible. </w:t>
      </w:r>
      <w:hyperlink w:anchor="_ENREF_30" w:tooltip="Hribar, 2016 #2084" w:history="1">
        <w:r w:rsidR="006C57ED" w:rsidRPr="00131A5B">
          <w:fldChar w:fldCharType="begin"/>
        </w:r>
        <w:r w:rsidR="006C57ED" w:rsidRPr="00131A5B">
          <w:instrText xml:space="preserve"> ADDIN EN.CITE &lt;EndNote&gt;&lt;Cite AuthorYear="1"&gt;&lt;Author&gt;Hribar&lt;/Author&gt;&lt;Year&gt;2016&lt;/Year&gt;&lt;RecNum&gt;2084&lt;/RecNum&gt;&lt;DisplayText&gt;Hribar and Yang (2016)&lt;/DisplayText&gt;&lt;record&gt;&lt;rec-number&gt;2084&lt;/rec-number&gt;&lt;foreign-keys&gt;&lt;key app="EN" db-id="20p2wrv0m2av96e55d1pzxv2zxx5pvw55d55" timestamp="1469490358"&gt;2084&lt;/key&gt;&lt;/foreign-keys&gt;&lt;ref-type name="Journal Article"&gt;17&lt;/ref-type&gt;&lt;contributors&gt;&lt;authors&gt;&lt;author&gt;Hribar, P.&lt;/author&gt;&lt;author&gt;Yang, H.&lt;/author&gt;&lt;/authors&gt;&lt;/contributors&gt;&lt;auth-address&gt;University of Iowa, United States&amp;#xD;Singapore Management University, Singapore&lt;/auth-address&gt;&lt;titles&gt;&lt;title&gt;CEO Overconfidence and Management Forecasting&lt;/title&gt;&lt;secondary-title&gt;Contemporary Accounting Research&lt;/secondary-title&gt;&lt;/titles&gt;&lt;periodical&gt;&lt;full-title&gt;Contemporary Accounting Research&lt;/full-title&gt;&lt;/periodical&gt;&lt;pages&gt;204-227&lt;/pages&gt;&lt;volume&gt;33&lt;/volume&gt;&lt;number&gt;1&lt;/number&gt;&lt;dates&gt;&lt;year&gt;2016&lt;/year&gt;&lt;/dates&gt;&lt;work-type&gt;Article&lt;/work-type&gt;&lt;urls&gt;&lt;related-urls&gt;&lt;url&gt;https://www.scopus.com/inward/record.uri?eid=2-s2.0-84963705899&amp;amp;partnerID=40&amp;amp;md5=3ebaa0055a242e7f85b2401dcb6b13b8&lt;/url&gt;&lt;url&gt;http://onlinelibrary.wiley.com/store/10.1111/1911-3846.12144/asset/care12144.pdf?v=1&amp;amp;t=ir49vjoo&amp;amp;s=095e77f9a62d994bf469e25d68f6165227062748&lt;/url&gt;&lt;/related-urls&gt;&lt;/urls&gt;&lt;electronic-resource-num&gt;10.1111/1911-3846.12144&lt;/electronic-resource-num&gt;&lt;remote-database-name&gt;Scopus&lt;/remote-database-name&gt;&lt;/record&gt;&lt;/Cite&gt;&lt;/EndNote&gt;</w:instrText>
        </w:r>
        <w:r w:rsidR="006C57ED" w:rsidRPr="00131A5B">
          <w:fldChar w:fldCharType="separate"/>
        </w:r>
        <w:r w:rsidR="006C57ED" w:rsidRPr="00131A5B">
          <w:rPr>
            <w:noProof/>
          </w:rPr>
          <w:t>Hribar and Yang (2016)</w:t>
        </w:r>
        <w:r w:rsidR="006C57ED" w:rsidRPr="00131A5B">
          <w:fldChar w:fldCharType="end"/>
        </w:r>
      </w:hyperlink>
      <w:r w:rsidR="0038024C" w:rsidRPr="00131A5B">
        <w:t xml:space="preserve"> find that overconfident managers are more likely to issue earnings forecasts, be over-optimistic in their forecasts, and issue more precise forecasts. </w:t>
      </w:r>
      <w:r w:rsidR="006466C2" w:rsidRPr="00131A5B">
        <w:t>Yet, if investors are able to detect management misrepresentation and filter out</w:t>
      </w:r>
      <w:r w:rsidR="004F4B0B" w:rsidRPr="00131A5B">
        <w:t xml:space="preserve"> such</w:t>
      </w:r>
      <w:r w:rsidR="006466C2" w:rsidRPr="00131A5B">
        <w:t xml:space="preserve"> bias in their stock pricing </w:t>
      </w:r>
      <w:r w:rsidR="006466C2" w:rsidRPr="00131A5B">
        <w:fldChar w:fldCharType="begin"/>
      </w:r>
      <w:r w:rsidR="006466C2" w:rsidRPr="00131A5B">
        <w:instrText xml:space="preserve"> ADDIN EN.CITE &lt;EndNote&gt;&lt;Cite&gt;&lt;Author&gt;Rogers&lt;/Author&gt;&lt;Year&gt;2005&lt;/Year&gt;&lt;RecNum&gt;2148&lt;/RecNum&gt;&lt;DisplayText&gt;(Rogers &amp;amp; Stocken, 2005)&lt;/DisplayText&gt;&lt;record&gt;&lt;rec-number&gt;2148&lt;/rec-number&gt;&lt;foreign-keys&gt;&lt;key app="EN" db-id="20p2wrv0m2av96e55d1pzxv2zxx5pvw55d55" timestamp="1481664015"&gt;2148&lt;/key&gt;&lt;/foreign-keys&gt;&lt;ref-type name="Journal Article"&gt;17&lt;/ref-type&gt;&lt;contributors&gt;&lt;authors&gt;&lt;author&gt;Rogers, J. L.&lt;/author&gt;&lt;author&gt;Stocken, P. C.&lt;/author&gt;&lt;/authors&gt;&lt;/contributors&gt;&lt;auth-address&gt;University of Chicago, United States&amp;#xD;Dartmouth College, United States&lt;/auth-address&gt;&lt;titles&gt;&lt;title&gt;Credibility of management forecasts&lt;/title&gt;&lt;secondary-title&gt;Accounting Review&lt;/secondary-title&gt;&lt;/titles&gt;&lt;periodical&gt;&lt;full-title&gt;Accounting Review&lt;/full-title&gt;&lt;/periodical&gt;&lt;pages&gt;1233-1260&lt;/pages&gt;&lt;volume&gt;80&lt;/volume&gt;&lt;number&gt;4&lt;/number&gt;&lt;keywords&gt;&lt;keyword&gt;Management forecast credibility&lt;/keyword&gt;&lt;keyword&gt;Management incentives&lt;/keyword&gt;&lt;keyword&gt;Rational expectations&lt;/keyword&gt;&lt;keyword&gt;Voluntary disclosure&lt;/keyword&gt;&lt;/keywords&gt;&lt;dates&gt;&lt;year&gt;2005&lt;/year&gt;&lt;/dates&gt;&lt;work-type&gt;Review&lt;/work-type&gt;&lt;urls&gt;&lt;related-urls&gt;&lt;url&gt;https://www.scopus.com/inward/record.uri?eid=2-s2.0-27844536188&amp;amp;partnerID=40&amp;amp;md5=268a86f1796c5062fd3dc4fa7c2e6122&lt;/url&gt;&lt;/related-urls&gt;&lt;/urls&gt;&lt;remote-database-name&gt;Scopus&lt;/remote-database-name&gt;&lt;/record&gt;&lt;/Cite&gt;&lt;/EndNote&gt;</w:instrText>
      </w:r>
      <w:r w:rsidR="006466C2" w:rsidRPr="00131A5B">
        <w:fldChar w:fldCharType="separate"/>
      </w:r>
      <w:r w:rsidR="006466C2" w:rsidRPr="00131A5B">
        <w:rPr>
          <w:noProof/>
        </w:rPr>
        <w:t>(</w:t>
      </w:r>
      <w:hyperlink w:anchor="_ENREF_44" w:tooltip="Rogers, 2005 #2148" w:history="1">
        <w:r w:rsidR="006C57ED" w:rsidRPr="00131A5B">
          <w:rPr>
            <w:noProof/>
          </w:rPr>
          <w:t>Rogers &amp; Stocken, 2005</w:t>
        </w:r>
      </w:hyperlink>
      <w:r w:rsidR="006466C2" w:rsidRPr="00131A5B">
        <w:rPr>
          <w:noProof/>
        </w:rPr>
        <w:t>)</w:t>
      </w:r>
      <w:r w:rsidR="006466C2" w:rsidRPr="00131A5B">
        <w:fldChar w:fldCharType="end"/>
      </w:r>
      <w:r w:rsidR="006466C2" w:rsidRPr="00131A5B">
        <w:t xml:space="preserve">, then </w:t>
      </w:r>
      <w:r w:rsidR="006022A1" w:rsidRPr="00131A5B">
        <w:t>the absence of a</w:t>
      </w:r>
      <w:r w:rsidR="006466C2" w:rsidRPr="00131A5B">
        <w:t xml:space="preserve"> market reaction to transparency may be logical, particularly when historical earnings volatility is high. </w:t>
      </w:r>
      <w:r w:rsidR="006022A1" w:rsidRPr="00131A5B">
        <w:t>Alternatively, a real options</w:t>
      </w:r>
      <w:r w:rsidR="00C0779A" w:rsidRPr="00131A5B">
        <w:t xml:space="preserve"> explanation</w:t>
      </w:r>
      <w:r w:rsidR="00C0779A" w:rsidRPr="00F030E8">
        <w:t xml:space="preserve"> may be that </w:t>
      </w:r>
      <w:r w:rsidR="00F030E8" w:rsidRPr="00F030E8">
        <w:t xml:space="preserve">the negative </w:t>
      </w:r>
      <w:r w:rsidR="00EA217C" w:rsidRPr="003D6E55">
        <w:rPr>
          <w:i/>
        </w:rPr>
        <w:t>CAR</w:t>
      </w:r>
      <w:r w:rsidR="00EA217C">
        <w:t xml:space="preserve"> subsample</w:t>
      </w:r>
      <w:r w:rsidR="001513E0">
        <w:t xml:space="preserve"> firms</w:t>
      </w:r>
      <w:r w:rsidR="00F030E8" w:rsidRPr="00CF4E8D">
        <w:t xml:space="preserve"> may lack </w:t>
      </w:r>
      <w:r w:rsidR="002F53B2">
        <w:t xml:space="preserve">new </w:t>
      </w:r>
      <w:r w:rsidR="00F030E8" w:rsidRPr="00CF4E8D">
        <w:t>growth options</w:t>
      </w:r>
      <w:r w:rsidR="002F53B2">
        <w:t>,</w:t>
      </w:r>
      <w:r w:rsidR="00F030E8" w:rsidRPr="00CF4E8D">
        <w:t xml:space="preserve"> in which </w:t>
      </w:r>
      <w:r w:rsidR="002F53B2">
        <w:t xml:space="preserve">case </w:t>
      </w:r>
      <w:r w:rsidR="00F030E8" w:rsidRPr="00CF4E8D">
        <w:t xml:space="preserve">additional </w:t>
      </w:r>
      <w:r w:rsidR="00F030E8" w:rsidRPr="00F030E8">
        <w:t xml:space="preserve">transparency </w:t>
      </w:r>
      <w:r w:rsidR="006466C2">
        <w:t xml:space="preserve">may </w:t>
      </w:r>
      <w:r w:rsidR="00312065">
        <w:t>serve to</w:t>
      </w:r>
      <w:r w:rsidR="002F53B2">
        <w:t xml:space="preserve"> confirm the exercise</w:t>
      </w:r>
      <w:r w:rsidR="00307215">
        <w:t>/depletion</w:t>
      </w:r>
      <w:r w:rsidR="002F53B2">
        <w:t xml:space="preserve"> of such options.  </w:t>
      </w:r>
    </w:p>
    <w:p w14:paraId="00635CC7" w14:textId="119E9D32" w:rsidR="00DD2D79" w:rsidRDefault="00DD2D79" w:rsidP="009C20C7">
      <w:pPr>
        <w:spacing w:line="360" w:lineRule="auto"/>
        <w:jc w:val="both"/>
      </w:pPr>
    </w:p>
    <w:p w14:paraId="1BC2B487" w14:textId="7A7D831F" w:rsidR="00590246" w:rsidRDefault="008F74C4" w:rsidP="009222E4">
      <w:pPr>
        <w:spacing w:line="360" w:lineRule="auto"/>
        <w:jc w:val="both"/>
        <w:rPr>
          <w:rFonts w:ascii="Calibri" w:eastAsia="Times New Roman" w:hAnsi="Calibri" w:cs="Times New Roman"/>
          <w:color w:val="000000"/>
          <w:lang w:eastAsia="en-NZ"/>
        </w:rPr>
      </w:pPr>
      <w:r>
        <w:t>Next, a series of r</w:t>
      </w:r>
      <w:r w:rsidR="00DD2D79">
        <w:t>obustness tests</w:t>
      </w:r>
      <w:r w:rsidR="002F53B2" w:rsidRPr="002F53B2">
        <w:t xml:space="preserve"> </w:t>
      </w:r>
      <w:r>
        <w:t>are performed in Table 6, making additions to model</w:t>
      </w:r>
      <w:r w:rsidR="003D09A7">
        <w:t>s</w:t>
      </w:r>
      <w:r>
        <w:t xml:space="preserve"> 3 and 4 from Table </w:t>
      </w:r>
      <w:r w:rsidR="00CE289B">
        <w:t>4. We add</w:t>
      </w:r>
      <w:r>
        <w:t xml:space="preserve"> project size (</w:t>
      </w:r>
      <w:r w:rsidRPr="007801A8">
        <w:rPr>
          <w:i/>
        </w:rPr>
        <w:t>Cost</w:t>
      </w:r>
      <w:r>
        <w:rPr>
          <w:i/>
        </w:rPr>
        <w:t>)</w:t>
      </w:r>
      <w:r w:rsidRPr="007801A8">
        <w:rPr>
          <w:i/>
        </w:rPr>
        <w:t xml:space="preserve">, </w:t>
      </w:r>
      <w:r w:rsidR="00CE289B" w:rsidRPr="003D6E55">
        <w:t xml:space="preserve">a </w:t>
      </w:r>
      <w:r w:rsidR="00CE289B">
        <w:t xml:space="preserve">proxy for </w:t>
      </w:r>
      <w:r w:rsidR="00CE289B" w:rsidRPr="003D6E55">
        <w:t xml:space="preserve">information asymmetry </w:t>
      </w:r>
      <w:r>
        <w:t>(</w:t>
      </w:r>
      <w:r w:rsidRPr="007801A8">
        <w:rPr>
          <w:i/>
        </w:rPr>
        <w:t>Volatility</w:t>
      </w:r>
      <w:r>
        <w:rPr>
          <w:i/>
        </w:rPr>
        <w:t>)</w:t>
      </w:r>
      <w:r>
        <w:t xml:space="preserve"> and an alternative </w:t>
      </w:r>
      <w:r w:rsidR="00CF4E8D">
        <w:t>transparency</w:t>
      </w:r>
      <w:r>
        <w:t xml:space="preserve"> proxy, </w:t>
      </w:r>
      <w:r w:rsidRPr="007801A8">
        <w:rPr>
          <w:i/>
        </w:rPr>
        <w:t>DCP</w:t>
      </w:r>
      <w:r>
        <w:t xml:space="preserve">. </w:t>
      </w:r>
      <w:r w:rsidR="009E6D30">
        <w:t xml:space="preserve">The stock market reaction to project announcements may be stronger for relatively large projects, </w:t>
      </w:r>
      <w:r w:rsidR="00CE289B">
        <w:t>however, pr</w:t>
      </w:r>
      <w:r w:rsidR="00143592" w:rsidRPr="00FF2C41">
        <w:t xml:space="preserve">oject </w:t>
      </w:r>
      <w:r w:rsidR="00143592" w:rsidRPr="00E40165">
        <w:rPr>
          <w:i/>
        </w:rPr>
        <w:t>Cost</w:t>
      </w:r>
      <w:r w:rsidR="00143592" w:rsidRPr="00FF2C41">
        <w:t xml:space="preserve"> </w:t>
      </w:r>
      <w:r w:rsidR="004F4B0B" w:rsidRPr="00FF2C41">
        <w:t>reduces our sample size</w:t>
      </w:r>
      <w:r w:rsidR="004F4B0B">
        <w:t xml:space="preserve"> and </w:t>
      </w:r>
      <w:r w:rsidR="00143592" w:rsidRPr="00FF2C41">
        <w:t xml:space="preserve">is highly correlated </w:t>
      </w:r>
      <w:r w:rsidR="00CE289B">
        <w:t xml:space="preserve">with </w:t>
      </w:r>
      <w:r w:rsidR="00E258B9" w:rsidRPr="006A77ED">
        <w:rPr>
          <w:i/>
        </w:rPr>
        <w:t>Volatility</w:t>
      </w:r>
      <w:r w:rsidR="00143592" w:rsidRPr="003D6E55">
        <w:t xml:space="preserve">, </w:t>
      </w:r>
      <w:r w:rsidR="00CE289B" w:rsidRPr="002F6FA5">
        <w:rPr>
          <w:i/>
        </w:rPr>
        <w:t>CFD</w:t>
      </w:r>
      <w:r w:rsidR="00CE289B" w:rsidRPr="002F6FA5">
        <w:rPr>
          <w:i/>
          <w:vertAlign w:val="subscript"/>
        </w:rPr>
        <w:t>H</w:t>
      </w:r>
      <w:r w:rsidR="00CE289B" w:rsidRPr="003D6E55">
        <w:t xml:space="preserve"> and </w:t>
      </w:r>
      <w:r w:rsidR="00CE289B" w:rsidRPr="002F6FA5">
        <w:rPr>
          <w:i/>
        </w:rPr>
        <w:t>MBD</w:t>
      </w:r>
      <w:r w:rsidR="00CE289B" w:rsidRPr="002F6FA5">
        <w:rPr>
          <w:i/>
          <w:vertAlign w:val="subscript"/>
        </w:rPr>
        <w:t>L</w:t>
      </w:r>
      <w:r w:rsidR="00143592" w:rsidRPr="00CE289B">
        <w:t>.</w:t>
      </w:r>
      <w:r w:rsidR="00143592" w:rsidRPr="00FF2C41">
        <w:t xml:space="preserve"> </w:t>
      </w:r>
      <w:r w:rsidR="00EF116A" w:rsidRPr="005038E6">
        <w:rPr>
          <w:i/>
        </w:rPr>
        <w:t>Volatility</w:t>
      </w:r>
      <w:r w:rsidR="00EF116A" w:rsidRPr="005038E6">
        <w:rPr>
          <w:i/>
          <w:vertAlign w:val="subscript"/>
        </w:rPr>
        <w:t>i,</w:t>
      </w:r>
      <w:r w:rsidR="00EF116A">
        <w:rPr>
          <w:i/>
          <w:vertAlign w:val="subscript"/>
        </w:rPr>
        <w:t>n</w:t>
      </w:r>
      <w:r w:rsidR="00EF116A">
        <w:t xml:space="preserve"> is a proxy for uncertainty in a firm’s information environment </w:t>
      </w:r>
      <w:r w:rsidR="00EF116A">
        <w:fldChar w:fldCharType="begin"/>
      </w:r>
      <w:r w:rsidR="00EF116A">
        <w:instrText xml:space="preserve"> ADDIN EN.CITE &lt;EndNote&gt;&lt;Cite&gt;&lt;Author&gt;Zhang&lt;/Author&gt;&lt;Year&gt;2006&lt;/Year&gt;&lt;RecNum&gt;360&lt;/RecNum&gt;&lt;DisplayText&gt;(Zhang, 2006)&lt;/DisplayText&gt;&lt;record&gt;&lt;rec-number&gt;360&lt;/rec-number&gt;&lt;foreign-keys&gt;&lt;key app="EN" db-id="20p2wrv0m2av96e55d1pzxv2zxx5pvw55d55" timestamp="0"&gt;360&lt;/key&gt;&lt;/foreign-keys&gt;&lt;ref-type name="Journal Article"&gt;17&lt;/ref-type&gt;&lt;contributors&gt;&lt;authors&gt;&lt;author&gt;Zhang, X. F.&lt;/author&gt;&lt;/authors&gt;&lt;/contributors&gt;&lt;titles&gt;&lt;title&gt;Information uncertainty and stock returns&lt;/title&gt;&lt;secondary-title&gt;Journal of Finance&lt;/secondary-title&gt;&lt;/titles&gt;&lt;periodical&gt;&lt;full-title&gt;Journal of Finance&lt;/full-title&gt;&lt;/periodical&gt;&lt;pages&gt;105-136&lt;/pages&gt;&lt;volume&gt;61&lt;/volume&gt;&lt;number&gt;1&lt;/number&gt;&lt;keywords&gt;&lt;keyword&gt;momentum strategies&lt;/keyword&gt;&lt;keyword&gt;security market&lt;/keyword&gt;&lt;keyword&gt;investor psychology&lt;/keyword&gt;&lt;keyword&gt;disclosure level&lt;/keyword&gt;&lt;keyword&gt;earnings&lt;/keyword&gt;&lt;keyword&gt;returns&lt;/keyword&gt;&lt;keyword&gt;cost&lt;/keyword&gt;&lt;keyword&gt;profitability&lt;/keyword&gt;&lt;keyword&gt;explanations&lt;/keyword&gt;&lt;keyword&gt;equilibrium&lt;/keyword&gt;&lt;/keywords&gt;&lt;dates&gt;&lt;year&gt;2006&lt;/year&gt;&lt;pub-dates&gt;&lt;date&gt;Feb&lt;/date&gt;&lt;/pub-dates&gt;&lt;/dates&gt;&lt;accession-num&gt;CCC:000234800300004&lt;/accession-num&gt;&lt;label&gt;announcements/stock returns/capital markets/event study&lt;/label&gt;&lt;urls&gt;&lt;related-urls&gt;&lt;url&gt;&amp;lt;Go to ISI&amp;gt;://000234800300004&lt;/url&gt;&lt;/related-urls&gt;&lt;/urls&gt;&lt;/record&gt;&lt;/Cite&gt;&lt;/EndNote&gt;</w:instrText>
      </w:r>
      <w:r w:rsidR="00EF116A">
        <w:fldChar w:fldCharType="separate"/>
      </w:r>
      <w:r w:rsidR="00EF116A">
        <w:rPr>
          <w:noProof/>
        </w:rPr>
        <w:t>(</w:t>
      </w:r>
      <w:hyperlink w:anchor="_ENREF_49" w:tooltip="Zhang, 2006 #360" w:history="1">
        <w:r w:rsidR="006C57ED">
          <w:rPr>
            <w:noProof/>
          </w:rPr>
          <w:t>Zhang, 2006</w:t>
        </w:r>
      </w:hyperlink>
      <w:r w:rsidR="00EF116A">
        <w:rPr>
          <w:noProof/>
        </w:rPr>
        <w:t>)</w:t>
      </w:r>
      <w:r w:rsidR="00EF116A">
        <w:fldChar w:fldCharType="end"/>
      </w:r>
      <w:r w:rsidR="00EF116A">
        <w:t xml:space="preserve"> and is measured as the standard deviation of firm i’s daily stock returns for the 100 days ending 21 days before the announcement. </w:t>
      </w:r>
      <w:r w:rsidR="00CF4E8D" w:rsidRPr="007801A8">
        <w:rPr>
          <w:i/>
        </w:rPr>
        <w:t>DCP</w:t>
      </w:r>
      <w:r w:rsidR="00CF4E8D">
        <w:rPr>
          <w:b/>
        </w:rPr>
        <w:t xml:space="preserve"> </w:t>
      </w:r>
      <w:r w:rsidR="00CF4E8D" w:rsidRPr="006A77ED">
        <w:t>is an</w:t>
      </w:r>
      <w:r w:rsidR="00CF4E8D">
        <w:t xml:space="preserve"> alternative measure of transparency, being a dummy variable equal to one when both profitability forecasts and project cost are disclosed in </w:t>
      </w:r>
      <w:r w:rsidR="00CF4E8D">
        <w:rPr>
          <w:rFonts w:ascii="Calibri" w:eastAsia="Calibri" w:hAnsi="Calibri" w:cs="Times New Roman"/>
        </w:rPr>
        <w:t xml:space="preserve">project </w:t>
      </w:r>
      <w:r w:rsidR="00CF4E8D" w:rsidRPr="00546729">
        <w:rPr>
          <w:rFonts w:ascii="Calibri" w:eastAsia="Calibri" w:hAnsi="Calibri" w:cs="Times New Roman"/>
          <w:i/>
        </w:rPr>
        <w:t>j</w:t>
      </w:r>
      <w:r w:rsidR="00CF4E8D">
        <w:rPr>
          <w:rFonts w:ascii="Calibri" w:eastAsia="Calibri" w:hAnsi="Calibri" w:cs="Times New Roman"/>
        </w:rPr>
        <w:t xml:space="preserve"> announcement by firm </w:t>
      </w:r>
      <w:r w:rsidR="00CF4E8D" w:rsidRPr="00546729">
        <w:rPr>
          <w:rFonts w:ascii="Calibri" w:eastAsia="Calibri" w:hAnsi="Calibri" w:cs="Times New Roman"/>
          <w:i/>
        </w:rPr>
        <w:t>i</w:t>
      </w:r>
      <w:r w:rsidR="00CE289B">
        <w:rPr>
          <w:rFonts w:ascii="Calibri" w:eastAsia="Calibri" w:hAnsi="Calibri" w:cs="Times New Roman"/>
        </w:rPr>
        <w:t>, and zero otherwise.</w:t>
      </w:r>
      <w:r w:rsidR="00CF4E8D">
        <w:rPr>
          <w:rFonts w:ascii="Calibri" w:eastAsia="Calibri" w:hAnsi="Calibri" w:cs="Times New Roman"/>
        </w:rPr>
        <w:t xml:space="preserve"> </w:t>
      </w:r>
      <w:r w:rsidR="007E7FE6">
        <w:rPr>
          <w:rFonts w:ascii="Calibri" w:eastAsia="Calibri" w:hAnsi="Calibri" w:cs="Times New Roman"/>
        </w:rPr>
        <w:t xml:space="preserve">Models 1, 2 and 3 update the </w:t>
      </w:r>
      <w:r w:rsidR="00E258B9">
        <w:rPr>
          <w:rFonts w:ascii="Calibri" w:eastAsia="Calibri" w:hAnsi="Calibri" w:cs="Times New Roman"/>
        </w:rPr>
        <w:t xml:space="preserve">positive </w:t>
      </w:r>
      <w:r w:rsidR="00E258B9" w:rsidRPr="006A77ED">
        <w:rPr>
          <w:rFonts w:ascii="Calibri" w:eastAsia="Calibri" w:hAnsi="Calibri" w:cs="Times New Roman"/>
          <w:i/>
        </w:rPr>
        <w:t>CAR</w:t>
      </w:r>
      <w:r w:rsidR="00E258B9">
        <w:rPr>
          <w:rFonts w:ascii="Calibri" w:eastAsia="Calibri" w:hAnsi="Calibri" w:cs="Times New Roman"/>
        </w:rPr>
        <w:t xml:space="preserve"> </w:t>
      </w:r>
      <w:r w:rsidR="007E7FE6">
        <w:rPr>
          <w:rFonts w:ascii="Calibri" w:eastAsia="Calibri" w:hAnsi="Calibri" w:cs="Times New Roman"/>
        </w:rPr>
        <w:t>regressions to add the new variables</w:t>
      </w:r>
      <w:r w:rsidR="00E258B9">
        <w:rPr>
          <w:rFonts w:ascii="Calibri" w:eastAsia="Calibri" w:hAnsi="Calibri" w:cs="Times New Roman"/>
        </w:rPr>
        <w:t xml:space="preserve"> each in turn</w:t>
      </w:r>
      <w:r w:rsidR="007E7FE6">
        <w:rPr>
          <w:rFonts w:ascii="Calibri" w:eastAsia="Calibri" w:hAnsi="Calibri" w:cs="Times New Roman"/>
        </w:rPr>
        <w:t xml:space="preserve">. Neither </w:t>
      </w:r>
      <w:r w:rsidR="007E7FE6" w:rsidRPr="00E40165">
        <w:rPr>
          <w:i/>
        </w:rPr>
        <w:t>Cost</w:t>
      </w:r>
      <w:r w:rsidR="007E7FE6">
        <w:rPr>
          <w:rFonts w:ascii="Calibri" w:eastAsia="Calibri" w:hAnsi="Calibri" w:cs="Times New Roman"/>
        </w:rPr>
        <w:t xml:space="preserve"> nor </w:t>
      </w:r>
      <w:r w:rsidR="007E7FE6">
        <w:rPr>
          <w:rFonts w:ascii="Calibri" w:eastAsia="Times New Roman" w:hAnsi="Calibri" w:cs="Times New Roman"/>
          <w:i/>
          <w:color w:val="000000"/>
          <w:lang w:eastAsia="en-NZ"/>
        </w:rPr>
        <w:t xml:space="preserve">Volatility </w:t>
      </w:r>
      <w:r w:rsidR="007E7FE6">
        <w:rPr>
          <w:rFonts w:ascii="Calibri" w:eastAsia="Times New Roman" w:hAnsi="Calibri" w:cs="Times New Roman"/>
          <w:color w:val="000000"/>
          <w:lang w:eastAsia="en-NZ"/>
        </w:rPr>
        <w:t xml:space="preserve">appear to add any additional explanatory power to the positive </w:t>
      </w:r>
      <w:r w:rsidR="003B13F2" w:rsidRPr="003B13F2">
        <w:rPr>
          <w:rFonts w:ascii="Calibri" w:eastAsia="Times New Roman" w:hAnsi="Calibri" w:cs="Times New Roman"/>
          <w:i/>
          <w:color w:val="000000"/>
          <w:lang w:eastAsia="en-NZ"/>
        </w:rPr>
        <w:t>CAR</w:t>
      </w:r>
      <w:r w:rsidR="007E7FE6">
        <w:rPr>
          <w:rFonts w:ascii="Calibri" w:eastAsia="Times New Roman" w:hAnsi="Calibri" w:cs="Times New Roman"/>
          <w:color w:val="000000"/>
          <w:lang w:eastAsia="en-NZ"/>
        </w:rPr>
        <w:t xml:space="preserve"> regressions</w:t>
      </w:r>
      <w:r w:rsidR="00F85082">
        <w:rPr>
          <w:rFonts w:ascii="Calibri" w:eastAsia="Times New Roman" w:hAnsi="Calibri" w:cs="Times New Roman"/>
          <w:color w:val="000000"/>
          <w:lang w:eastAsia="en-NZ"/>
        </w:rPr>
        <w:t>,</w:t>
      </w:r>
      <w:r w:rsidR="007E7FE6">
        <w:rPr>
          <w:rFonts w:ascii="Calibri" w:eastAsia="Times New Roman" w:hAnsi="Calibri" w:cs="Times New Roman"/>
          <w:color w:val="000000"/>
          <w:lang w:eastAsia="en-NZ"/>
        </w:rPr>
        <w:t xml:space="preserve"> and the coefficients for the main variables of interest, </w:t>
      </w:r>
      <w:r w:rsidR="007E7FE6" w:rsidRPr="006A77ED">
        <w:rPr>
          <w:rFonts w:ascii="Calibri" w:eastAsia="Times New Roman" w:hAnsi="Calibri" w:cs="Times New Roman"/>
          <w:i/>
          <w:color w:val="000000"/>
          <w:lang w:eastAsia="en-NZ"/>
        </w:rPr>
        <w:t>DQ</w:t>
      </w:r>
      <w:r w:rsidR="007E7FE6">
        <w:rPr>
          <w:rFonts w:ascii="Calibri" w:eastAsia="Times New Roman" w:hAnsi="Calibri" w:cs="Times New Roman"/>
          <w:color w:val="000000"/>
          <w:lang w:eastAsia="en-NZ"/>
        </w:rPr>
        <w:t xml:space="preserve">, </w:t>
      </w:r>
      <w:r w:rsidR="007E7FE6" w:rsidRPr="006A77ED">
        <w:rPr>
          <w:rFonts w:ascii="Calibri" w:eastAsia="Times New Roman" w:hAnsi="Calibri" w:cs="Times New Roman"/>
          <w:i/>
          <w:color w:val="000000"/>
          <w:lang w:eastAsia="en-NZ"/>
        </w:rPr>
        <w:t xml:space="preserve">SDEarn </w:t>
      </w:r>
      <w:r w:rsidR="007E7FE6">
        <w:rPr>
          <w:rFonts w:ascii="Calibri" w:eastAsia="Times New Roman" w:hAnsi="Calibri" w:cs="Times New Roman"/>
          <w:color w:val="000000"/>
          <w:lang w:eastAsia="en-NZ"/>
        </w:rPr>
        <w:t xml:space="preserve">and </w:t>
      </w:r>
      <w:r w:rsidR="007E7FE6" w:rsidRPr="00B376A1">
        <w:rPr>
          <w:rFonts w:ascii="Calibri" w:eastAsia="Times New Roman" w:hAnsi="Calibri" w:cs="Times New Roman"/>
          <w:i/>
          <w:color w:val="000000"/>
          <w:lang w:eastAsia="en-NZ"/>
        </w:rPr>
        <w:t xml:space="preserve">DQ </w:t>
      </w:r>
      <w:r w:rsidR="007E7FE6" w:rsidRPr="00B376A1">
        <w:rPr>
          <w:rFonts w:ascii="Calibri" w:eastAsia="Times New Roman" w:hAnsi="Calibri" w:cs="Calibri"/>
          <w:i/>
          <w:color w:val="000000"/>
          <w:lang w:eastAsia="en-NZ"/>
        </w:rPr>
        <w:t>×</w:t>
      </w:r>
      <w:r w:rsidR="007E7FE6">
        <w:rPr>
          <w:rFonts w:ascii="Calibri" w:eastAsia="Times New Roman" w:hAnsi="Calibri" w:cs="Times New Roman"/>
          <w:i/>
          <w:color w:val="000000"/>
          <w:lang w:eastAsia="en-NZ"/>
        </w:rPr>
        <w:t xml:space="preserve"> SDEarn</w:t>
      </w:r>
      <w:r w:rsidR="007E7FE6">
        <w:rPr>
          <w:rFonts w:ascii="Calibri" w:eastAsia="Times New Roman" w:hAnsi="Calibri" w:cs="Times New Roman"/>
          <w:color w:val="000000"/>
          <w:lang w:eastAsia="en-NZ"/>
        </w:rPr>
        <w:t xml:space="preserve"> retain the same signs and remain significant as in Table </w:t>
      </w:r>
      <w:r w:rsidR="00CE289B">
        <w:rPr>
          <w:rFonts w:ascii="Calibri" w:eastAsia="Times New Roman" w:hAnsi="Calibri" w:cs="Times New Roman"/>
          <w:color w:val="000000"/>
          <w:lang w:eastAsia="en-NZ"/>
        </w:rPr>
        <w:t>4</w:t>
      </w:r>
      <w:r w:rsidR="007E7FE6">
        <w:rPr>
          <w:rFonts w:ascii="Calibri" w:eastAsia="Times New Roman" w:hAnsi="Calibri" w:cs="Times New Roman"/>
          <w:color w:val="000000"/>
          <w:lang w:eastAsia="en-NZ"/>
        </w:rPr>
        <w:t>. The change in the transparen</w:t>
      </w:r>
      <w:r w:rsidR="008F4355">
        <w:rPr>
          <w:rFonts w:ascii="Calibri" w:eastAsia="Times New Roman" w:hAnsi="Calibri" w:cs="Times New Roman"/>
          <w:color w:val="000000"/>
          <w:lang w:eastAsia="en-NZ"/>
        </w:rPr>
        <w:t xml:space="preserve">cy measure from </w:t>
      </w:r>
      <w:r w:rsidR="008F4355" w:rsidRPr="006A77ED">
        <w:rPr>
          <w:rFonts w:ascii="Calibri" w:eastAsia="Times New Roman" w:hAnsi="Calibri" w:cs="Times New Roman"/>
          <w:i/>
          <w:color w:val="000000"/>
          <w:lang w:eastAsia="en-NZ"/>
        </w:rPr>
        <w:t>DQ</w:t>
      </w:r>
      <w:r w:rsidR="008F4355">
        <w:rPr>
          <w:rFonts w:ascii="Calibri" w:eastAsia="Times New Roman" w:hAnsi="Calibri" w:cs="Times New Roman"/>
          <w:color w:val="000000"/>
          <w:lang w:eastAsia="en-NZ"/>
        </w:rPr>
        <w:t xml:space="preserve"> to </w:t>
      </w:r>
      <w:r w:rsidR="008F4355" w:rsidRPr="006A77ED">
        <w:rPr>
          <w:rFonts w:ascii="Calibri" w:eastAsia="Times New Roman" w:hAnsi="Calibri" w:cs="Times New Roman"/>
          <w:i/>
          <w:color w:val="000000"/>
          <w:lang w:eastAsia="en-NZ"/>
        </w:rPr>
        <w:t>DCP</w:t>
      </w:r>
      <w:r w:rsidR="008F4355">
        <w:rPr>
          <w:rFonts w:ascii="Calibri" w:eastAsia="Times New Roman" w:hAnsi="Calibri" w:cs="Times New Roman"/>
          <w:color w:val="000000"/>
          <w:lang w:eastAsia="en-NZ"/>
        </w:rPr>
        <w:t xml:space="preserve"> also leaves the results materially unchanged. Models 4, 5 and 6 revise the regressions for the negative </w:t>
      </w:r>
      <w:r w:rsidR="003B13F2" w:rsidRPr="003B13F2">
        <w:rPr>
          <w:rFonts w:ascii="Calibri" w:eastAsia="Times New Roman" w:hAnsi="Calibri" w:cs="Times New Roman"/>
          <w:i/>
          <w:color w:val="000000"/>
          <w:lang w:eastAsia="en-NZ"/>
        </w:rPr>
        <w:t>CAR</w:t>
      </w:r>
      <w:r w:rsidR="008F4355">
        <w:rPr>
          <w:rFonts w:ascii="Calibri" w:eastAsia="Times New Roman" w:hAnsi="Calibri" w:cs="Times New Roman"/>
          <w:color w:val="000000"/>
          <w:lang w:eastAsia="en-NZ"/>
        </w:rPr>
        <w:t xml:space="preserve"> </w:t>
      </w:r>
      <w:r w:rsidR="00EA217C">
        <w:rPr>
          <w:rFonts w:ascii="Calibri" w:eastAsia="Times New Roman" w:hAnsi="Calibri" w:cs="Times New Roman"/>
          <w:color w:val="000000"/>
          <w:lang w:eastAsia="en-NZ"/>
        </w:rPr>
        <w:t>subsample</w:t>
      </w:r>
      <w:r w:rsidR="008F4355">
        <w:rPr>
          <w:rFonts w:ascii="Calibri" w:eastAsia="Times New Roman" w:hAnsi="Calibri" w:cs="Times New Roman"/>
          <w:color w:val="000000"/>
          <w:lang w:eastAsia="en-NZ"/>
        </w:rPr>
        <w:t xml:space="preserve">. Model 4 reveals that </w:t>
      </w:r>
      <w:r w:rsidR="00134000">
        <w:rPr>
          <w:rFonts w:ascii="Calibri" w:eastAsia="Times New Roman" w:hAnsi="Calibri" w:cs="Times New Roman"/>
          <w:color w:val="000000"/>
          <w:lang w:eastAsia="en-NZ"/>
        </w:rPr>
        <w:t xml:space="preserve">the </w:t>
      </w:r>
      <w:r w:rsidR="008F4355">
        <w:rPr>
          <w:rFonts w:ascii="Calibri" w:eastAsia="Times New Roman" w:hAnsi="Calibri" w:cs="Times New Roman"/>
          <w:color w:val="000000"/>
          <w:lang w:eastAsia="en-NZ"/>
        </w:rPr>
        <w:t xml:space="preserve">coefficient for project </w:t>
      </w:r>
      <w:r w:rsidR="008F4355" w:rsidRPr="006A77ED">
        <w:rPr>
          <w:rFonts w:ascii="Calibri" w:eastAsia="Times New Roman" w:hAnsi="Calibri" w:cs="Times New Roman"/>
          <w:i/>
          <w:color w:val="000000"/>
          <w:lang w:eastAsia="en-NZ"/>
        </w:rPr>
        <w:t xml:space="preserve">Cost </w:t>
      </w:r>
      <w:r w:rsidR="008F4355">
        <w:rPr>
          <w:rFonts w:ascii="Calibri" w:eastAsia="Times New Roman" w:hAnsi="Calibri" w:cs="Times New Roman"/>
          <w:color w:val="000000"/>
          <w:lang w:eastAsia="en-NZ"/>
        </w:rPr>
        <w:t xml:space="preserve">is </w:t>
      </w:r>
      <w:r w:rsidR="00134000">
        <w:rPr>
          <w:rFonts w:ascii="Calibri" w:eastAsia="Times New Roman" w:hAnsi="Calibri" w:cs="Times New Roman"/>
          <w:color w:val="000000"/>
          <w:lang w:eastAsia="en-NZ"/>
        </w:rPr>
        <w:t xml:space="preserve">significantly </w:t>
      </w:r>
      <w:r w:rsidR="008F4355">
        <w:rPr>
          <w:rFonts w:ascii="Calibri" w:eastAsia="Times New Roman" w:hAnsi="Calibri" w:cs="Times New Roman"/>
          <w:color w:val="000000"/>
          <w:lang w:eastAsia="en-NZ"/>
        </w:rPr>
        <w:t xml:space="preserve">negative </w:t>
      </w:r>
      <w:r w:rsidR="00FD53DC">
        <w:rPr>
          <w:rFonts w:ascii="Calibri" w:eastAsia="Times New Roman" w:hAnsi="Calibri" w:cs="Times New Roman"/>
          <w:color w:val="000000"/>
          <w:lang w:eastAsia="en-NZ"/>
        </w:rPr>
        <w:t>(1% level)</w:t>
      </w:r>
      <w:r w:rsidR="008F4355">
        <w:rPr>
          <w:rFonts w:ascii="Calibri" w:eastAsia="Times New Roman" w:hAnsi="Calibri" w:cs="Times New Roman"/>
          <w:color w:val="000000"/>
          <w:lang w:eastAsia="en-NZ"/>
        </w:rPr>
        <w:t xml:space="preserve">, the coefficient for </w:t>
      </w:r>
      <w:r w:rsidR="008F4355" w:rsidRPr="006A77ED">
        <w:rPr>
          <w:rFonts w:ascii="Calibri" w:eastAsia="Times New Roman" w:hAnsi="Calibri" w:cs="Times New Roman"/>
          <w:i/>
          <w:color w:val="000000"/>
          <w:lang w:eastAsia="en-NZ"/>
        </w:rPr>
        <w:t xml:space="preserve">SDEarn </w:t>
      </w:r>
      <w:r w:rsidR="008F4355">
        <w:rPr>
          <w:rFonts w:ascii="Calibri" w:eastAsia="Times New Roman" w:hAnsi="Calibri" w:cs="Times New Roman"/>
          <w:color w:val="000000"/>
          <w:lang w:eastAsia="en-NZ"/>
        </w:rPr>
        <w:t xml:space="preserve">is no longer significant, and the coefficient on the </w:t>
      </w:r>
      <w:r w:rsidR="008F4355" w:rsidRPr="00B376A1">
        <w:rPr>
          <w:rFonts w:ascii="Calibri" w:eastAsia="Times New Roman" w:hAnsi="Calibri" w:cs="Times New Roman"/>
          <w:i/>
          <w:color w:val="000000"/>
          <w:lang w:eastAsia="en-NZ"/>
        </w:rPr>
        <w:t xml:space="preserve">DQ </w:t>
      </w:r>
      <w:r w:rsidR="008F4355" w:rsidRPr="00B376A1">
        <w:rPr>
          <w:rFonts w:ascii="Calibri" w:eastAsia="Times New Roman" w:hAnsi="Calibri" w:cs="Calibri"/>
          <w:i/>
          <w:color w:val="000000"/>
          <w:lang w:eastAsia="en-NZ"/>
        </w:rPr>
        <w:t>×</w:t>
      </w:r>
      <w:r w:rsidR="008F4355">
        <w:rPr>
          <w:rFonts w:ascii="Calibri" w:eastAsia="Times New Roman" w:hAnsi="Calibri" w:cs="Times New Roman"/>
          <w:i/>
          <w:color w:val="000000"/>
          <w:lang w:eastAsia="en-NZ"/>
        </w:rPr>
        <w:t xml:space="preserve"> SDEarn </w:t>
      </w:r>
      <w:r w:rsidR="008F4355">
        <w:rPr>
          <w:rFonts w:ascii="Calibri" w:eastAsia="Times New Roman" w:hAnsi="Calibri" w:cs="Times New Roman"/>
          <w:color w:val="000000"/>
          <w:lang w:eastAsia="en-NZ"/>
        </w:rPr>
        <w:t xml:space="preserve">interaction remains significantly negative </w:t>
      </w:r>
      <w:r w:rsidR="00FD53DC">
        <w:rPr>
          <w:rFonts w:ascii="Calibri" w:eastAsia="Times New Roman" w:hAnsi="Calibri" w:cs="Times New Roman"/>
          <w:color w:val="000000"/>
          <w:lang w:eastAsia="en-NZ"/>
        </w:rPr>
        <w:t>(5% level)</w:t>
      </w:r>
      <w:r w:rsidR="008F4355">
        <w:rPr>
          <w:rFonts w:ascii="Calibri" w:eastAsia="Times New Roman" w:hAnsi="Calibri" w:cs="Times New Roman"/>
          <w:color w:val="000000"/>
          <w:lang w:eastAsia="en-NZ"/>
        </w:rPr>
        <w:t xml:space="preserve">. </w:t>
      </w:r>
      <w:r w:rsidR="00F85082">
        <w:rPr>
          <w:rFonts w:ascii="Calibri" w:eastAsia="Times New Roman" w:hAnsi="Calibri" w:cs="Times New Roman"/>
          <w:color w:val="000000"/>
          <w:lang w:eastAsia="en-NZ"/>
        </w:rPr>
        <w:t xml:space="preserve">Although </w:t>
      </w:r>
      <w:r w:rsidR="008F4355">
        <w:rPr>
          <w:rFonts w:ascii="Calibri" w:eastAsia="Times New Roman" w:hAnsi="Calibri" w:cs="Times New Roman"/>
          <w:color w:val="000000"/>
          <w:lang w:eastAsia="en-NZ"/>
        </w:rPr>
        <w:t xml:space="preserve">the addition of </w:t>
      </w:r>
      <w:r w:rsidR="008F4355" w:rsidRPr="006A77ED">
        <w:rPr>
          <w:rFonts w:ascii="Calibri" w:eastAsia="Times New Roman" w:hAnsi="Calibri" w:cs="Times New Roman"/>
          <w:i/>
          <w:color w:val="000000"/>
          <w:lang w:eastAsia="en-NZ"/>
        </w:rPr>
        <w:t>Cost</w:t>
      </w:r>
      <w:r w:rsidR="008F4355">
        <w:rPr>
          <w:rFonts w:ascii="Calibri" w:eastAsia="Times New Roman" w:hAnsi="Calibri" w:cs="Times New Roman"/>
          <w:color w:val="000000"/>
          <w:lang w:eastAsia="en-NZ"/>
        </w:rPr>
        <w:t xml:space="preserve"> reduces our negative </w:t>
      </w:r>
      <w:r w:rsidR="003B13F2" w:rsidRPr="003B13F2">
        <w:rPr>
          <w:rFonts w:ascii="Calibri" w:eastAsia="Times New Roman" w:hAnsi="Calibri" w:cs="Times New Roman"/>
          <w:i/>
          <w:color w:val="000000"/>
          <w:lang w:eastAsia="en-NZ"/>
        </w:rPr>
        <w:t>CAR</w:t>
      </w:r>
      <w:r w:rsidR="008F4355">
        <w:rPr>
          <w:rFonts w:ascii="Calibri" w:eastAsia="Times New Roman" w:hAnsi="Calibri" w:cs="Times New Roman"/>
          <w:color w:val="000000"/>
          <w:lang w:eastAsia="en-NZ"/>
        </w:rPr>
        <w:t xml:space="preserve"> sample size from 131 to 108</w:t>
      </w:r>
      <w:r w:rsidR="00F85082">
        <w:rPr>
          <w:rFonts w:ascii="Calibri" w:eastAsia="Times New Roman" w:hAnsi="Calibri" w:cs="Times New Roman"/>
          <w:color w:val="000000"/>
          <w:lang w:eastAsia="en-NZ"/>
        </w:rPr>
        <w:t xml:space="preserve">, </w:t>
      </w:r>
      <w:r w:rsidR="008F4355">
        <w:rPr>
          <w:rFonts w:ascii="Calibri" w:eastAsia="Times New Roman" w:hAnsi="Calibri" w:cs="Times New Roman"/>
          <w:color w:val="000000"/>
          <w:lang w:eastAsia="en-NZ"/>
        </w:rPr>
        <w:t xml:space="preserve">the coefficient on </w:t>
      </w:r>
      <w:r w:rsidR="008F4355" w:rsidRPr="00B376A1">
        <w:rPr>
          <w:rFonts w:ascii="Calibri" w:eastAsia="Times New Roman" w:hAnsi="Calibri" w:cs="Times New Roman"/>
          <w:i/>
          <w:color w:val="000000"/>
          <w:lang w:eastAsia="en-NZ"/>
        </w:rPr>
        <w:t xml:space="preserve">DQ </w:t>
      </w:r>
      <w:r w:rsidR="008F4355" w:rsidRPr="00B376A1">
        <w:rPr>
          <w:rFonts w:ascii="Calibri" w:eastAsia="Times New Roman" w:hAnsi="Calibri" w:cs="Calibri"/>
          <w:i/>
          <w:color w:val="000000"/>
          <w:lang w:eastAsia="en-NZ"/>
        </w:rPr>
        <w:t>×</w:t>
      </w:r>
      <w:r w:rsidR="008F4355">
        <w:rPr>
          <w:rFonts w:ascii="Calibri" w:eastAsia="Times New Roman" w:hAnsi="Calibri" w:cs="Times New Roman"/>
          <w:i/>
          <w:color w:val="000000"/>
          <w:lang w:eastAsia="en-NZ"/>
        </w:rPr>
        <w:t xml:space="preserve"> SDEarn </w:t>
      </w:r>
      <w:r w:rsidR="008F4355">
        <w:rPr>
          <w:rFonts w:ascii="Calibri" w:eastAsia="Times New Roman" w:hAnsi="Calibri" w:cs="Times New Roman"/>
          <w:color w:val="000000"/>
          <w:lang w:eastAsia="en-NZ"/>
        </w:rPr>
        <w:t>remains relative</w:t>
      </w:r>
      <w:r w:rsidR="009222E4">
        <w:rPr>
          <w:rFonts w:ascii="Calibri" w:eastAsia="Times New Roman" w:hAnsi="Calibri" w:cs="Times New Roman"/>
          <w:color w:val="000000"/>
          <w:lang w:eastAsia="en-NZ"/>
        </w:rPr>
        <w:t>ly</w:t>
      </w:r>
      <w:r w:rsidR="008F4355">
        <w:rPr>
          <w:rFonts w:ascii="Calibri" w:eastAsia="Times New Roman" w:hAnsi="Calibri" w:cs="Times New Roman"/>
          <w:color w:val="000000"/>
          <w:lang w:eastAsia="en-NZ"/>
        </w:rPr>
        <w:t xml:space="preserve"> unchanged</w:t>
      </w:r>
      <w:r w:rsidR="009222E4">
        <w:rPr>
          <w:rFonts w:ascii="Calibri" w:eastAsia="Times New Roman" w:hAnsi="Calibri" w:cs="Times New Roman"/>
          <w:color w:val="000000"/>
          <w:lang w:eastAsia="en-NZ"/>
        </w:rPr>
        <w:t xml:space="preserve"> from Table 5. Adding </w:t>
      </w:r>
      <w:r w:rsidR="009222E4">
        <w:rPr>
          <w:rFonts w:ascii="Calibri" w:eastAsia="Times New Roman" w:hAnsi="Calibri" w:cs="Times New Roman"/>
          <w:i/>
          <w:color w:val="000000"/>
          <w:lang w:eastAsia="en-NZ"/>
        </w:rPr>
        <w:t>Volatility</w:t>
      </w:r>
      <w:r w:rsidR="009222E4">
        <w:rPr>
          <w:rFonts w:ascii="Calibri" w:eastAsia="Times New Roman" w:hAnsi="Calibri" w:cs="Times New Roman"/>
          <w:color w:val="000000"/>
          <w:lang w:eastAsia="en-NZ"/>
        </w:rPr>
        <w:t xml:space="preserve"> in model 5 subsumes the direct impact of </w:t>
      </w:r>
      <w:r w:rsidR="009222E4" w:rsidRPr="006A77ED">
        <w:rPr>
          <w:rFonts w:ascii="Calibri" w:eastAsia="Times New Roman" w:hAnsi="Calibri" w:cs="Times New Roman"/>
          <w:i/>
          <w:color w:val="000000"/>
          <w:lang w:eastAsia="en-NZ"/>
        </w:rPr>
        <w:t>SDEar</w:t>
      </w:r>
      <w:r w:rsidR="00134000">
        <w:rPr>
          <w:rFonts w:ascii="Calibri" w:eastAsia="Times New Roman" w:hAnsi="Calibri" w:cs="Times New Roman"/>
          <w:i/>
          <w:color w:val="000000"/>
          <w:lang w:eastAsia="en-NZ"/>
        </w:rPr>
        <w:t>n</w:t>
      </w:r>
      <w:r w:rsidR="009222E4">
        <w:rPr>
          <w:rFonts w:ascii="Calibri" w:eastAsia="Times New Roman" w:hAnsi="Calibri" w:cs="Times New Roman"/>
          <w:color w:val="000000"/>
          <w:lang w:eastAsia="en-NZ"/>
        </w:rPr>
        <w:t xml:space="preserve"> on the negative </w:t>
      </w:r>
      <w:r w:rsidR="003B13F2" w:rsidRPr="003B13F2">
        <w:rPr>
          <w:rFonts w:ascii="Calibri" w:eastAsia="Times New Roman" w:hAnsi="Calibri" w:cs="Times New Roman"/>
          <w:i/>
          <w:color w:val="000000"/>
          <w:lang w:eastAsia="en-NZ"/>
        </w:rPr>
        <w:t>CAR</w:t>
      </w:r>
      <w:r w:rsidR="009222E4">
        <w:rPr>
          <w:rFonts w:ascii="Calibri" w:eastAsia="Times New Roman" w:hAnsi="Calibri" w:cs="Times New Roman"/>
          <w:color w:val="000000"/>
          <w:lang w:eastAsia="en-NZ"/>
        </w:rPr>
        <w:t xml:space="preserve"> results, but again, the coefficient on </w:t>
      </w:r>
      <w:r w:rsidR="009222E4" w:rsidRPr="00B376A1">
        <w:rPr>
          <w:rFonts w:ascii="Calibri" w:eastAsia="Times New Roman" w:hAnsi="Calibri" w:cs="Times New Roman"/>
          <w:i/>
          <w:color w:val="000000"/>
          <w:lang w:eastAsia="en-NZ"/>
        </w:rPr>
        <w:t xml:space="preserve">DQ </w:t>
      </w:r>
      <w:r w:rsidR="009222E4" w:rsidRPr="00B376A1">
        <w:rPr>
          <w:rFonts w:ascii="Calibri" w:eastAsia="Times New Roman" w:hAnsi="Calibri" w:cs="Calibri"/>
          <w:i/>
          <w:color w:val="000000"/>
          <w:lang w:eastAsia="en-NZ"/>
        </w:rPr>
        <w:t>×</w:t>
      </w:r>
      <w:r w:rsidR="009222E4">
        <w:rPr>
          <w:rFonts w:ascii="Calibri" w:eastAsia="Times New Roman" w:hAnsi="Calibri" w:cs="Times New Roman"/>
          <w:i/>
          <w:color w:val="000000"/>
          <w:lang w:eastAsia="en-NZ"/>
        </w:rPr>
        <w:t xml:space="preserve"> SDEarn </w:t>
      </w:r>
      <w:r w:rsidR="009222E4">
        <w:rPr>
          <w:rFonts w:ascii="Calibri" w:eastAsia="Times New Roman" w:hAnsi="Calibri" w:cs="Times New Roman"/>
          <w:color w:val="000000"/>
          <w:lang w:eastAsia="en-NZ"/>
        </w:rPr>
        <w:t xml:space="preserve">remains relatively unchanged from Table 5. Changing the transparency measure from </w:t>
      </w:r>
      <w:r w:rsidR="009222E4" w:rsidRPr="00E40165">
        <w:rPr>
          <w:rFonts w:ascii="Calibri" w:eastAsia="Times New Roman" w:hAnsi="Calibri" w:cs="Times New Roman"/>
          <w:i/>
          <w:color w:val="000000"/>
          <w:lang w:eastAsia="en-NZ"/>
        </w:rPr>
        <w:t>DQ</w:t>
      </w:r>
      <w:r w:rsidR="009222E4">
        <w:rPr>
          <w:rFonts w:ascii="Calibri" w:eastAsia="Times New Roman" w:hAnsi="Calibri" w:cs="Times New Roman"/>
          <w:color w:val="000000"/>
          <w:lang w:eastAsia="en-NZ"/>
        </w:rPr>
        <w:t xml:space="preserve"> to </w:t>
      </w:r>
      <w:r w:rsidR="009222E4" w:rsidRPr="00E40165">
        <w:rPr>
          <w:rFonts w:ascii="Calibri" w:eastAsia="Times New Roman" w:hAnsi="Calibri" w:cs="Times New Roman"/>
          <w:i/>
          <w:color w:val="000000"/>
          <w:lang w:eastAsia="en-NZ"/>
        </w:rPr>
        <w:t>DCP</w:t>
      </w:r>
      <w:r w:rsidR="009222E4">
        <w:rPr>
          <w:rFonts w:ascii="Calibri" w:eastAsia="Times New Roman" w:hAnsi="Calibri" w:cs="Times New Roman"/>
          <w:color w:val="000000"/>
          <w:lang w:eastAsia="en-NZ"/>
        </w:rPr>
        <w:t xml:space="preserve"> has no material impact on the results. Overall, the Table 6 results leave our previous observations materially unchanged. </w:t>
      </w:r>
    </w:p>
    <w:p w14:paraId="0C2A102A" w14:textId="7C600F35" w:rsidR="007E5E74" w:rsidRDefault="007E5E74" w:rsidP="009222E4">
      <w:pPr>
        <w:spacing w:line="360" w:lineRule="auto"/>
        <w:jc w:val="both"/>
        <w:rPr>
          <w:rFonts w:ascii="Calibri" w:eastAsia="Times New Roman" w:hAnsi="Calibri" w:cs="Times New Roman"/>
          <w:color w:val="000000"/>
          <w:lang w:eastAsia="en-NZ"/>
        </w:rPr>
      </w:pPr>
    </w:p>
    <w:p w14:paraId="0C345194" w14:textId="129FD539" w:rsidR="006122B4" w:rsidRDefault="006122B4" w:rsidP="009222E4">
      <w:pPr>
        <w:spacing w:line="360" w:lineRule="auto"/>
        <w:jc w:val="both"/>
        <w:rPr>
          <w:rFonts w:ascii="Calibri" w:eastAsia="Times New Roman" w:hAnsi="Calibri" w:cs="Times New Roman"/>
          <w:color w:val="000000"/>
          <w:lang w:eastAsia="en-NZ"/>
        </w:rPr>
      </w:pPr>
      <w:r>
        <w:t>3.4  The asymmetric market response to investment announcements</w:t>
      </w:r>
    </w:p>
    <w:p w14:paraId="3A4F062A" w14:textId="77777777" w:rsidR="006122B4" w:rsidRDefault="006122B4" w:rsidP="009222E4">
      <w:pPr>
        <w:spacing w:line="360" w:lineRule="auto"/>
        <w:jc w:val="both"/>
        <w:rPr>
          <w:rFonts w:ascii="Calibri" w:eastAsia="Times New Roman" w:hAnsi="Calibri" w:cs="Times New Roman"/>
          <w:color w:val="000000"/>
          <w:lang w:eastAsia="en-NZ"/>
        </w:rPr>
      </w:pPr>
    </w:p>
    <w:p w14:paraId="0A544899" w14:textId="5BF2DBDB" w:rsidR="0042342F" w:rsidRPr="00CD7263" w:rsidRDefault="003D6E55" w:rsidP="006122B4">
      <w:pPr>
        <w:spacing w:line="360" w:lineRule="auto"/>
        <w:jc w:val="both"/>
        <w:rPr>
          <w:rFonts w:ascii="Calibri" w:eastAsia="Times New Roman" w:hAnsi="Calibri" w:cs="Times New Roman"/>
          <w:color w:val="FF0000"/>
          <w:lang w:eastAsia="en-NZ"/>
        </w:rPr>
      </w:pPr>
      <w:r>
        <w:rPr>
          <w:rFonts w:ascii="Calibri" w:eastAsia="Times New Roman" w:hAnsi="Calibri" w:cs="Times New Roman"/>
          <w:color w:val="000000"/>
          <w:lang w:eastAsia="en-NZ"/>
        </w:rPr>
        <w:lastRenderedPageBreak/>
        <w:t>We</w:t>
      </w:r>
      <w:r w:rsidR="007E5E74">
        <w:rPr>
          <w:rFonts w:ascii="Calibri" w:eastAsia="Times New Roman" w:hAnsi="Calibri" w:cs="Times New Roman"/>
          <w:color w:val="000000"/>
          <w:lang w:eastAsia="en-NZ"/>
        </w:rPr>
        <w:t xml:space="preserve"> suggested</w:t>
      </w:r>
      <w:r>
        <w:rPr>
          <w:rFonts w:ascii="Calibri" w:eastAsia="Times New Roman" w:hAnsi="Calibri" w:cs="Times New Roman"/>
          <w:color w:val="000000"/>
          <w:lang w:eastAsia="en-NZ"/>
        </w:rPr>
        <w:t xml:space="preserve"> above</w:t>
      </w:r>
      <w:r w:rsidR="007E5E74">
        <w:rPr>
          <w:rFonts w:ascii="Calibri" w:eastAsia="Times New Roman" w:hAnsi="Calibri" w:cs="Times New Roman"/>
          <w:color w:val="000000"/>
          <w:lang w:eastAsia="en-NZ"/>
        </w:rPr>
        <w:t xml:space="preserve"> several </w:t>
      </w:r>
      <w:r w:rsidR="00BA7CB2">
        <w:rPr>
          <w:rFonts w:ascii="Calibri" w:eastAsia="Times New Roman" w:hAnsi="Calibri" w:cs="Times New Roman"/>
          <w:color w:val="000000"/>
          <w:lang w:eastAsia="en-NZ"/>
        </w:rPr>
        <w:t>potential explanations</w:t>
      </w:r>
      <w:r w:rsidR="007E5E74">
        <w:rPr>
          <w:rFonts w:ascii="Calibri" w:eastAsia="Times New Roman" w:hAnsi="Calibri" w:cs="Times New Roman"/>
          <w:color w:val="000000"/>
          <w:lang w:eastAsia="en-NZ"/>
        </w:rPr>
        <w:t xml:space="preserve"> </w:t>
      </w:r>
      <w:r w:rsidR="00BA7CB2">
        <w:rPr>
          <w:rFonts w:ascii="Calibri" w:eastAsia="Times New Roman" w:hAnsi="Calibri" w:cs="Times New Roman"/>
          <w:color w:val="000000"/>
          <w:lang w:eastAsia="en-NZ"/>
        </w:rPr>
        <w:t>for the asymmetric market responses to capital expenditure news</w:t>
      </w:r>
      <w:r w:rsidR="00BC268B">
        <w:rPr>
          <w:rFonts w:ascii="Calibri" w:eastAsia="Times New Roman" w:hAnsi="Calibri" w:cs="Times New Roman"/>
          <w:color w:val="000000"/>
          <w:lang w:eastAsia="en-NZ"/>
        </w:rPr>
        <w:t>, including</w:t>
      </w:r>
      <w:r w:rsidR="00BA7CB2">
        <w:rPr>
          <w:rFonts w:ascii="Calibri" w:eastAsia="Times New Roman" w:hAnsi="Calibri" w:cs="Times New Roman"/>
          <w:color w:val="000000"/>
          <w:lang w:eastAsia="en-NZ"/>
        </w:rPr>
        <w:t xml:space="preserve"> </w:t>
      </w:r>
      <w:r w:rsidR="007E5E74">
        <w:rPr>
          <w:rFonts w:ascii="Calibri" w:eastAsia="Times New Roman" w:hAnsi="Calibri" w:cs="Times New Roman"/>
          <w:color w:val="000000"/>
          <w:lang w:eastAsia="en-NZ"/>
        </w:rPr>
        <w:t>ambiguity, credibility, earnings persistence and the possession of real options. F</w:t>
      </w:r>
      <w:r w:rsidR="001E512E">
        <w:rPr>
          <w:rFonts w:ascii="Calibri" w:eastAsia="Times New Roman" w:hAnsi="Calibri" w:cs="Times New Roman"/>
          <w:color w:val="000000"/>
          <w:lang w:eastAsia="en-NZ"/>
        </w:rPr>
        <w:t>urther</w:t>
      </w:r>
      <w:r w:rsidR="007E5E74">
        <w:rPr>
          <w:rFonts w:ascii="Calibri" w:eastAsia="Times New Roman" w:hAnsi="Calibri" w:cs="Times New Roman"/>
          <w:color w:val="000000"/>
          <w:lang w:eastAsia="en-NZ"/>
        </w:rPr>
        <w:t xml:space="preserve">, the market may react negatively when firm capital expenditures diverge from the market’s perceptions of optimal spending </w:t>
      </w:r>
      <w:r w:rsidR="007E5E74">
        <w:rPr>
          <w:rFonts w:ascii="Calibri" w:eastAsia="Times New Roman" w:hAnsi="Calibri" w:cs="Times New Roman"/>
          <w:color w:val="000000"/>
          <w:lang w:eastAsia="en-NZ"/>
        </w:rPr>
        <w:fldChar w:fldCharType="begin"/>
      </w:r>
      <w:r w:rsidR="007E5E74">
        <w:rPr>
          <w:rFonts w:ascii="Calibri" w:eastAsia="Times New Roman" w:hAnsi="Calibri" w:cs="Times New Roman"/>
          <w:color w:val="000000"/>
          <w:lang w:eastAsia="en-NZ"/>
        </w:rPr>
        <w:instrText xml:space="preserve"> ADDIN EN.CITE &lt;EndNote&gt;&lt;Cite&gt;&lt;Author&gt;Luo&lt;/Author&gt;&lt;Year&gt;2016&lt;/Year&gt;&lt;RecNum&gt;2254&lt;/RecNum&gt;&lt;DisplayText&gt;(Luo, 2016)&lt;/DisplayText&gt;&lt;record&gt;&lt;rec-number&gt;2254&lt;/rec-number&gt;&lt;foreign-keys&gt;&lt;key app="EN" db-id="20p2wrv0m2av96e55d1pzxv2zxx5pvw55d55" timestamp="1500589967"&gt;2254&lt;/key&gt;&lt;/foreign-keys&gt;&lt;ref-type name="Report"&gt;27&lt;/ref-type&gt;&lt;contributors&gt;&lt;authors&gt;&lt;author&gt;Luo, J.&lt;/author&gt;&lt;/authors&gt;&lt;/contributors&gt;&lt;titles&gt;&lt;title&gt;The stock price reaction to investment news: New evidence from modeling optimal capex and capex guidance.&lt;/title&gt;&lt;/titles&gt;&lt;dates&gt;&lt;year&gt;2016&lt;/year&gt;&lt;pub-dates&gt;&lt;date&gt;June&lt;/date&gt;&lt;/pub-dates&gt;&lt;/dates&gt;&lt;publisher&gt;New York University.&lt;/publisher&gt;&lt;work-type&gt;Working Paper&lt;/work-type&gt;&lt;urls&gt;&lt;/urls&gt;&lt;/record&gt;&lt;/Cite&gt;&lt;/EndNote&gt;</w:instrText>
      </w:r>
      <w:r w:rsidR="007E5E74">
        <w:rPr>
          <w:rFonts w:ascii="Calibri" w:eastAsia="Times New Roman" w:hAnsi="Calibri" w:cs="Times New Roman"/>
          <w:color w:val="000000"/>
          <w:lang w:eastAsia="en-NZ"/>
        </w:rPr>
        <w:fldChar w:fldCharType="separate"/>
      </w:r>
      <w:r w:rsidR="007E5E74">
        <w:rPr>
          <w:rFonts w:ascii="Calibri" w:eastAsia="Times New Roman" w:hAnsi="Calibri" w:cs="Times New Roman"/>
          <w:noProof/>
          <w:color w:val="000000"/>
          <w:lang w:eastAsia="en-NZ"/>
        </w:rPr>
        <w:t>(</w:t>
      </w:r>
      <w:hyperlink w:anchor="_ENREF_39" w:tooltip="Luo, 2016 #2254" w:history="1">
        <w:r w:rsidR="006C57ED">
          <w:rPr>
            <w:rFonts w:ascii="Calibri" w:eastAsia="Times New Roman" w:hAnsi="Calibri" w:cs="Times New Roman"/>
            <w:noProof/>
            <w:color w:val="000000"/>
            <w:lang w:eastAsia="en-NZ"/>
          </w:rPr>
          <w:t>Luo, 2016</w:t>
        </w:r>
      </w:hyperlink>
      <w:r w:rsidR="007E5E74">
        <w:rPr>
          <w:rFonts w:ascii="Calibri" w:eastAsia="Times New Roman" w:hAnsi="Calibri" w:cs="Times New Roman"/>
          <w:noProof/>
          <w:color w:val="000000"/>
          <w:lang w:eastAsia="en-NZ"/>
        </w:rPr>
        <w:t>)</w:t>
      </w:r>
      <w:r w:rsidR="007E5E74">
        <w:rPr>
          <w:rFonts w:ascii="Calibri" w:eastAsia="Times New Roman" w:hAnsi="Calibri" w:cs="Times New Roman"/>
          <w:color w:val="000000"/>
          <w:lang w:eastAsia="en-NZ"/>
        </w:rPr>
        <w:fldChar w:fldCharType="end"/>
      </w:r>
      <w:r w:rsidR="007E5E74">
        <w:rPr>
          <w:rFonts w:ascii="Calibri" w:eastAsia="Times New Roman" w:hAnsi="Calibri" w:cs="Times New Roman"/>
          <w:color w:val="000000"/>
          <w:lang w:eastAsia="en-NZ"/>
        </w:rPr>
        <w:t xml:space="preserve">. </w:t>
      </w:r>
      <w:r w:rsidR="001E512E">
        <w:rPr>
          <w:rFonts w:ascii="Calibri" w:eastAsia="Times New Roman" w:hAnsi="Calibri" w:cs="Times New Roman"/>
          <w:color w:val="000000"/>
          <w:lang w:eastAsia="en-NZ"/>
        </w:rPr>
        <w:t xml:space="preserve">We do not assert that our list of possibilities is exhaustive, and do not rule out alternative reasons for potential differences between positive and negative </w:t>
      </w:r>
      <w:r w:rsidR="001E512E" w:rsidRPr="003B13F2">
        <w:rPr>
          <w:rFonts w:ascii="Calibri" w:eastAsia="Times New Roman" w:hAnsi="Calibri" w:cs="Times New Roman"/>
          <w:i/>
          <w:color w:val="000000"/>
          <w:lang w:eastAsia="en-NZ"/>
        </w:rPr>
        <w:t>CAR</w:t>
      </w:r>
      <w:r w:rsidR="001E512E">
        <w:rPr>
          <w:rFonts w:ascii="Calibri" w:eastAsia="Times New Roman" w:hAnsi="Calibri" w:cs="Times New Roman"/>
          <w:color w:val="000000"/>
          <w:lang w:eastAsia="en-NZ"/>
        </w:rPr>
        <w:t xml:space="preserve"> reactions.</w:t>
      </w:r>
      <w:r w:rsidR="005C245A">
        <w:rPr>
          <w:rStyle w:val="FootnoteReference"/>
          <w:rFonts w:ascii="Calibri" w:eastAsia="Times New Roman" w:hAnsi="Calibri" w:cs="Times New Roman"/>
          <w:color w:val="000000"/>
          <w:lang w:eastAsia="en-NZ"/>
        </w:rPr>
        <w:footnoteReference w:id="4"/>
      </w:r>
      <w:r w:rsidR="001E512E">
        <w:rPr>
          <w:rFonts w:ascii="Calibri" w:eastAsia="Times New Roman" w:hAnsi="Calibri" w:cs="Times New Roman"/>
          <w:color w:val="000000"/>
          <w:lang w:eastAsia="en-NZ"/>
        </w:rPr>
        <w:t xml:space="preserve"> </w:t>
      </w:r>
      <w:r w:rsidR="004429F9">
        <w:rPr>
          <w:rFonts w:ascii="Calibri" w:eastAsia="Times New Roman" w:hAnsi="Calibri" w:cs="Times New Roman"/>
          <w:color w:val="000000"/>
          <w:lang w:eastAsia="en-NZ"/>
        </w:rPr>
        <w:t>Many of the</w:t>
      </w:r>
      <w:r w:rsidR="001E512E">
        <w:rPr>
          <w:rFonts w:ascii="Calibri" w:eastAsia="Times New Roman" w:hAnsi="Calibri" w:cs="Times New Roman"/>
          <w:color w:val="000000"/>
          <w:lang w:eastAsia="en-NZ"/>
        </w:rPr>
        <w:t xml:space="preserve"> above</w:t>
      </w:r>
      <w:r w:rsidR="00670822">
        <w:rPr>
          <w:rFonts w:ascii="Calibri" w:eastAsia="Times New Roman" w:hAnsi="Calibri" w:cs="Times New Roman"/>
          <w:color w:val="000000"/>
          <w:lang w:eastAsia="en-NZ"/>
        </w:rPr>
        <w:t xml:space="preserve"> explanation</w:t>
      </w:r>
      <w:r w:rsidR="004429F9">
        <w:rPr>
          <w:rFonts w:ascii="Calibri" w:eastAsia="Times New Roman" w:hAnsi="Calibri" w:cs="Times New Roman"/>
          <w:color w:val="000000"/>
          <w:lang w:eastAsia="en-NZ"/>
        </w:rPr>
        <w:t>s</w:t>
      </w:r>
      <w:r w:rsidR="00670822">
        <w:rPr>
          <w:rFonts w:ascii="Calibri" w:eastAsia="Times New Roman" w:hAnsi="Calibri" w:cs="Times New Roman"/>
          <w:color w:val="000000"/>
          <w:lang w:eastAsia="en-NZ"/>
        </w:rPr>
        <w:t xml:space="preserve"> </w:t>
      </w:r>
      <w:r w:rsidR="001E512E">
        <w:rPr>
          <w:rFonts w:ascii="Calibri" w:eastAsia="Times New Roman" w:hAnsi="Calibri" w:cs="Times New Roman"/>
          <w:color w:val="000000"/>
          <w:lang w:eastAsia="en-NZ"/>
        </w:rPr>
        <w:t>are</w:t>
      </w:r>
      <w:r w:rsidR="00670822">
        <w:rPr>
          <w:rFonts w:ascii="Calibri" w:eastAsia="Times New Roman" w:hAnsi="Calibri" w:cs="Times New Roman"/>
          <w:color w:val="000000"/>
          <w:lang w:eastAsia="en-NZ"/>
        </w:rPr>
        <w:t xml:space="preserve"> </w:t>
      </w:r>
      <w:r w:rsidR="00BC268B">
        <w:rPr>
          <w:rFonts w:ascii="Calibri" w:eastAsia="Times New Roman" w:hAnsi="Calibri" w:cs="Times New Roman"/>
          <w:color w:val="000000"/>
          <w:lang w:eastAsia="en-NZ"/>
        </w:rPr>
        <w:t>challenging</w:t>
      </w:r>
      <w:r w:rsidR="00670822">
        <w:rPr>
          <w:rFonts w:ascii="Calibri" w:eastAsia="Times New Roman" w:hAnsi="Calibri" w:cs="Times New Roman"/>
          <w:color w:val="000000"/>
          <w:lang w:eastAsia="en-NZ"/>
        </w:rPr>
        <w:t xml:space="preserve"> to test, </w:t>
      </w:r>
      <w:r w:rsidR="004429F9">
        <w:rPr>
          <w:rFonts w:ascii="Calibri" w:eastAsia="Times New Roman" w:hAnsi="Calibri" w:cs="Times New Roman"/>
          <w:color w:val="000000"/>
          <w:lang w:eastAsia="en-NZ"/>
        </w:rPr>
        <w:t>and the</w:t>
      </w:r>
      <w:r w:rsidR="00BA7CB2">
        <w:rPr>
          <w:rFonts w:ascii="Calibri" w:eastAsia="Times New Roman" w:hAnsi="Calibri" w:cs="Times New Roman"/>
          <w:color w:val="000000"/>
          <w:lang w:eastAsia="en-NZ"/>
        </w:rPr>
        <w:t xml:space="preserve"> reasons </w:t>
      </w:r>
      <w:r w:rsidR="00EC3E03">
        <w:rPr>
          <w:rFonts w:ascii="Calibri" w:eastAsia="Times New Roman" w:hAnsi="Calibri" w:cs="Times New Roman"/>
          <w:color w:val="000000"/>
          <w:lang w:eastAsia="en-NZ"/>
        </w:rPr>
        <w:t xml:space="preserve">for </w:t>
      </w:r>
      <w:r w:rsidR="00670822">
        <w:rPr>
          <w:rFonts w:ascii="Calibri" w:eastAsia="Times New Roman" w:hAnsi="Calibri" w:cs="Times New Roman"/>
          <w:color w:val="000000"/>
          <w:lang w:eastAsia="en-NZ"/>
        </w:rPr>
        <w:t>an</w:t>
      </w:r>
      <w:r w:rsidR="00EC3E03">
        <w:rPr>
          <w:rFonts w:ascii="Calibri" w:eastAsia="Times New Roman" w:hAnsi="Calibri" w:cs="Times New Roman"/>
          <w:color w:val="000000"/>
          <w:lang w:eastAsia="en-NZ"/>
        </w:rPr>
        <w:t xml:space="preserve"> asymmetric market response to </w:t>
      </w:r>
      <w:r w:rsidR="00BA7CB2">
        <w:rPr>
          <w:rFonts w:ascii="Calibri" w:eastAsia="Times New Roman" w:hAnsi="Calibri" w:cs="Times New Roman"/>
          <w:color w:val="000000"/>
          <w:lang w:eastAsia="en-NZ"/>
        </w:rPr>
        <w:t xml:space="preserve">capital expenditure announcements are not the main focus of our study. Rather, our focus is </w:t>
      </w:r>
      <w:r w:rsidR="00EC3E03">
        <w:rPr>
          <w:rFonts w:ascii="Calibri" w:eastAsia="Times New Roman" w:hAnsi="Calibri" w:cs="Times New Roman"/>
          <w:color w:val="000000"/>
          <w:lang w:eastAsia="en-NZ"/>
        </w:rPr>
        <w:t xml:space="preserve">to </w:t>
      </w:r>
      <w:r w:rsidR="00BA7CB2">
        <w:rPr>
          <w:rFonts w:ascii="Calibri" w:eastAsia="Times New Roman" w:hAnsi="Calibri" w:cs="Times New Roman"/>
          <w:color w:val="000000"/>
          <w:lang w:eastAsia="en-NZ"/>
        </w:rPr>
        <w:t xml:space="preserve">explain the market reaction to investment transparency. </w:t>
      </w:r>
      <w:r w:rsidR="00EC3E03" w:rsidRPr="00CD7263">
        <w:rPr>
          <w:rFonts w:ascii="Calibri" w:eastAsia="Times New Roman" w:hAnsi="Calibri" w:cs="Times New Roman"/>
          <w:color w:val="000000"/>
          <w:lang w:eastAsia="en-NZ"/>
        </w:rPr>
        <w:t xml:space="preserve">Nevertheless, </w:t>
      </w:r>
      <w:r w:rsidR="00171B70" w:rsidRPr="00CD7263">
        <w:rPr>
          <w:rFonts w:ascii="Calibri" w:eastAsia="Times New Roman" w:hAnsi="Calibri" w:cs="Times New Roman"/>
          <w:color w:val="000000"/>
          <w:lang w:eastAsia="en-NZ"/>
        </w:rPr>
        <w:t xml:space="preserve">to add </w:t>
      </w:r>
      <w:r w:rsidR="00171B70" w:rsidRPr="00AF7BD2">
        <w:rPr>
          <w:rFonts w:ascii="Calibri" w:eastAsia="Times New Roman" w:hAnsi="Calibri" w:cs="Times New Roman"/>
          <w:color w:val="000000"/>
          <w:lang w:eastAsia="en-NZ"/>
        </w:rPr>
        <w:t>credibility to our conjectures regarding real options and information asymmetry</w:t>
      </w:r>
      <w:r w:rsidR="00EC3E03" w:rsidRPr="00AF7BD2">
        <w:rPr>
          <w:rFonts w:ascii="Calibri" w:eastAsia="Times New Roman" w:hAnsi="Calibri" w:cs="Times New Roman"/>
          <w:color w:val="000000"/>
          <w:lang w:eastAsia="en-NZ"/>
        </w:rPr>
        <w:t>, in Table 7 we present probit regression</w:t>
      </w:r>
      <w:r w:rsidR="003A5B54" w:rsidRPr="00AF7BD2">
        <w:rPr>
          <w:rFonts w:ascii="Calibri" w:eastAsia="Times New Roman" w:hAnsi="Calibri" w:cs="Times New Roman"/>
          <w:color w:val="000000"/>
          <w:lang w:eastAsia="en-NZ"/>
        </w:rPr>
        <w:t>s</w:t>
      </w:r>
      <w:r w:rsidR="00EC3E03" w:rsidRPr="00AF7BD2">
        <w:rPr>
          <w:rFonts w:ascii="Calibri" w:eastAsia="Times New Roman" w:hAnsi="Calibri" w:cs="Times New Roman"/>
          <w:color w:val="000000"/>
          <w:lang w:eastAsia="en-NZ"/>
        </w:rPr>
        <w:t xml:space="preserve"> </w:t>
      </w:r>
      <w:r w:rsidR="003A5B54" w:rsidRPr="00AF7BD2">
        <w:rPr>
          <w:rFonts w:ascii="Calibri" w:eastAsia="Times New Roman" w:hAnsi="Calibri" w:cs="Times New Roman"/>
          <w:color w:val="000000"/>
          <w:lang w:eastAsia="en-NZ"/>
        </w:rPr>
        <w:t>of</w:t>
      </w:r>
      <w:r w:rsidR="00EC3E03" w:rsidRPr="00AF7BD2">
        <w:rPr>
          <w:rFonts w:ascii="Calibri" w:eastAsia="Times New Roman" w:hAnsi="Calibri" w:cs="Times New Roman"/>
          <w:color w:val="000000"/>
          <w:lang w:eastAsia="en-NZ"/>
        </w:rPr>
        <w:t xml:space="preserve"> the</w:t>
      </w:r>
      <w:r w:rsidR="006327F1">
        <w:rPr>
          <w:rFonts w:ascii="Calibri" w:eastAsia="Times New Roman" w:hAnsi="Calibri" w:cs="Times New Roman"/>
          <w:color w:val="000000"/>
          <w:lang w:eastAsia="en-NZ"/>
        </w:rPr>
        <w:t xml:space="preserve"> </w:t>
      </w:r>
      <w:r w:rsidR="003A5B54" w:rsidRPr="00AF7BD2">
        <w:rPr>
          <w:rFonts w:ascii="Calibri" w:eastAsia="Times New Roman" w:hAnsi="Calibri" w:cs="Times New Roman"/>
          <w:color w:val="000000"/>
          <w:lang w:eastAsia="en-NZ"/>
        </w:rPr>
        <w:t>likelihood</w:t>
      </w:r>
      <w:r w:rsidR="00EC3E03" w:rsidRPr="00AF7BD2">
        <w:rPr>
          <w:rFonts w:ascii="Calibri" w:eastAsia="Times New Roman" w:hAnsi="Calibri" w:cs="Times New Roman"/>
          <w:color w:val="000000"/>
          <w:lang w:eastAsia="en-NZ"/>
        </w:rPr>
        <w:t xml:space="preserve"> of </w:t>
      </w:r>
      <w:r w:rsidR="006C79A3" w:rsidRPr="00AF7BD2">
        <w:rPr>
          <w:rFonts w:ascii="Calibri" w:eastAsia="Times New Roman" w:hAnsi="Calibri" w:cs="Times New Roman"/>
          <w:color w:val="000000"/>
          <w:lang w:eastAsia="en-NZ"/>
        </w:rPr>
        <w:t xml:space="preserve">a positive value for </w:t>
      </w:r>
      <w:r w:rsidR="00EC3E03" w:rsidRPr="00AF7BD2">
        <w:rPr>
          <w:rFonts w:ascii="Calibri" w:eastAsia="Times New Roman" w:hAnsi="Calibri" w:cs="Times New Roman"/>
          <w:color w:val="000000"/>
          <w:lang w:eastAsia="en-NZ"/>
        </w:rPr>
        <w:t>project-</w:t>
      </w:r>
      <w:r w:rsidR="0042342F" w:rsidRPr="00AF7BD2">
        <w:rPr>
          <w:rFonts w:ascii="Calibri" w:eastAsia="Times New Roman" w:hAnsi="Calibri" w:cs="Times New Roman"/>
          <w:color w:val="000000"/>
          <w:lang w:eastAsia="en-NZ"/>
        </w:rPr>
        <w:t>announcement</w:t>
      </w:r>
      <w:r w:rsidR="00EC3E03" w:rsidRPr="00AF7BD2">
        <w:rPr>
          <w:rFonts w:ascii="Calibri" w:eastAsia="Times New Roman" w:hAnsi="Calibri" w:cs="Times New Roman"/>
          <w:color w:val="000000"/>
          <w:lang w:eastAsia="en-NZ"/>
        </w:rPr>
        <w:t xml:space="preserve"> </w:t>
      </w:r>
      <w:r w:rsidR="003B13F2" w:rsidRPr="00AF7BD2">
        <w:rPr>
          <w:rFonts w:ascii="Calibri" w:eastAsia="Times New Roman" w:hAnsi="Calibri" w:cs="Times New Roman"/>
          <w:i/>
          <w:color w:val="000000"/>
          <w:lang w:eastAsia="en-NZ"/>
        </w:rPr>
        <w:t>CAR</w:t>
      </w:r>
      <w:r w:rsidR="00EC3E03" w:rsidRPr="00AF7BD2">
        <w:rPr>
          <w:rFonts w:ascii="Calibri" w:eastAsia="Times New Roman" w:hAnsi="Calibri" w:cs="Times New Roman"/>
          <w:color w:val="000000"/>
          <w:lang w:eastAsia="en-NZ"/>
        </w:rPr>
        <w:t xml:space="preserve">. </w:t>
      </w:r>
      <w:r w:rsidR="00DB63BD" w:rsidRPr="00AF7BD2">
        <w:rPr>
          <w:rFonts w:ascii="Calibri" w:eastAsia="Times New Roman" w:hAnsi="Calibri" w:cs="Times New Roman"/>
          <w:color w:val="000000"/>
          <w:lang w:eastAsia="en-NZ"/>
        </w:rPr>
        <w:t>First,</w:t>
      </w:r>
      <w:r w:rsidR="006327F1">
        <w:rPr>
          <w:rFonts w:ascii="Calibri" w:eastAsia="Times New Roman" w:hAnsi="Calibri" w:cs="Times New Roman"/>
          <w:color w:val="000000"/>
          <w:lang w:eastAsia="en-NZ"/>
        </w:rPr>
        <w:t xml:space="preserve"> </w:t>
      </w:r>
      <w:r w:rsidR="006D40D7">
        <w:rPr>
          <w:rFonts w:ascii="Calibri" w:eastAsia="Times New Roman" w:hAnsi="Calibri" w:cs="Times New Roman"/>
          <w:color w:val="000000"/>
          <w:lang w:eastAsia="en-NZ"/>
        </w:rPr>
        <w:t>m</w:t>
      </w:r>
      <w:r w:rsidR="006327F1">
        <w:rPr>
          <w:rFonts w:ascii="Calibri" w:eastAsia="Times New Roman" w:hAnsi="Calibri" w:cs="Times New Roman"/>
          <w:color w:val="000000"/>
          <w:lang w:eastAsia="en-NZ"/>
        </w:rPr>
        <w:t>odel 1 includes</w:t>
      </w:r>
      <w:r w:rsidR="00DB63BD" w:rsidRPr="00AF7BD2">
        <w:rPr>
          <w:rFonts w:ascii="Calibri" w:eastAsia="Times New Roman" w:hAnsi="Calibri" w:cs="Times New Roman"/>
          <w:color w:val="000000"/>
          <w:lang w:eastAsia="en-NZ"/>
        </w:rPr>
        <w:t xml:space="preserve"> </w:t>
      </w:r>
      <w:r w:rsidR="00DB63BD" w:rsidRPr="001C2124">
        <w:rPr>
          <w:rFonts w:ascii="Calibri" w:eastAsia="Times New Roman" w:hAnsi="Calibri" w:cs="Times New Roman"/>
          <w:color w:val="000000"/>
          <w:lang w:eastAsia="en-NZ"/>
        </w:rPr>
        <w:t xml:space="preserve">a dummy variable for low transparency announcements, </w:t>
      </w:r>
      <w:r w:rsidR="00DB63BD" w:rsidRPr="001C2124">
        <w:rPr>
          <w:rFonts w:ascii="Calibri" w:eastAsia="Times New Roman" w:hAnsi="Calibri" w:cs="Times New Roman"/>
          <w:i/>
          <w:color w:val="000000"/>
          <w:lang w:eastAsia="en-NZ"/>
        </w:rPr>
        <w:t>DQ</w:t>
      </w:r>
      <w:r w:rsidR="00DB63BD" w:rsidRPr="001C2124">
        <w:rPr>
          <w:rFonts w:ascii="Calibri" w:eastAsia="Times New Roman" w:hAnsi="Calibri" w:cs="Times New Roman"/>
          <w:i/>
          <w:color w:val="000000"/>
          <w:vertAlign w:val="subscript"/>
          <w:lang w:eastAsia="en-NZ"/>
        </w:rPr>
        <w:t>LOW</w:t>
      </w:r>
      <w:r w:rsidR="00DB63BD" w:rsidRPr="00AF7BD2">
        <w:rPr>
          <w:rFonts w:ascii="Calibri" w:eastAsia="Times New Roman" w:hAnsi="Calibri" w:cs="Times New Roman"/>
          <w:color w:val="000000"/>
          <w:lang w:eastAsia="en-NZ"/>
        </w:rPr>
        <w:t xml:space="preserve"> to </w:t>
      </w:r>
      <w:r w:rsidR="00AF7BD2" w:rsidRPr="00AF7BD2">
        <w:rPr>
          <w:rFonts w:ascii="Calibri" w:eastAsia="Times New Roman" w:hAnsi="Calibri" w:cs="Times New Roman"/>
          <w:color w:val="000000"/>
          <w:lang w:eastAsia="en-NZ"/>
        </w:rPr>
        <w:t xml:space="preserve">assess whether low investment transparency is more likely in either of the </w:t>
      </w:r>
      <w:r w:rsidR="00AF7BD2" w:rsidRPr="001C2124">
        <w:rPr>
          <w:rFonts w:ascii="Calibri" w:eastAsia="Times New Roman" w:hAnsi="Calibri" w:cs="Times New Roman"/>
          <w:i/>
          <w:color w:val="000000"/>
          <w:lang w:eastAsia="en-NZ"/>
        </w:rPr>
        <w:t>CAR</w:t>
      </w:r>
      <w:r w:rsidR="00AF7BD2" w:rsidRPr="00AF7BD2">
        <w:rPr>
          <w:rFonts w:ascii="Calibri" w:eastAsia="Times New Roman" w:hAnsi="Calibri" w:cs="Times New Roman"/>
          <w:color w:val="000000"/>
          <w:lang w:eastAsia="en-NZ"/>
        </w:rPr>
        <w:t xml:space="preserve"> subsamples</w:t>
      </w:r>
      <w:r w:rsidR="00DB63BD" w:rsidRPr="00AF7BD2">
        <w:rPr>
          <w:rFonts w:ascii="Calibri" w:eastAsia="Times New Roman" w:hAnsi="Calibri" w:cs="Times New Roman"/>
          <w:color w:val="000000"/>
          <w:lang w:eastAsia="en-NZ"/>
        </w:rPr>
        <w:t xml:space="preserve">. </w:t>
      </w:r>
      <w:r w:rsidR="00AF7BD2" w:rsidRPr="00AF7BD2">
        <w:rPr>
          <w:rFonts w:ascii="Calibri" w:eastAsia="Times New Roman" w:hAnsi="Calibri" w:cs="Times New Roman"/>
          <w:color w:val="000000"/>
          <w:lang w:eastAsia="en-NZ"/>
        </w:rPr>
        <w:t>Next, t</w:t>
      </w:r>
      <w:r w:rsidR="00D57896" w:rsidRPr="00AF7BD2">
        <w:rPr>
          <w:rFonts w:ascii="Calibri" w:eastAsia="Times New Roman" w:hAnsi="Calibri" w:cs="Times New Roman"/>
          <w:color w:val="000000"/>
          <w:lang w:eastAsia="en-NZ"/>
        </w:rPr>
        <w:t xml:space="preserve">o test whether </w:t>
      </w:r>
      <w:r w:rsidR="006B1DB1" w:rsidRPr="00AF7BD2">
        <w:rPr>
          <w:rFonts w:ascii="Calibri" w:eastAsia="Times New Roman" w:hAnsi="Calibri" w:cs="Times New Roman"/>
          <w:color w:val="000000"/>
          <w:lang w:eastAsia="en-NZ"/>
        </w:rPr>
        <w:t xml:space="preserve">pre-announcement </w:t>
      </w:r>
      <w:r w:rsidR="00D57896" w:rsidRPr="00AF7BD2">
        <w:rPr>
          <w:rFonts w:ascii="Calibri" w:eastAsia="Times New Roman" w:hAnsi="Calibri" w:cs="Times New Roman"/>
          <w:color w:val="000000"/>
          <w:lang w:eastAsia="en-NZ"/>
        </w:rPr>
        <w:t xml:space="preserve">information asymmetry </w:t>
      </w:r>
      <w:r w:rsidR="00AF7BD2" w:rsidRPr="00AF7BD2">
        <w:rPr>
          <w:rFonts w:ascii="Calibri" w:eastAsia="Times New Roman" w:hAnsi="Calibri" w:cs="Times New Roman"/>
          <w:color w:val="000000"/>
          <w:lang w:eastAsia="en-NZ"/>
        </w:rPr>
        <w:t>is</w:t>
      </w:r>
      <w:r w:rsidR="00D57896" w:rsidRPr="00AF7BD2">
        <w:rPr>
          <w:rFonts w:ascii="Calibri" w:eastAsia="Times New Roman" w:hAnsi="Calibri" w:cs="Times New Roman"/>
          <w:color w:val="000000"/>
          <w:lang w:eastAsia="en-NZ"/>
        </w:rPr>
        <w:t xml:space="preserve"> different between the positive and negative </w:t>
      </w:r>
      <w:r w:rsidR="00D57896" w:rsidRPr="00AF7BD2">
        <w:rPr>
          <w:rFonts w:ascii="Calibri" w:eastAsia="Times New Roman" w:hAnsi="Calibri" w:cs="Times New Roman"/>
          <w:i/>
          <w:color w:val="000000"/>
          <w:lang w:eastAsia="en-NZ"/>
        </w:rPr>
        <w:t xml:space="preserve">CAR </w:t>
      </w:r>
      <w:r w:rsidR="006B1DB1" w:rsidRPr="00AF7BD2">
        <w:rPr>
          <w:rFonts w:ascii="Calibri" w:eastAsia="Times New Roman" w:hAnsi="Calibri" w:cs="Times New Roman"/>
          <w:color w:val="000000"/>
          <w:lang w:eastAsia="en-NZ"/>
        </w:rPr>
        <w:t>subsamples</w:t>
      </w:r>
      <w:r w:rsidR="00D57896" w:rsidRPr="00AF7BD2">
        <w:rPr>
          <w:rFonts w:ascii="Calibri" w:eastAsia="Times New Roman" w:hAnsi="Calibri" w:cs="Times New Roman"/>
          <w:color w:val="000000"/>
          <w:lang w:eastAsia="en-NZ"/>
        </w:rPr>
        <w:t xml:space="preserve">, </w:t>
      </w:r>
      <w:r w:rsidR="0042342F" w:rsidRPr="001C2124">
        <w:rPr>
          <w:rFonts w:ascii="Calibri" w:eastAsia="Times New Roman" w:hAnsi="Calibri" w:cs="Times New Roman"/>
          <w:color w:val="000000"/>
          <w:lang w:eastAsia="en-NZ"/>
        </w:rPr>
        <w:t>a proxy for information asymmetry</w:t>
      </w:r>
      <w:r w:rsidR="00C70D80">
        <w:rPr>
          <w:rFonts w:ascii="Calibri" w:eastAsia="Times New Roman" w:hAnsi="Calibri" w:cs="Times New Roman"/>
          <w:color w:val="000000"/>
          <w:lang w:eastAsia="en-NZ"/>
        </w:rPr>
        <w:t xml:space="preserve"> is added</w:t>
      </w:r>
      <w:r w:rsidR="0042342F" w:rsidRPr="001C2124">
        <w:rPr>
          <w:rFonts w:ascii="Calibri" w:eastAsia="Times New Roman" w:hAnsi="Calibri" w:cs="Times New Roman"/>
          <w:color w:val="000000"/>
          <w:lang w:eastAsia="en-NZ"/>
        </w:rPr>
        <w:t xml:space="preserve">, being </w:t>
      </w:r>
      <w:r w:rsidR="00D57896" w:rsidRPr="001C2124">
        <w:t xml:space="preserve">the </w:t>
      </w:r>
      <w:r w:rsidR="00AF7BD2" w:rsidRPr="001C2124">
        <w:t xml:space="preserve">daily </w:t>
      </w:r>
      <w:r w:rsidR="00D57896" w:rsidRPr="001C2124">
        <w:t>closing percent quoted bid-ask spread (</w:t>
      </w:r>
      <w:r w:rsidR="00D57896" w:rsidRPr="001C2124">
        <w:rPr>
          <w:i/>
        </w:rPr>
        <w:t>BAS</w:t>
      </w:r>
      <w:r w:rsidR="00D57896" w:rsidRPr="001C2124">
        <w:t xml:space="preserve">) for firm </w:t>
      </w:r>
      <w:r w:rsidR="00D57896" w:rsidRPr="001C2124">
        <w:rPr>
          <w:i/>
        </w:rPr>
        <w:t xml:space="preserve">i </w:t>
      </w:r>
      <w:r w:rsidR="00D57896" w:rsidRPr="001C2124">
        <w:t>over the pre-event window [-20,-1]</w:t>
      </w:r>
      <w:r w:rsidR="00AF7BD2" w:rsidRPr="001C2124">
        <w:t>.</w:t>
      </w:r>
      <w:r w:rsidR="00A81A9C" w:rsidRPr="00C70D80">
        <w:t xml:space="preserve"> Then, to </w:t>
      </w:r>
      <w:r w:rsidR="00A81A9C" w:rsidRPr="001C2124">
        <w:rPr>
          <w:rFonts w:ascii="Calibri" w:eastAsia="Times New Roman" w:hAnsi="Calibri" w:cs="Times New Roman"/>
          <w:color w:val="000000"/>
          <w:lang w:eastAsia="en-NZ"/>
        </w:rPr>
        <w:t xml:space="preserve">test whether </w:t>
      </w:r>
      <w:r w:rsidR="00A81A9C" w:rsidRPr="001C2124">
        <w:t xml:space="preserve">the presence of valuable growth options potentially explains our Table 4 findings of an asymmetric relationship between </w:t>
      </w:r>
      <w:r w:rsidR="00A81A9C" w:rsidRPr="001C2124">
        <w:rPr>
          <w:rFonts w:ascii="Calibri" w:eastAsia="Times New Roman" w:hAnsi="Calibri" w:cs="Times New Roman"/>
          <w:color w:val="000000"/>
          <w:lang w:eastAsia="en-NZ"/>
        </w:rPr>
        <w:t xml:space="preserve">the earnings uncertainty variable </w:t>
      </w:r>
      <w:r w:rsidR="00A81A9C" w:rsidRPr="001C2124">
        <w:t xml:space="preserve">and </w:t>
      </w:r>
      <w:r w:rsidR="00A81A9C" w:rsidRPr="001C2124">
        <w:rPr>
          <w:i/>
        </w:rPr>
        <w:t>CAR, Intangibles</w:t>
      </w:r>
      <w:r w:rsidR="00A81A9C" w:rsidRPr="001C2124">
        <w:t xml:space="preserve"> is added as a proxy for the presence of real options, measured at the end of time </w:t>
      </w:r>
      <w:r w:rsidR="00A81A9C" w:rsidRPr="001C2124">
        <w:rPr>
          <w:i/>
        </w:rPr>
        <w:t>t</w:t>
      </w:r>
      <w:r w:rsidR="00A81A9C" w:rsidRPr="001C2124">
        <w:t xml:space="preserve"> as the lagged value of intangible assets excluding goodwill divided by total assets. </w:t>
      </w:r>
      <w:r w:rsidR="006327F1">
        <w:t>T</w:t>
      </w:r>
      <w:r w:rsidR="00A81A9C" w:rsidRPr="001C2124">
        <w:t xml:space="preserve">he equation 1 control variables are also added. </w:t>
      </w:r>
      <w:r w:rsidR="006327F1">
        <w:t xml:space="preserve">The </w:t>
      </w:r>
      <w:r w:rsidR="006D40D7">
        <w:t>m</w:t>
      </w:r>
      <w:r w:rsidR="00C70D80">
        <w:t>odel 1</w:t>
      </w:r>
      <w:r w:rsidR="006327F1">
        <w:t xml:space="preserve"> results</w:t>
      </w:r>
      <w:r w:rsidR="00C70D80">
        <w:t xml:space="preserve"> reveal a </w:t>
      </w:r>
      <w:r w:rsidR="00C70D80" w:rsidRPr="00DE2049">
        <w:t>significantly negative (1% level)</w:t>
      </w:r>
      <w:r w:rsidR="00C70D80">
        <w:t xml:space="preserve"> </w:t>
      </w:r>
      <w:r w:rsidR="00C70D80" w:rsidRPr="001C2124">
        <w:t xml:space="preserve">coefficient on </w:t>
      </w:r>
      <w:r w:rsidR="00C70D80" w:rsidRPr="001C2124">
        <w:rPr>
          <w:rFonts w:ascii="Calibri" w:eastAsia="Times New Roman" w:hAnsi="Calibri" w:cs="Times New Roman"/>
          <w:i/>
          <w:color w:val="000000"/>
          <w:lang w:eastAsia="en-NZ"/>
        </w:rPr>
        <w:t>DQ</w:t>
      </w:r>
      <w:r w:rsidR="00C70D80" w:rsidRPr="001C2124">
        <w:rPr>
          <w:rFonts w:ascii="Calibri" w:eastAsia="Times New Roman" w:hAnsi="Calibri" w:cs="Times New Roman"/>
          <w:i/>
          <w:color w:val="000000"/>
          <w:vertAlign w:val="subscript"/>
          <w:lang w:eastAsia="en-NZ"/>
        </w:rPr>
        <w:t>LOW</w:t>
      </w:r>
      <w:r w:rsidR="006327F1">
        <w:rPr>
          <w:rFonts w:ascii="Calibri" w:eastAsia="Times New Roman" w:hAnsi="Calibri" w:cs="Times New Roman"/>
          <w:color w:val="000000"/>
          <w:lang w:eastAsia="en-NZ"/>
        </w:rPr>
        <w:t>,</w:t>
      </w:r>
      <w:r w:rsidR="00C70D80" w:rsidRPr="001C2124">
        <w:t xml:space="preserve"> </w:t>
      </w:r>
      <w:r w:rsidR="006327F1">
        <w:t>indicat</w:t>
      </w:r>
      <w:r w:rsidR="00C70D80" w:rsidRPr="001C2124">
        <w:t xml:space="preserve">ing that low transparency </w:t>
      </w:r>
      <w:r w:rsidR="00C70D80">
        <w:t>ann</w:t>
      </w:r>
      <w:r w:rsidR="00C70D80" w:rsidRPr="001C2124">
        <w:t>ouncements are less (more) likely to be associated with positive (negative) market reactions.</w:t>
      </w:r>
      <w:r w:rsidR="00BC268B">
        <w:t xml:space="preserve"> This is consistent with our Table 4 finding that for the positive </w:t>
      </w:r>
      <w:r w:rsidR="00BC268B" w:rsidRPr="001C2124">
        <w:rPr>
          <w:i/>
        </w:rPr>
        <w:t>CAR</w:t>
      </w:r>
      <w:r w:rsidR="00BC268B">
        <w:t xml:space="preserve"> subsample, </w:t>
      </w:r>
      <w:r w:rsidR="0013120A">
        <w:t>greater transparency</w:t>
      </w:r>
      <w:r w:rsidR="00BC268B">
        <w:t xml:space="preserve"> </w:t>
      </w:r>
      <w:r w:rsidR="006B7F48">
        <w:t xml:space="preserve">is associated with higher </w:t>
      </w:r>
      <w:r w:rsidR="006B7F48" w:rsidRPr="001C2124">
        <w:rPr>
          <w:i/>
        </w:rPr>
        <w:t>CAR</w:t>
      </w:r>
      <w:r w:rsidR="006B7F48">
        <w:t>. Further</w:t>
      </w:r>
      <w:r w:rsidR="00C70D80" w:rsidRPr="00C70D80">
        <w:t xml:space="preserve">, the significantly negative coefficient on </w:t>
      </w:r>
      <w:r w:rsidR="00C70D80" w:rsidRPr="00C70D80">
        <w:rPr>
          <w:i/>
        </w:rPr>
        <w:t>BAS</w:t>
      </w:r>
      <w:r w:rsidR="00C70D80" w:rsidRPr="00C70D80">
        <w:t xml:space="preserve"> (1% level) indicates that greater information asymmetry is less (more) likely to be observed </w:t>
      </w:r>
      <w:r w:rsidR="006327F1">
        <w:t xml:space="preserve">in </w:t>
      </w:r>
      <w:r w:rsidR="00C70D80" w:rsidRPr="00C70D80">
        <w:t xml:space="preserve">the positive (negative) </w:t>
      </w:r>
      <w:r w:rsidR="00C70D80" w:rsidRPr="00C70D80">
        <w:rPr>
          <w:i/>
        </w:rPr>
        <w:t>CAR</w:t>
      </w:r>
      <w:r w:rsidR="00C70D80" w:rsidRPr="00C70D80">
        <w:t xml:space="preserve"> subsample, while the </w:t>
      </w:r>
      <w:r w:rsidR="00C70D80" w:rsidRPr="001C2124">
        <w:t xml:space="preserve">coefficient for </w:t>
      </w:r>
      <w:r w:rsidR="00C70D80" w:rsidRPr="001C2124">
        <w:rPr>
          <w:i/>
        </w:rPr>
        <w:t>Intangibles</w:t>
      </w:r>
      <w:r w:rsidR="00C70D80" w:rsidRPr="001C2124">
        <w:t xml:space="preserve"> is significantly positive (1% level), implying that </w:t>
      </w:r>
      <w:r w:rsidR="006B7F48">
        <w:t>announcements by f</w:t>
      </w:r>
      <w:r w:rsidR="00C70D80" w:rsidRPr="001C2124">
        <w:t>irms with greater growth options are more</w:t>
      </w:r>
      <w:r w:rsidR="00E14774">
        <w:t xml:space="preserve"> (less)</w:t>
      </w:r>
      <w:r w:rsidR="00C70D80" w:rsidRPr="001C2124">
        <w:t xml:space="preserve"> likely to receive a positive (negative) </w:t>
      </w:r>
      <w:r w:rsidR="00C70D80" w:rsidRPr="001C2124">
        <w:rPr>
          <w:i/>
        </w:rPr>
        <w:t>CAR</w:t>
      </w:r>
      <w:r w:rsidR="00C70D80" w:rsidRPr="001C2124">
        <w:t xml:space="preserve"> reaction</w:t>
      </w:r>
      <w:r w:rsidR="006B7F48">
        <w:t xml:space="preserve">. </w:t>
      </w:r>
      <w:r w:rsidR="006327F1" w:rsidRPr="006327F1">
        <w:t xml:space="preserve">Next, </w:t>
      </w:r>
      <w:r w:rsidR="006D40D7">
        <w:t>m</w:t>
      </w:r>
      <w:r w:rsidR="006327F1" w:rsidRPr="006327F1">
        <w:t xml:space="preserve">odel 2 adds </w:t>
      </w:r>
      <w:r w:rsidR="00AD52FA" w:rsidRPr="001C2124">
        <w:rPr>
          <w:rFonts w:ascii="Calibri" w:eastAsia="Times New Roman" w:hAnsi="Calibri" w:cs="Times New Roman"/>
          <w:color w:val="000000"/>
          <w:lang w:eastAsia="en-NZ"/>
        </w:rPr>
        <w:t xml:space="preserve">an interaction term </w:t>
      </w:r>
      <w:r w:rsidR="00365599" w:rsidRPr="001C2124">
        <w:rPr>
          <w:rFonts w:ascii="Calibri" w:eastAsia="Times New Roman" w:hAnsi="Calibri" w:cs="Times New Roman"/>
          <w:i/>
          <w:color w:val="000000"/>
          <w:lang w:eastAsia="en-NZ"/>
        </w:rPr>
        <w:t>DQ</w:t>
      </w:r>
      <w:r w:rsidR="00365599" w:rsidRPr="001C2124">
        <w:rPr>
          <w:rFonts w:ascii="Calibri" w:eastAsia="Times New Roman" w:hAnsi="Calibri" w:cs="Times New Roman"/>
          <w:i/>
          <w:color w:val="000000"/>
          <w:vertAlign w:val="subscript"/>
          <w:lang w:eastAsia="en-NZ"/>
        </w:rPr>
        <w:t>LOW</w:t>
      </w:r>
      <w:r w:rsidR="00365599" w:rsidRPr="001C2124">
        <w:rPr>
          <w:rFonts w:ascii="Calibri" w:eastAsia="Times New Roman" w:hAnsi="Calibri" w:cs="Times New Roman"/>
          <w:i/>
          <w:color w:val="000000"/>
          <w:lang w:eastAsia="en-NZ"/>
        </w:rPr>
        <w:t xml:space="preserve"> </w:t>
      </w:r>
      <w:r w:rsidR="00365599" w:rsidRPr="001C2124">
        <w:rPr>
          <w:rFonts w:ascii="Calibri" w:eastAsia="Times New Roman" w:hAnsi="Calibri" w:cs="Calibri"/>
          <w:i/>
          <w:color w:val="000000"/>
          <w:lang w:eastAsia="en-NZ"/>
        </w:rPr>
        <w:t>×</w:t>
      </w:r>
      <w:r w:rsidR="00365599" w:rsidRPr="001C2124">
        <w:rPr>
          <w:rFonts w:ascii="Calibri" w:eastAsia="Times New Roman" w:hAnsi="Calibri" w:cs="Times New Roman"/>
          <w:i/>
          <w:color w:val="000000"/>
          <w:lang w:eastAsia="en-NZ"/>
        </w:rPr>
        <w:t xml:space="preserve"> BAS</w:t>
      </w:r>
      <w:r w:rsidR="00AD52FA" w:rsidRPr="001C2124">
        <w:rPr>
          <w:rFonts w:ascii="Calibri" w:eastAsia="Times New Roman" w:hAnsi="Calibri" w:cs="Times New Roman"/>
          <w:i/>
          <w:color w:val="000000"/>
          <w:lang w:eastAsia="en-NZ"/>
        </w:rPr>
        <w:t xml:space="preserve">. </w:t>
      </w:r>
      <w:r w:rsidR="00AD52FA" w:rsidRPr="001C2124">
        <w:rPr>
          <w:rFonts w:ascii="Calibri" w:eastAsia="Times New Roman" w:hAnsi="Calibri" w:cs="Times New Roman"/>
          <w:color w:val="000000"/>
          <w:lang w:eastAsia="en-NZ"/>
        </w:rPr>
        <w:t xml:space="preserve">If firms with high </w:t>
      </w:r>
      <w:r w:rsidR="00B52C09" w:rsidRPr="001C2124">
        <w:rPr>
          <w:rFonts w:ascii="Calibri" w:eastAsia="Times New Roman" w:hAnsi="Calibri" w:cs="Times New Roman"/>
          <w:color w:val="000000"/>
          <w:lang w:eastAsia="en-NZ"/>
        </w:rPr>
        <w:t xml:space="preserve">pre-announcement </w:t>
      </w:r>
      <w:r w:rsidR="00AD52FA" w:rsidRPr="001C2124">
        <w:rPr>
          <w:rFonts w:ascii="Calibri" w:eastAsia="Times New Roman" w:hAnsi="Calibri" w:cs="Times New Roman"/>
          <w:color w:val="000000"/>
          <w:lang w:eastAsia="en-NZ"/>
        </w:rPr>
        <w:t>bid-ask spread and low investment transparency are less (more) likely to be in the positive</w:t>
      </w:r>
      <w:r w:rsidR="00E14774">
        <w:rPr>
          <w:rFonts w:ascii="Calibri" w:eastAsia="Times New Roman" w:hAnsi="Calibri" w:cs="Times New Roman"/>
          <w:color w:val="000000"/>
          <w:lang w:eastAsia="en-NZ"/>
        </w:rPr>
        <w:t xml:space="preserve"> (negative)</w:t>
      </w:r>
      <w:r w:rsidR="00AD52FA" w:rsidRPr="001C2124">
        <w:rPr>
          <w:rFonts w:ascii="Calibri" w:eastAsia="Times New Roman" w:hAnsi="Calibri" w:cs="Times New Roman"/>
          <w:color w:val="000000"/>
          <w:lang w:eastAsia="en-NZ"/>
        </w:rPr>
        <w:t xml:space="preserve"> </w:t>
      </w:r>
      <w:r w:rsidR="00AD52FA" w:rsidRPr="001C2124">
        <w:rPr>
          <w:rFonts w:ascii="Calibri" w:eastAsia="Times New Roman" w:hAnsi="Calibri" w:cs="Times New Roman"/>
          <w:i/>
          <w:color w:val="000000"/>
          <w:lang w:eastAsia="en-NZ"/>
        </w:rPr>
        <w:t>CAR</w:t>
      </w:r>
      <w:r w:rsidR="00AD52FA" w:rsidRPr="001C2124">
        <w:rPr>
          <w:rFonts w:ascii="Calibri" w:eastAsia="Times New Roman" w:hAnsi="Calibri" w:cs="Times New Roman"/>
          <w:color w:val="000000"/>
          <w:lang w:eastAsia="en-NZ"/>
        </w:rPr>
        <w:t xml:space="preserve"> </w:t>
      </w:r>
      <w:r w:rsidR="006B1DB1" w:rsidRPr="001C2124">
        <w:rPr>
          <w:rFonts w:ascii="Calibri" w:eastAsia="Times New Roman" w:hAnsi="Calibri" w:cs="Times New Roman"/>
          <w:color w:val="000000"/>
          <w:lang w:eastAsia="en-NZ"/>
        </w:rPr>
        <w:t>subsample</w:t>
      </w:r>
      <w:r w:rsidR="00AD52FA" w:rsidRPr="001C2124">
        <w:rPr>
          <w:rFonts w:ascii="Calibri" w:eastAsia="Times New Roman" w:hAnsi="Calibri" w:cs="Times New Roman"/>
          <w:color w:val="000000"/>
          <w:lang w:eastAsia="en-NZ"/>
        </w:rPr>
        <w:t xml:space="preserve">, then a negative coefficient would be expected on the </w:t>
      </w:r>
      <w:r w:rsidR="00AD52FA" w:rsidRPr="001C2124">
        <w:rPr>
          <w:rFonts w:ascii="Calibri" w:eastAsia="Times New Roman" w:hAnsi="Calibri" w:cs="Times New Roman"/>
          <w:i/>
          <w:color w:val="000000"/>
          <w:lang w:eastAsia="en-NZ"/>
        </w:rPr>
        <w:t>DQ</w:t>
      </w:r>
      <w:r w:rsidR="00AD52FA" w:rsidRPr="001C2124">
        <w:rPr>
          <w:rFonts w:ascii="Calibri" w:eastAsia="Times New Roman" w:hAnsi="Calibri" w:cs="Times New Roman"/>
          <w:i/>
          <w:color w:val="000000"/>
          <w:vertAlign w:val="subscript"/>
          <w:lang w:eastAsia="en-NZ"/>
        </w:rPr>
        <w:t>LOW</w:t>
      </w:r>
      <w:r w:rsidR="00AD52FA" w:rsidRPr="001C2124">
        <w:rPr>
          <w:rFonts w:ascii="Calibri" w:eastAsia="Times New Roman" w:hAnsi="Calibri" w:cs="Times New Roman"/>
          <w:i/>
          <w:color w:val="000000"/>
          <w:lang w:eastAsia="en-NZ"/>
        </w:rPr>
        <w:t xml:space="preserve"> </w:t>
      </w:r>
      <w:r w:rsidR="00AD52FA" w:rsidRPr="001C2124">
        <w:rPr>
          <w:rFonts w:ascii="Calibri" w:eastAsia="Times New Roman" w:hAnsi="Calibri" w:cs="Calibri"/>
          <w:i/>
          <w:color w:val="000000"/>
          <w:lang w:eastAsia="en-NZ"/>
        </w:rPr>
        <w:t>×</w:t>
      </w:r>
      <w:r w:rsidR="00AD52FA" w:rsidRPr="001C2124">
        <w:rPr>
          <w:rFonts w:ascii="Calibri" w:eastAsia="Times New Roman" w:hAnsi="Calibri" w:cs="Times New Roman"/>
          <w:i/>
          <w:color w:val="000000"/>
          <w:lang w:eastAsia="en-NZ"/>
        </w:rPr>
        <w:t xml:space="preserve"> BAS </w:t>
      </w:r>
      <w:r w:rsidR="00AD52FA" w:rsidRPr="001C2124">
        <w:rPr>
          <w:rFonts w:ascii="Calibri" w:eastAsia="Times New Roman" w:hAnsi="Calibri" w:cs="Times New Roman"/>
          <w:color w:val="000000"/>
          <w:lang w:eastAsia="en-NZ"/>
        </w:rPr>
        <w:t>interaction.</w:t>
      </w:r>
      <w:r w:rsidR="00D57896" w:rsidRPr="001C2124">
        <w:rPr>
          <w:rFonts w:ascii="Calibri" w:eastAsia="Times New Roman" w:hAnsi="Calibri" w:cs="Times New Roman"/>
          <w:color w:val="000000"/>
          <w:lang w:eastAsia="en-NZ"/>
        </w:rPr>
        <w:t xml:space="preserve"> </w:t>
      </w:r>
      <w:r w:rsidR="00AD52FA" w:rsidRPr="001C2124">
        <w:rPr>
          <w:rFonts w:ascii="Calibri" w:eastAsia="Times New Roman" w:hAnsi="Calibri" w:cs="Times New Roman"/>
          <w:color w:val="000000"/>
          <w:lang w:eastAsia="en-NZ"/>
        </w:rPr>
        <w:t xml:space="preserve">The coefficient is significantly negative </w:t>
      </w:r>
      <w:r w:rsidR="006B1DB1" w:rsidRPr="001C2124">
        <w:rPr>
          <w:rFonts w:ascii="Calibri" w:eastAsia="Times New Roman" w:hAnsi="Calibri" w:cs="Times New Roman"/>
          <w:color w:val="000000"/>
          <w:lang w:eastAsia="en-NZ"/>
        </w:rPr>
        <w:t>(</w:t>
      </w:r>
      <w:r w:rsidR="00AD52FA" w:rsidRPr="001C2124">
        <w:rPr>
          <w:rFonts w:ascii="Calibri" w:eastAsia="Times New Roman" w:hAnsi="Calibri" w:cs="Times New Roman"/>
          <w:color w:val="000000"/>
          <w:lang w:eastAsia="en-NZ"/>
        </w:rPr>
        <w:t>1% level</w:t>
      </w:r>
      <w:r w:rsidR="006B1DB1" w:rsidRPr="001C2124">
        <w:rPr>
          <w:rFonts w:ascii="Calibri" w:eastAsia="Times New Roman" w:hAnsi="Calibri" w:cs="Times New Roman"/>
          <w:color w:val="000000"/>
          <w:lang w:eastAsia="en-NZ"/>
        </w:rPr>
        <w:t xml:space="preserve">), suggesting that </w:t>
      </w:r>
      <w:r w:rsidR="00230DAF" w:rsidRPr="001C2124">
        <w:rPr>
          <w:rFonts w:ascii="Calibri" w:eastAsia="Times New Roman" w:hAnsi="Calibri" w:cs="Times New Roman"/>
          <w:color w:val="000000"/>
          <w:lang w:eastAsia="en-NZ"/>
        </w:rPr>
        <w:t xml:space="preserve">the combination of high pre-announcement information asymmetry and low investment transparency are less likely to be observed </w:t>
      </w:r>
      <w:r w:rsidR="006B1DB1" w:rsidRPr="001C2124">
        <w:rPr>
          <w:rFonts w:ascii="Calibri" w:eastAsia="Times New Roman" w:hAnsi="Calibri" w:cs="Times New Roman"/>
          <w:color w:val="000000"/>
          <w:lang w:eastAsia="en-NZ"/>
        </w:rPr>
        <w:t xml:space="preserve">in the positive </w:t>
      </w:r>
      <w:r w:rsidR="006B1DB1" w:rsidRPr="001C2124">
        <w:rPr>
          <w:rFonts w:ascii="Calibri" w:eastAsia="Times New Roman" w:hAnsi="Calibri" w:cs="Times New Roman"/>
          <w:i/>
          <w:color w:val="000000"/>
          <w:lang w:eastAsia="en-NZ"/>
        </w:rPr>
        <w:t>CAR</w:t>
      </w:r>
      <w:r w:rsidR="006B1DB1" w:rsidRPr="001C2124">
        <w:rPr>
          <w:rFonts w:ascii="Calibri" w:eastAsia="Times New Roman" w:hAnsi="Calibri" w:cs="Times New Roman"/>
          <w:color w:val="000000"/>
          <w:lang w:eastAsia="en-NZ"/>
        </w:rPr>
        <w:t xml:space="preserve"> subsample</w:t>
      </w:r>
      <w:r w:rsidR="00230DAF" w:rsidRPr="001C2124">
        <w:rPr>
          <w:rFonts w:ascii="Calibri" w:eastAsia="Times New Roman" w:hAnsi="Calibri" w:cs="Times New Roman"/>
          <w:color w:val="000000"/>
          <w:lang w:eastAsia="en-NZ"/>
        </w:rPr>
        <w:t xml:space="preserve">, and more likely in the negative </w:t>
      </w:r>
      <w:r w:rsidR="00230DAF" w:rsidRPr="001C2124">
        <w:rPr>
          <w:rFonts w:ascii="Calibri" w:eastAsia="Times New Roman" w:hAnsi="Calibri" w:cs="Times New Roman"/>
          <w:i/>
          <w:color w:val="000000"/>
          <w:lang w:eastAsia="en-NZ"/>
        </w:rPr>
        <w:t>CAR</w:t>
      </w:r>
      <w:r w:rsidR="00230DAF" w:rsidRPr="001C2124">
        <w:rPr>
          <w:rFonts w:ascii="Calibri" w:eastAsia="Times New Roman" w:hAnsi="Calibri" w:cs="Times New Roman"/>
          <w:color w:val="000000"/>
          <w:lang w:eastAsia="en-NZ"/>
        </w:rPr>
        <w:t xml:space="preserve"> subsample</w:t>
      </w:r>
      <w:r w:rsidR="006B1DB1" w:rsidRPr="001C2124">
        <w:rPr>
          <w:rFonts w:ascii="Calibri" w:eastAsia="Times New Roman" w:hAnsi="Calibri" w:cs="Times New Roman"/>
          <w:color w:val="000000"/>
          <w:lang w:eastAsia="en-NZ"/>
        </w:rPr>
        <w:t xml:space="preserve">. </w:t>
      </w:r>
      <w:r w:rsidR="0042342F" w:rsidRPr="001C2124">
        <w:t>Then, i</w:t>
      </w:r>
      <w:r w:rsidR="00C8574D" w:rsidRPr="001C2124">
        <w:t xml:space="preserve">n </w:t>
      </w:r>
      <w:r w:rsidR="006D40D7">
        <w:lastRenderedPageBreak/>
        <w:t>m</w:t>
      </w:r>
      <w:r w:rsidR="00365599" w:rsidRPr="001C2124">
        <w:t>odels 3 and 4</w:t>
      </w:r>
      <w:r w:rsidR="00230DAF">
        <w:t>,</w:t>
      </w:r>
      <w:r w:rsidR="00365599" w:rsidRPr="001C2124">
        <w:t xml:space="preserve"> </w:t>
      </w:r>
      <w:r w:rsidR="00B52C09" w:rsidRPr="001C2124">
        <w:t>pre-announcement</w:t>
      </w:r>
      <w:r w:rsidR="00365599" w:rsidRPr="001C2124">
        <w:t xml:space="preserve"> </w:t>
      </w:r>
      <w:r w:rsidR="00365599" w:rsidRPr="001C2124">
        <w:rPr>
          <w:i/>
        </w:rPr>
        <w:t>BAS</w:t>
      </w:r>
      <w:r w:rsidR="00365599" w:rsidRPr="001C2124">
        <w:t xml:space="preserve"> </w:t>
      </w:r>
      <w:r w:rsidR="00C8574D" w:rsidRPr="001C2124">
        <w:t>is replaced by</w:t>
      </w:r>
      <w:r w:rsidR="00365599" w:rsidRPr="001C2124">
        <w:t xml:space="preserve"> an alternative </w:t>
      </w:r>
      <w:r w:rsidRPr="001C2124">
        <w:t xml:space="preserve">information asymmetry </w:t>
      </w:r>
      <w:r w:rsidR="00C8574D" w:rsidRPr="001C2124">
        <w:t>proxy</w:t>
      </w:r>
      <w:r w:rsidR="00365599" w:rsidRPr="001C2124">
        <w:t xml:space="preserve">, </w:t>
      </w:r>
      <w:r w:rsidR="00365599" w:rsidRPr="001C2124">
        <w:rPr>
          <w:rFonts w:ascii="Calibri" w:eastAsia="Times New Roman" w:hAnsi="Calibri" w:cs="Times New Roman"/>
          <w:i/>
          <w:color w:val="000000"/>
          <w:lang w:eastAsia="en-NZ"/>
        </w:rPr>
        <w:t>BASDev</w:t>
      </w:r>
      <w:r w:rsidR="00C8574D" w:rsidRPr="001C2124">
        <w:rPr>
          <w:rFonts w:ascii="Calibri" w:eastAsia="Times New Roman" w:hAnsi="Calibri" w:cs="Times New Roman"/>
          <w:color w:val="000000"/>
          <w:lang w:eastAsia="en-NZ"/>
        </w:rPr>
        <w:t xml:space="preserve">, representing the variability of pre-announcement </w:t>
      </w:r>
      <w:r w:rsidR="00C8574D" w:rsidRPr="001C2124">
        <w:rPr>
          <w:rFonts w:ascii="Calibri" w:eastAsia="Times New Roman" w:hAnsi="Calibri" w:cs="Times New Roman"/>
          <w:i/>
          <w:color w:val="000000"/>
          <w:lang w:eastAsia="en-NZ"/>
        </w:rPr>
        <w:t xml:space="preserve">BAS, </w:t>
      </w:r>
      <w:r w:rsidR="00C8574D" w:rsidRPr="001C2124">
        <w:rPr>
          <w:rFonts w:ascii="Calibri" w:eastAsia="Times New Roman" w:hAnsi="Calibri" w:cs="Times New Roman"/>
          <w:color w:val="000000"/>
          <w:lang w:eastAsia="en-NZ"/>
        </w:rPr>
        <w:t>estimated as</w:t>
      </w:r>
      <w:r w:rsidR="00365599" w:rsidRPr="001C2124">
        <w:rPr>
          <w:rFonts w:ascii="Calibri" w:eastAsia="Times New Roman" w:hAnsi="Calibri" w:cs="Times New Roman"/>
          <w:color w:val="000000"/>
          <w:lang w:eastAsia="en-NZ"/>
        </w:rPr>
        <w:t xml:space="preserve"> </w:t>
      </w:r>
      <w:r w:rsidR="006122B4" w:rsidRPr="006327F1">
        <w:rPr>
          <w:rFonts w:ascii="Calibri" w:eastAsia="Times New Roman" w:hAnsi="Calibri" w:cs="Times New Roman"/>
          <w:color w:val="000000"/>
          <w:lang w:eastAsia="en-NZ"/>
        </w:rPr>
        <w:t xml:space="preserve">the absolute value of the deviation of the day </w:t>
      </w:r>
      <w:r w:rsidR="006122B4" w:rsidRPr="006327F1">
        <w:rPr>
          <w:rFonts w:ascii="Calibri" w:eastAsia="Times New Roman" w:hAnsi="Calibri" w:cs="Times New Roman"/>
          <w:i/>
          <w:color w:val="000000"/>
          <w:lang w:eastAsia="en-NZ"/>
        </w:rPr>
        <w:t>t</w:t>
      </w:r>
      <w:r w:rsidR="006122B4" w:rsidRPr="006327F1">
        <w:rPr>
          <w:rFonts w:ascii="Calibri" w:eastAsia="Times New Roman" w:hAnsi="Calibri" w:cs="Times New Roman"/>
          <w:color w:val="000000"/>
          <w:lang w:eastAsia="en-NZ"/>
        </w:rPr>
        <w:t xml:space="preserve"> </w:t>
      </w:r>
      <w:r w:rsidR="006122B4" w:rsidRPr="006327F1">
        <w:rPr>
          <w:rFonts w:ascii="Calibri" w:eastAsia="Times New Roman" w:hAnsi="Calibri" w:cs="Times New Roman"/>
          <w:i/>
          <w:color w:val="000000"/>
          <w:lang w:eastAsia="en-NZ"/>
        </w:rPr>
        <w:t>BAS</w:t>
      </w:r>
      <w:r w:rsidR="006122B4" w:rsidRPr="006327F1">
        <w:rPr>
          <w:rFonts w:ascii="Calibri" w:eastAsia="Times New Roman" w:hAnsi="Calibri" w:cs="Times New Roman"/>
          <w:color w:val="000000"/>
          <w:lang w:eastAsia="en-NZ"/>
        </w:rPr>
        <w:t xml:space="preserve"> for firm </w:t>
      </w:r>
      <w:r w:rsidR="006122B4" w:rsidRPr="006327F1">
        <w:rPr>
          <w:rFonts w:ascii="Calibri" w:eastAsia="Times New Roman" w:hAnsi="Calibri" w:cs="Times New Roman"/>
          <w:i/>
          <w:color w:val="000000"/>
          <w:lang w:eastAsia="en-NZ"/>
        </w:rPr>
        <w:t xml:space="preserve">i </w:t>
      </w:r>
      <w:r w:rsidR="006122B4" w:rsidRPr="006327F1">
        <w:rPr>
          <w:rFonts w:ascii="Calibri" w:eastAsia="Times New Roman" w:hAnsi="Calibri" w:cs="Times New Roman"/>
          <w:color w:val="000000"/>
          <w:lang w:eastAsia="en-NZ"/>
        </w:rPr>
        <w:t xml:space="preserve">around the mean day </w:t>
      </w:r>
      <w:r w:rsidR="006122B4" w:rsidRPr="006327F1">
        <w:rPr>
          <w:rFonts w:ascii="Calibri" w:eastAsia="Times New Roman" w:hAnsi="Calibri" w:cs="Times New Roman"/>
          <w:i/>
          <w:color w:val="000000"/>
          <w:lang w:eastAsia="en-NZ"/>
        </w:rPr>
        <w:t>t</w:t>
      </w:r>
      <w:r w:rsidR="006122B4" w:rsidRPr="006327F1">
        <w:rPr>
          <w:rFonts w:ascii="Calibri" w:eastAsia="Times New Roman" w:hAnsi="Calibri" w:cs="Times New Roman"/>
          <w:color w:val="000000"/>
          <w:lang w:eastAsia="en-NZ"/>
        </w:rPr>
        <w:t xml:space="preserve"> </w:t>
      </w:r>
      <w:r w:rsidR="006122B4" w:rsidRPr="006327F1">
        <w:rPr>
          <w:rFonts w:ascii="Calibri" w:eastAsia="Times New Roman" w:hAnsi="Calibri" w:cs="Times New Roman"/>
          <w:i/>
          <w:color w:val="000000"/>
          <w:lang w:eastAsia="en-NZ"/>
        </w:rPr>
        <w:t>BAS</w:t>
      </w:r>
      <w:r w:rsidR="006122B4" w:rsidRPr="006327F1">
        <w:rPr>
          <w:rFonts w:ascii="Calibri" w:eastAsia="Times New Roman" w:hAnsi="Calibri" w:cs="Times New Roman"/>
          <w:color w:val="000000"/>
          <w:lang w:eastAsia="en-NZ"/>
        </w:rPr>
        <w:t xml:space="preserve"> for all sample firms. </w:t>
      </w:r>
      <w:r w:rsidR="00C8574D" w:rsidRPr="001C2124">
        <w:rPr>
          <w:rFonts w:ascii="Calibri" w:eastAsia="Times New Roman" w:hAnsi="Calibri" w:cs="Times New Roman"/>
          <w:color w:val="000000"/>
          <w:lang w:eastAsia="en-NZ"/>
        </w:rPr>
        <w:t xml:space="preserve">The results are materially unchanged from those in </w:t>
      </w:r>
      <w:r w:rsidR="00D234CD">
        <w:rPr>
          <w:rFonts w:ascii="Calibri" w:eastAsia="Times New Roman" w:hAnsi="Calibri" w:cs="Times New Roman"/>
          <w:color w:val="000000"/>
          <w:lang w:eastAsia="en-NZ"/>
        </w:rPr>
        <w:t>m</w:t>
      </w:r>
      <w:r w:rsidR="00C8574D" w:rsidRPr="001C2124">
        <w:rPr>
          <w:rFonts w:ascii="Calibri" w:eastAsia="Times New Roman" w:hAnsi="Calibri" w:cs="Times New Roman"/>
          <w:color w:val="000000"/>
          <w:lang w:eastAsia="en-NZ"/>
        </w:rPr>
        <w:t>odels 1 and 2</w:t>
      </w:r>
      <w:r w:rsidR="0042342F" w:rsidRPr="001C2124">
        <w:rPr>
          <w:rFonts w:ascii="Calibri" w:eastAsia="Times New Roman" w:hAnsi="Calibri" w:cs="Times New Roman"/>
          <w:color w:val="000000"/>
          <w:lang w:eastAsia="en-NZ"/>
        </w:rPr>
        <w:t xml:space="preserve">, and overall are consistent with the view that firms in the negative </w:t>
      </w:r>
      <w:r w:rsidR="0042342F" w:rsidRPr="001C2124">
        <w:rPr>
          <w:rFonts w:ascii="Calibri" w:eastAsia="Times New Roman" w:hAnsi="Calibri" w:cs="Times New Roman"/>
          <w:i/>
          <w:color w:val="000000"/>
          <w:lang w:eastAsia="en-NZ"/>
        </w:rPr>
        <w:t>CAR</w:t>
      </w:r>
      <w:r w:rsidR="0042342F" w:rsidRPr="001C2124">
        <w:rPr>
          <w:rFonts w:ascii="Calibri" w:eastAsia="Times New Roman" w:hAnsi="Calibri" w:cs="Times New Roman"/>
          <w:color w:val="000000"/>
          <w:lang w:eastAsia="en-NZ"/>
        </w:rPr>
        <w:t xml:space="preserve"> subsample suffer from greater information asymmetry</w:t>
      </w:r>
      <w:r w:rsidR="003069C6">
        <w:rPr>
          <w:rFonts w:ascii="Calibri" w:eastAsia="Times New Roman" w:hAnsi="Calibri" w:cs="Times New Roman"/>
          <w:color w:val="000000"/>
          <w:lang w:eastAsia="en-NZ"/>
        </w:rPr>
        <w:t xml:space="preserve"> when investment transparency is low</w:t>
      </w:r>
      <w:r w:rsidR="0042342F" w:rsidRPr="001C2124">
        <w:rPr>
          <w:rFonts w:ascii="Calibri" w:eastAsia="Times New Roman" w:hAnsi="Calibri" w:cs="Times New Roman"/>
          <w:color w:val="000000"/>
          <w:lang w:eastAsia="en-NZ"/>
        </w:rPr>
        <w:t xml:space="preserve">, while firms in the positive </w:t>
      </w:r>
      <w:r w:rsidR="0042342F" w:rsidRPr="001C2124">
        <w:rPr>
          <w:rFonts w:ascii="Calibri" w:eastAsia="Times New Roman" w:hAnsi="Calibri" w:cs="Times New Roman"/>
          <w:i/>
          <w:color w:val="000000"/>
          <w:lang w:eastAsia="en-NZ"/>
        </w:rPr>
        <w:t>CAR</w:t>
      </w:r>
      <w:r w:rsidR="0042342F" w:rsidRPr="001C2124">
        <w:rPr>
          <w:rFonts w:ascii="Calibri" w:eastAsia="Times New Roman" w:hAnsi="Calibri" w:cs="Times New Roman"/>
          <w:color w:val="000000"/>
          <w:lang w:eastAsia="en-NZ"/>
        </w:rPr>
        <w:t xml:space="preserve"> subsample possess greater real options.</w:t>
      </w:r>
      <w:r w:rsidR="0042342F">
        <w:rPr>
          <w:rFonts w:ascii="Calibri" w:eastAsia="Times New Roman" w:hAnsi="Calibri" w:cs="Times New Roman"/>
          <w:color w:val="000000"/>
          <w:lang w:eastAsia="en-NZ"/>
        </w:rPr>
        <w:t xml:space="preserve">  </w:t>
      </w:r>
    </w:p>
    <w:p w14:paraId="6C0378D8" w14:textId="2E3D2B2B" w:rsidR="00D769D5" w:rsidRDefault="0042342F" w:rsidP="00624D91">
      <w:pPr>
        <w:spacing w:line="360" w:lineRule="auto"/>
        <w:jc w:val="both"/>
        <w:rPr>
          <w:highlight w:val="cyan"/>
        </w:rPr>
      </w:pPr>
      <w:r>
        <w:rPr>
          <w:highlight w:val="cyan"/>
        </w:rPr>
        <w:t xml:space="preserve"> </w:t>
      </w:r>
    </w:p>
    <w:p w14:paraId="38ECA5FC" w14:textId="436FCB09" w:rsidR="002D30AE" w:rsidRDefault="00D769D5" w:rsidP="00BC1909">
      <w:pPr>
        <w:rPr>
          <w:b/>
        </w:rPr>
      </w:pPr>
      <w:r w:rsidRPr="006A77ED">
        <w:rPr>
          <w:b/>
        </w:rPr>
        <w:t xml:space="preserve">4.  </w:t>
      </w:r>
      <w:r w:rsidRPr="00D769D5">
        <w:rPr>
          <w:b/>
        </w:rPr>
        <w:t>Investment</w:t>
      </w:r>
      <w:r>
        <w:rPr>
          <w:b/>
        </w:rPr>
        <w:t xml:space="preserve"> transparency and information asymmetry</w:t>
      </w:r>
    </w:p>
    <w:p w14:paraId="5E75046A" w14:textId="15718E62" w:rsidR="00D02E24" w:rsidRDefault="00D02E24" w:rsidP="006A77ED">
      <w:pPr>
        <w:spacing w:line="360" w:lineRule="auto"/>
      </w:pPr>
    </w:p>
    <w:p w14:paraId="6335C7C6" w14:textId="57EC5555" w:rsidR="00D02E24" w:rsidRDefault="00D02E24" w:rsidP="006A77ED">
      <w:pPr>
        <w:spacing w:line="360" w:lineRule="auto"/>
      </w:pPr>
      <w:r>
        <w:t>4.1  Bid-ask spread around project announcements</w:t>
      </w:r>
    </w:p>
    <w:p w14:paraId="209293F8" w14:textId="1D807849" w:rsidR="00D02E24" w:rsidRDefault="00D02E24" w:rsidP="006A77ED">
      <w:pPr>
        <w:spacing w:line="360" w:lineRule="auto"/>
      </w:pPr>
    </w:p>
    <w:p w14:paraId="64935073" w14:textId="0EE948DD" w:rsidR="00D02E24" w:rsidRDefault="00D02E24" w:rsidP="006A77ED">
      <w:pPr>
        <w:spacing w:line="360" w:lineRule="auto"/>
        <w:jc w:val="both"/>
      </w:pPr>
      <w:r>
        <w:t xml:space="preserve">Figure 2 depicts </w:t>
      </w:r>
      <w:r w:rsidR="00653A73">
        <w:t xml:space="preserve">the average of </w:t>
      </w:r>
      <w:r w:rsidR="00F5786C">
        <w:t xml:space="preserve">daily </w:t>
      </w:r>
      <w:r w:rsidR="00653A73">
        <w:t>closing percent quoted bid-ask spread</w:t>
      </w:r>
      <w:r>
        <w:t xml:space="preserve"> around the project announcements for the window </w:t>
      </w:r>
      <w:r w:rsidR="00134659">
        <w:t>[-20,+20]</w:t>
      </w:r>
      <w:r>
        <w:t xml:space="preserve"> for the full, positive </w:t>
      </w:r>
      <w:r w:rsidRPr="00CF4E8D">
        <w:rPr>
          <w:i/>
        </w:rPr>
        <w:t>CAR</w:t>
      </w:r>
      <w:r>
        <w:t xml:space="preserve"> and negative </w:t>
      </w:r>
      <w:r w:rsidRPr="00CF4E8D">
        <w:rPr>
          <w:i/>
        </w:rPr>
        <w:t>CAR</w:t>
      </w:r>
      <w:r>
        <w:t xml:space="preserve"> samples. Prior to the announcement, </w:t>
      </w:r>
      <w:r w:rsidR="00983F2B">
        <w:t>daily</w:t>
      </w:r>
      <w:r>
        <w:t xml:space="preserve"> </w:t>
      </w:r>
      <w:r w:rsidRPr="006A77ED">
        <w:rPr>
          <w:i/>
        </w:rPr>
        <w:t>BAS</w:t>
      </w:r>
      <w:r>
        <w:t xml:space="preserve"> remains consistently higher </w:t>
      </w:r>
      <w:r w:rsidR="00D67018">
        <w:t xml:space="preserve">for the negative </w:t>
      </w:r>
      <w:r w:rsidR="00D67018" w:rsidRPr="00530DD7">
        <w:rPr>
          <w:i/>
        </w:rPr>
        <w:t>CAR</w:t>
      </w:r>
      <w:r w:rsidR="00D67018">
        <w:t xml:space="preserve"> subsample </w:t>
      </w:r>
      <w:r>
        <w:t xml:space="preserve">than </w:t>
      </w:r>
      <w:r w:rsidR="00BC7CC8">
        <w:t>for</w:t>
      </w:r>
      <w:r>
        <w:t xml:space="preserve"> the positive </w:t>
      </w:r>
      <w:r w:rsidR="00BC7CC8" w:rsidRPr="003D6E55">
        <w:rPr>
          <w:i/>
        </w:rPr>
        <w:t>CAR</w:t>
      </w:r>
      <w:r w:rsidR="00BC7CC8">
        <w:t xml:space="preserve"> sub</w:t>
      </w:r>
      <w:r w:rsidR="00983F2B">
        <w:t>sample</w:t>
      </w:r>
      <w:r>
        <w:t xml:space="preserve">. After the announcement, the </w:t>
      </w:r>
      <w:r w:rsidRPr="006A77ED">
        <w:rPr>
          <w:i/>
        </w:rPr>
        <w:t>BAS</w:t>
      </w:r>
      <w:r w:rsidR="00983F2B">
        <w:t xml:space="preserve"> of the two </w:t>
      </w:r>
      <w:r w:rsidR="00EA217C">
        <w:t>subsample</w:t>
      </w:r>
      <w:r w:rsidR="00983F2B">
        <w:t xml:space="preserve">s remains similar up until event day +6, after which the </w:t>
      </w:r>
      <w:r w:rsidR="00983F2B" w:rsidRPr="006A77ED">
        <w:rPr>
          <w:i/>
        </w:rPr>
        <w:t>BAS</w:t>
      </w:r>
      <w:r w:rsidR="00983F2B">
        <w:t xml:space="preserve"> of the positive </w:t>
      </w:r>
      <w:r w:rsidR="00983F2B" w:rsidRPr="006A77ED">
        <w:rPr>
          <w:i/>
        </w:rPr>
        <w:t>CAR</w:t>
      </w:r>
      <w:r w:rsidR="00983F2B">
        <w:t xml:space="preserve"> subsample remains consistent</w:t>
      </w:r>
      <w:r w:rsidR="00BC7CC8">
        <w:t>ly</w:t>
      </w:r>
      <w:r w:rsidR="00983F2B">
        <w:t xml:space="preserve"> higher than that of the negative </w:t>
      </w:r>
      <w:r w:rsidR="00983F2B" w:rsidRPr="006A77ED">
        <w:rPr>
          <w:i/>
        </w:rPr>
        <w:t>CAR</w:t>
      </w:r>
      <w:r w:rsidR="00983F2B">
        <w:t xml:space="preserve"> subsample. To shed further light on the impact of investment transparency on the results,</w:t>
      </w:r>
      <w:r w:rsidR="00744320">
        <w:t xml:space="preserve"> daily</w:t>
      </w:r>
      <w:r w:rsidR="00983F2B">
        <w:t xml:space="preserve"> </w:t>
      </w:r>
      <w:r w:rsidR="00983F2B" w:rsidRPr="006A77ED">
        <w:rPr>
          <w:i/>
        </w:rPr>
        <w:t>BAS</w:t>
      </w:r>
      <w:r w:rsidR="00983F2B">
        <w:t xml:space="preserve"> </w:t>
      </w:r>
      <w:r w:rsidR="00744320">
        <w:t xml:space="preserve">for the [-20,+20]  window </w:t>
      </w:r>
      <w:r w:rsidR="00983F2B">
        <w:t xml:space="preserve">around project announcements is partitioned by the level of </w:t>
      </w:r>
      <w:r w:rsidR="002A64B7">
        <w:t>transparency</w:t>
      </w:r>
      <w:r w:rsidR="00744320">
        <w:t xml:space="preserve">. Figure 3 reveals that for the positive </w:t>
      </w:r>
      <w:r w:rsidR="00744320" w:rsidRPr="006A77ED">
        <w:rPr>
          <w:i/>
        </w:rPr>
        <w:t>CAR</w:t>
      </w:r>
      <w:r w:rsidR="00744320">
        <w:t xml:space="preserve"> subsample, </w:t>
      </w:r>
      <w:r w:rsidR="00744320" w:rsidRPr="006A77ED">
        <w:rPr>
          <w:i/>
        </w:rPr>
        <w:t>BAS</w:t>
      </w:r>
      <w:r w:rsidR="00744320">
        <w:t xml:space="preserve"> is generally higher for firms with lower investment transparency</w:t>
      </w:r>
      <w:r w:rsidR="00744320" w:rsidRPr="00744320">
        <w:t xml:space="preserve">. </w:t>
      </w:r>
      <w:r w:rsidR="00744320" w:rsidRPr="006A77ED">
        <w:t xml:space="preserve">After the announcement, </w:t>
      </w:r>
      <w:r w:rsidR="00744320" w:rsidRPr="006A77ED">
        <w:rPr>
          <w:i/>
        </w:rPr>
        <w:t>BAS</w:t>
      </w:r>
      <w:r w:rsidR="00744320" w:rsidRPr="006A77ED">
        <w:t xml:space="preserve"> appears to diverge between</w:t>
      </w:r>
      <w:r w:rsidR="00247C93">
        <w:t xml:space="preserve"> the</w:t>
      </w:r>
      <w:r w:rsidR="00744320" w:rsidRPr="006A77ED">
        <w:t xml:space="preserve"> high and low transparency groups, but no consistent reduction of </w:t>
      </w:r>
      <w:r w:rsidR="00744320" w:rsidRPr="006A77ED">
        <w:rPr>
          <w:i/>
        </w:rPr>
        <w:t>BAS</w:t>
      </w:r>
      <w:r w:rsidR="00744320" w:rsidRPr="006A77ED">
        <w:t xml:space="preserve"> is evident. </w:t>
      </w:r>
      <w:r w:rsidR="00744320">
        <w:t xml:space="preserve">For the negative </w:t>
      </w:r>
      <w:r w:rsidR="00744320" w:rsidRPr="006A77ED">
        <w:rPr>
          <w:i/>
        </w:rPr>
        <w:t>CAR</w:t>
      </w:r>
      <w:r w:rsidR="00744320">
        <w:t xml:space="preserve"> subsample, </w:t>
      </w:r>
      <w:r w:rsidR="00650D92">
        <w:t xml:space="preserve">Figure 4 shows that the gap between </w:t>
      </w:r>
      <w:r w:rsidR="00744320" w:rsidRPr="006A77ED">
        <w:rPr>
          <w:i/>
        </w:rPr>
        <w:t>BAS</w:t>
      </w:r>
      <w:r w:rsidR="00650D92" w:rsidRPr="006A77ED">
        <w:rPr>
          <w:i/>
        </w:rPr>
        <w:t xml:space="preserve"> </w:t>
      </w:r>
      <w:r w:rsidR="00650D92">
        <w:t xml:space="preserve">for the two levels of transparency is even wider, with some narrowing of the gap </w:t>
      </w:r>
      <w:r w:rsidR="001C0FC3">
        <w:t>occurring after the announcement between days +8 to +15</w:t>
      </w:r>
      <w:r w:rsidR="00650D92">
        <w:t xml:space="preserve">. The reduction of </w:t>
      </w:r>
      <w:r w:rsidR="00650D92" w:rsidRPr="006A77ED">
        <w:rPr>
          <w:i/>
        </w:rPr>
        <w:t>BAS</w:t>
      </w:r>
      <w:r w:rsidR="00650D92">
        <w:t xml:space="preserve"> is more </w:t>
      </w:r>
      <w:r w:rsidR="00634361">
        <w:t>pronounced</w:t>
      </w:r>
      <w:r w:rsidR="00650D92">
        <w:t xml:space="preserve"> in the low </w:t>
      </w:r>
      <w:r w:rsidR="002A64B7">
        <w:t>transparency</w:t>
      </w:r>
      <w:r w:rsidR="00650D92">
        <w:t xml:space="preserve"> group, gradually declining from a high of almost 11% prior to the announcement to a low of less than 6% after. </w:t>
      </w:r>
      <w:r w:rsidR="0047106B">
        <w:t xml:space="preserve">Nevertheless, the </w:t>
      </w:r>
      <w:r w:rsidR="0047106B" w:rsidRPr="006A77ED">
        <w:rPr>
          <w:i/>
        </w:rPr>
        <w:t>BAS</w:t>
      </w:r>
      <w:r w:rsidR="0047106B">
        <w:t xml:space="preserve"> surrounding the announcement remains consistently higher for firms with lower investment transparency</w:t>
      </w:r>
      <w:r w:rsidR="0011470D">
        <w:t xml:space="preserve">, implying that </w:t>
      </w:r>
      <w:r w:rsidR="0011470D" w:rsidRPr="002B6789">
        <w:t xml:space="preserve">firms with higher </w:t>
      </w:r>
      <w:r w:rsidR="0011470D" w:rsidRPr="002B6789">
        <w:rPr>
          <w:i/>
        </w:rPr>
        <w:t>BAS</w:t>
      </w:r>
      <w:r w:rsidR="0011470D" w:rsidRPr="002B6789">
        <w:t xml:space="preserve"> have more opportunity </w:t>
      </w:r>
      <w:r w:rsidR="001F3880">
        <w:t xml:space="preserve">to </w:t>
      </w:r>
      <w:r w:rsidR="0011470D" w:rsidRPr="002B6789">
        <w:t>reduc</w:t>
      </w:r>
      <w:r w:rsidR="001F3880">
        <w:t>e</w:t>
      </w:r>
      <w:r w:rsidR="0011470D" w:rsidRPr="002B6789">
        <w:t xml:space="preserve"> </w:t>
      </w:r>
      <w:r w:rsidR="0011470D" w:rsidRPr="002B6789">
        <w:rPr>
          <w:i/>
        </w:rPr>
        <w:t>BAS</w:t>
      </w:r>
      <w:r w:rsidR="0011470D">
        <w:rPr>
          <w:i/>
        </w:rPr>
        <w:t>.</w:t>
      </w:r>
      <w:r w:rsidR="0011470D">
        <w:t xml:space="preserve"> </w:t>
      </w:r>
    </w:p>
    <w:p w14:paraId="5474A08B" w14:textId="77777777" w:rsidR="00D02E24" w:rsidRDefault="00D02E24" w:rsidP="00D769D5"/>
    <w:p w14:paraId="1B371D79" w14:textId="77777777" w:rsidR="00D02E24" w:rsidRDefault="00D02E24" w:rsidP="00D769D5"/>
    <w:p w14:paraId="6678687F" w14:textId="20EC1039" w:rsidR="002D30AE" w:rsidRPr="006A77ED" w:rsidRDefault="002D30AE" w:rsidP="00D769D5">
      <w:r w:rsidRPr="006A77ED">
        <w:t>4.</w:t>
      </w:r>
      <w:r w:rsidR="00D02E24">
        <w:t>2</w:t>
      </w:r>
      <w:r w:rsidRPr="006A77ED">
        <w:t xml:space="preserve">  Univariate analysis</w:t>
      </w:r>
    </w:p>
    <w:p w14:paraId="6D403DC2" w14:textId="6BDA1D36" w:rsidR="00D769D5" w:rsidRDefault="00D769D5" w:rsidP="00624D91">
      <w:pPr>
        <w:spacing w:line="360" w:lineRule="auto"/>
        <w:jc w:val="both"/>
        <w:rPr>
          <w:highlight w:val="cyan"/>
        </w:rPr>
      </w:pPr>
    </w:p>
    <w:p w14:paraId="78195E8C" w14:textId="3EA8A8C9" w:rsidR="00E63AA6" w:rsidRPr="00E63AA6" w:rsidRDefault="006B7274" w:rsidP="006A77ED">
      <w:pPr>
        <w:spacing w:line="360" w:lineRule="auto"/>
        <w:jc w:val="both"/>
      </w:pPr>
      <w:r w:rsidRPr="006A77ED">
        <w:t xml:space="preserve">To inform the analysis on the relationship between investment transparency and information asymmetry, </w:t>
      </w:r>
      <w:r w:rsidR="00E210D9">
        <w:t xml:space="preserve">Table 8 presents </w:t>
      </w:r>
      <w:r w:rsidRPr="006A77ED">
        <w:t xml:space="preserve">the </w:t>
      </w:r>
      <w:r w:rsidR="0010168D">
        <w:t xml:space="preserve">mean and median </w:t>
      </w:r>
      <w:r w:rsidR="00D63E32" w:rsidRPr="006A77ED">
        <w:rPr>
          <w:i/>
        </w:rPr>
        <w:t>BAS</w:t>
      </w:r>
      <w:r w:rsidR="00D63E32">
        <w:t xml:space="preserve"> and </w:t>
      </w:r>
      <w:r w:rsidR="0010168D">
        <w:rPr>
          <w:i/>
        </w:rPr>
        <w:t>Volume</w:t>
      </w:r>
      <w:r w:rsidR="0010168D">
        <w:t xml:space="preserve"> for 20 days before and 20 days after the project announcements (excluding the announcement day)</w:t>
      </w:r>
      <w:r w:rsidR="003B22FE">
        <w:t>, the mean and median change in the variables (after-before), and the tests of significance of the changes</w:t>
      </w:r>
      <w:r w:rsidR="00E63AA6">
        <w:t>.</w:t>
      </w:r>
      <w:r w:rsidR="0010168D">
        <w:t xml:space="preserve"> </w:t>
      </w:r>
      <w:r w:rsidR="00E63AA6">
        <w:t>Results are</w:t>
      </w:r>
      <w:r w:rsidR="00857F0B">
        <w:t xml:space="preserve"> </w:t>
      </w:r>
      <w:r w:rsidR="00E63AA6">
        <w:t xml:space="preserve">shown separately </w:t>
      </w:r>
      <w:r w:rsidR="00E63AA6">
        <w:lastRenderedPageBreak/>
        <w:t xml:space="preserve">for the full sample, high and low </w:t>
      </w:r>
      <w:r w:rsidR="002A64B7">
        <w:t>transparency</w:t>
      </w:r>
      <w:r w:rsidR="00E63AA6">
        <w:t xml:space="preserve"> groups, and the positive and negative </w:t>
      </w:r>
      <w:r w:rsidR="00E63AA6" w:rsidRPr="00EA44C7">
        <w:rPr>
          <w:i/>
        </w:rPr>
        <w:t>CAR</w:t>
      </w:r>
      <w:r w:rsidR="00E63AA6">
        <w:t xml:space="preserve"> </w:t>
      </w:r>
      <w:r w:rsidR="00802C32">
        <w:t>subsamples</w:t>
      </w:r>
      <w:r w:rsidR="00E63AA6">
        <w:t xml:space="preserve">. </w:t>
      </w:r>
      <w:r w:rsidR="00E63AA6" w:rsidRPr="006A77ED">
        <w:t xml:space="preserve">Mean (median) </w:t>
      </w:r>
      <w:r w:rsidR="00E63AA6" w:rsidRPr="006A77ED">
        <w:rPr>
          <w:i/>
        </w:rPr>
        <w:t>BAS</w:t>
      </w:r>
      <w:r w:rsidR="00E63AA6">
        <w:t xml:space="preserve"> </w:t>
      </w:r>
      <w:r w:rsidR="00E63AA6" w:rsidRPr="006A77ED">
        <w:t xml:space="preserve">decreases after the announcement, driven by </w:t>
      </w:r>
      <w:r w:rsidR="00E63AA6">
        <w:t xml:space="preserve">the </w:t>
      </w:r>
      <w:r w:rsidR="00E63AA6" w:rsidRPr="006A77ED">
        <w:t xml:space="preserve">low </w:t>
      </w:r>
      <w:r w:rsidR="002A64B7">
        <w:t>transparency</w:t>
      </w:r>
      <w:r w:rsidR="00E63AA6" w:rsidRPr="006A77ED">
        <w:t xml:space="preserve"> </w:t>
      </w:r>
      <w:r w:rsidR="00E63AA6">
        <w:t>and</w:t>
      </w:r>
      <w:r w:rsidR="00E63AA6" w:rsidRPr="006A77ED">
        <w:t xml:space="preserve"> negative </w:t>
      </w:r>
      <w:r w:rsidR="00E63AA6" w:rsidRPr="006A77ED">
        <w:rPr>
          <w:i/>
        </w:rPr>
        <w:t>CAR</w:t>
      </w:r>
      <w:r w:rsidR="00E63AA6" w:rsidRPr="006A77ED">
        <w:t xml:space="preserve"> </w:t>
      </w:r>
      <w:r w:rsidR="00EA217C">
        <w:t>subsample</w:t>
      </w:r>
      <w:r w:rsidR="00802C32">
        <w:t>s</w:t>
      </w:r>
      <w:r w:rsidR="001B0134">
        <w:t xml:space="preserve">. This suggests that </w:t>
      </w:r>
      <w:r w:rsidR="00D27CA0">
        <w:t xml:space="preserve">the announcement </w:t>
      </w:r>
      <w:r w:rsidR="001B0134">
        <w:t xml:space="preserve">may play a role in reducing information asymmetry in these groups. </w:t>
      </w:r>
      <w:r w:rsidR="00E63AA6" w:rsidRPr="006A77ED">
        <w:t xml:space="preserve">Comparing between </w:t>
      </w:r>
      <w:r w:rsidR="002A64B7">
        <w:t>transparency</w:t>
      </w:r>
      <w:r w:rsidR="00E63AA6" w:rsidRPr="006A77ED">
        <w:t xml:space="preserve"> levels, mean (median) </w:t>
      </w:r>
      <w:r w:rsidR="00E63AA6" w:rsidRPr="006A77ED">
        <w:rPr>
          <w:i/>
        </w:rPr>
        <w:t>BAS</w:t>
      </w:r>
      <w:r w:rsidR="00E63AA6">
        <w:t xml:space="preserve"> </w:t>
      </w:r>
      <w:r w:rsidR="00E63AA6" w:rsidRPr="006A77ED">
        <w:t xml:space="preserve">is significantly lower in the high </w:t>
      </w:r>
      <w:r w:rsidR="002A64B7">
        <w:t>transparency</w:t>
      </w:r>
      <w:r w:rsidR="00E63AA6" w:rsidRPr="006A77ED">
        <w:t xml:space="preserve"> group, both before the announcement and after. Comparing between </w:t>
      </w:r>
      <w:r w:rsidR="00E63AA6" w:rsidRPr="006A77ED">
        <w:rPr>
          <w:i/>
        </w:rPr>
        <w:t xml:space="preserve">CAR </w:t>
      </w:r>
      <w:r w:rsidR="00802C32" w:rsidRPr="006A77ED">
        <w:t>subsamples</w:t>
      </w:r>
      <w:r w:rsidR="00E63AA6" w:rsidRPr="006A77ED">
        <w:t>,</w:t>
      </w:r>
      <w:r w:rsidR="00E63AA6" w:rsidRPr="00E63AA6">
        <w:t xml:space="preserve"> </w:t>
      </w:r>
      <w:r w:rsidR="00A623BA" w:rsidRPr="006A77ED">
        <w:t xml:space="preserve">the positive </w:t>
      </w:r>
      <w:r w:rsidR="00A623BA" w:rsidRPr="006A77ED">
        <w:rPr>
          <w:i/>
        </w:rPr>
        <w:t>CAR</w:t>
      </w:r>
      <w:r w:rsidR="00A623BA" w:rsidRPr="006A77ED">
        <w:t xml:space="preserve"> </w:t>
      </w:r>
      <w:r w:rsidR="00A623BA">
        <w:t>subsample</w:t>
      </w:r>
      <w:r w:rsidR="00A623BA" w:rsidRPr="006A77ED">
        <w:t xml:space="preserve"> </w:t>
      </w:r>
      <w:r w:rsidR="00A623BA">
        <w:t xml:space="preserve">displays significantly lower </w:t>
      </w:r>
      <w:r w:rsidR="00E63AA6" w:rsidRPr="006A77ED">
        <w:t xml:space="preserve">mean (median) </w:t>
      </w:r>
      <w:r w:rsidR="00F95BF4" w:rsidRPr="006A77ED">
        <w:rPr>
          <w:i/>
        </w:rPr>
        <w:t>BAS</w:t>
      </w:r>
      <w:r w:rsidR="00E63AA6" w:rsidRPr="006A77ED">
        <w:t xml:space="preserve"> in the 20 days before the announcement, </w:t>
      </w:r>
      <w:r w:rsidR="00A623BA">
        <w:t xml:space="preserve">and </w:t>
      </w:r>
      <w:r w:rsidR="00E63AA6" w:rsidRPr="006A77ED">
        <w:t xml:space="preserve">significantly higher </w:t>
      </w:r>
      <w:r w:rsidR="00A623BA" w:rsidRPr="006A77ED">
        <w:t xml:space="preserve">mean </w:t>
      </w:r>
      <w:r w:rsidR="00A623BA" w:rsidRPr="00EA44C7">
        <w:rPr>
          <w:i/>
        </w:rPr>
        <w:t xml:space="preserve">BAS </w:t>
      </w:r>
      <w:r w:rsidR="00E63AA6" w:rsidRPr="006A77ED">
        <w:t>in the 20 days after the announcement.</w:t>
      </w:r>
      <w:r w:rsidR="00E63AA6" w:rsidRPr="00E63AA6">
        <w:t xml:space="preserve"> </w:t>
      </w:r>
      <w:r w:rsidR="001B0134">
        <w:t xml:space="preserve">Accordingly, the univariate results </w:t>
      </w:r>
      <w:r w:rsidR="00875E60">
        <w:t>are consistent with a view</w:t>
      </w:r>
      <w:r w:rsidR="001B0134">
        <w:t xml:space="preserve"> that those firms that suffer from greater information asymmetry</w:t>
      </w:r>
      <w:r w:rsidR="00E96BFB">
        <w:t xml:space="preserve"> prior to the project announcement</w:t>
      </w:r>
      <w:r w:rsidR="001B0134">
        <w:t xml:space="preserve"> </w:t>
      </w:r>
      <w:r w:rsidR="005E1924">
        <w:t xml:space="preserve">(i.e. negative </w:t>
      </w:r>
      <w:r w:rsidR="00E96BFB" w:rsidRPr="003D6E55">
        <w:rPr>
          <w:i/>
        </w:rPr>
        <w:t>CAR</w:t>
      </w:r>
      <w:r w:rsidR="005E1924">
        <w:t xml:space="preserve"> firms </w:t>
      </w:r>
      <w:r w:rsidR="00E96BFB">
        <w:t xml:space="preserve">and those </w:t>
      </w:r>
      <w:r w:rsidR="005E1924">
        <w:t xml:space="preserve">with low transparency) </w:t>
      </w:r>
      <w:r w:rsidR="001B0134">
        <w:t>benefit more from a reduction in information asymmetry after the announcement</w:t>
      </w:r>
      <w:r w:rsidR="005E1924">
        <w:t xml:space="preserve">.  </w:t>
      </w:r>
      <w:r w:rsidR="001B0134">
        <w:t xml:space="preserve"> </w:t>
      </w:r>
    </w:p>
    <w:p w14:paraId="55D5941C" w14:textId="77777777" w:rsidR="00E63AA6" w:rsidRPr="00E63AA6" w:rsidRDefault="00E63AA6" w:rsidP="006A77ED">
      <w:pPr>
        <w:spacing w:line="360" w:lineRule="auto"/>
        <w:jc w:val="both"/>
      </w:pPr>
    </w:p>
    <w:p w14:paraId="687654C3" w14:textId="1A6473A6" w:rsidR="006B7274" w:rsidRPr="006A77ED" w:rsidRDefault="00F95BF4" w:rsidP="00E63AA6">
      <w:pPr>
        <w:spacing w:line="360" w:lineRule="auto"/>
        <w:jc w:val="both"/>
      </w:pPr>
      <w:r>
        <w:t xml:space="preserve">Firms with greater trading volume may be attracting more investor attention, which can have the positive benefit of </w:t>
      </w:r>
      <w:r w:rsidR="002D30AE">
        <w:t xml:space="preserve">reducing investor </w:t>
      </w:r>
      <w:r w:rsidR="002851F4">
        <w:t>underreaction</w:t>
      </w:r>
      <w:r w:rsidR="00102C92">
        <w:t xml:space="preserve"> to announcements</w:t>
      </w:r>
      <w:r w:rsidR="002851F4">
        <w:t xml:space="preserve"> </w:t>
      </w:r>
      <w:r w:rsidR="002851F4">
        <w:fldChar w:fldCharType="begin"/>
      </w:r>
      <w:r w:rsidR="002851F4">
        <w:instrText xml:space="preserve"> ADDIN EN.CITE &lt;EndNote&gt;&lt;Cite&gt;&lt;Author&gt;Jiang&lt;/Author&gt;&lt;Year&gt;2017&lt;/Year&gt;&lt;RecNum&gt;2348&lt;/RecNum&gt;&lt;DisplayText&gt;(Jiang &amp;amp; Zhu, 2017)&lt;/DisplayText&gt;&lt;record&gt;&lt;rec-number&gt;2348&lt;/rec-number&gt;&lt;foreign-keys&gt;&lt;key app="EN" db-id="20p2wrv0m2av96e55d1pzxv2zxx5pvw55d55" timestamp="1523590396"&gt;2348&lt;/key&gt;&lt;/foreign-keys&gt;&lt;ref-type name="Journal Article"&gt;17&lt;/ref-type&gt;&lt;contributors&gt;&lt;authors&gt;&lt;author&gt;Jiang, G. J.&lt;/author&gt;&lt;author&gt;Zhu, K. X.&lt;/author&gt;&lt;/authors&gt;&lt;/contributors&gt;&lt;auth-address&gt;Department of Finance and Management Science, Carson College of Business, Washington State University, Todd Addition, Pullman, WA, United States&amp;#xD;International Business School Suzhou, Xian Jiaotong-Liverpool University, 111 Renai Road, Suzhou, China&amp;#xD;School of Accounting and Finance, Hong Kong Polytechnic University, Hunghom, Hong Kong&lt;/auth-address&gt;&lt;titles&gt;&lt;title&gt;Information Shocks and Short-Term Market Underreaction&lt;/title&gt;&lt;secondary-title&gt;Journal of Financial Economics&lt;/secondary-title&gt;&lt;/titles&gt;&lt;periodical&gt;&lt;full-title&gt;Journal of Financial Economics&lt;/full-title&gt;&lt;/periodical&gt;&lt;pages&gt;43-64&lt;/pages&gt;&lt;volume&gt;124&lt;/volume&gt;&lt;number&gt;1&lt;/number&gt;&lt;keywords&gt;&lt;keyword&gt;Earnings announcement effect&lt;/keyword&gt;&lt;keyword&gt;Information shocks&lt;/keyword&gt;&lt;keyword&gt;Limited investor attention&lt;/keyword&gt;&lt;keyword&gt;Short-term underreaction&lt;/keyword&gt;&lt;keyword&gt;Stock return momentum&lt;/keyword&gt;&lt;/keywords&gt;&lt;dates&gt;&lt;year&gt;2017&lt;/year&gt;&lt;/dates&gt;&lt;work-type&gt;Article&lt;/work-type&gt;&lt;urls&gt;&lt;related-urls&gt;&lt;url&gt;https://www.scopus.com/inward/record.uri?eid=2-s2.0-85008642041&amp;amp;doi=10.1016%2fj.jfineco.2016.06.006&amp;amp;partnerID=40&amp;amp;md5=851ef347facbc7a68baf192b707f5c0d&lt;/url&gt;&lt;/related-urls&gt;&lt;/urls&gt;&lt;electronic-resource-num&gt;10.1016/j.jfineco.2016.06.006&lt;/electronic-resource-num&gt;&lt;remote-database-name&gt;Scopus&lt;/remote-database-name&gt;&lt;/record&gt;&lt;/Cite&gt;&lt;/EndNote&gt;</w:instrText>
      </w:r>
      <w:r w:rsidR="002851F4">
        <w:fldChar w:fldCharType="separate"/>
      </w:r>
      <w:r w:rsidR="002851F4">
        <w:rPr>
          <w:noProof/>
        </w:rPr>
        <w:t>(</w:t>
      </w:r>
      <w:hyperlink w:anchor="_ENREF_33" w:tooltip="Jiang, 2017 #2348" w:history="1">
        <w:r w:rsidR="006C57ED">
          <w:rPr>
            <w:noProof/>
          </w:rPr>
          <w:t>Jiang &amp; Zhu, 2017</w:t>
        </w:r>
      </w:hyperlink>
      <w:r w:rsidR="002851F4">
        <w:rPr>
          <w:noProof/>
        </w:rPr>
        <w:t>)</w:t>
      </w:r>
      <w:r w:rsidR="002851F4">
        <w:fldChar w:fldCharType="end"/>
      </w:r>
      <w:r>
        <w:t xml:space="preserve">. </w:t>
      </w:r>
      <w:r w:rsidR="00984B59">
        <w:t xml:space="preserve">Table 8 reveals </w:t>
      </w:r>
      <w:r w:rsidR="00102C92">
        <w:t xml:space="preserve">no significant changes to </w:t>
      </w:r>
      <w:r w:rsidR="00E63AA6" w:rsidRPr="006A77ED">
        <w:rPr>
          <w:i/>
        </w:rPr>
        <w:t>Volume</w:t>
      </w:r>
      <w:r w:rsidR="00102C92">
        <w:rPr>
          <w:i/>
        </w:rPr>
        <w:t xml:space="preserve"> </w:t>
      </w:r>
      <w:r w:rsidR="00984B59">
        <w:t>surrounding</w:t>
      </w:r>
      <w:r w:rsidR="00E63AA6" w:rsidRPr="006A77ED">
        <w:t xml:space="preserve"> the project announcement. However, comparing between </w:t>
      </w:r>
      <w:r w:rsidR="001D58FB">
        <w:t>transparency</w:t>
      </w:r>
      <w:r w:rsidR="00E63AA6" w:rsidRPr="006A77ED">
        <w:t xml:space="preserve"> levels, mean (median) </w:t>
      </w:r>
      <w:r w:rsidR="00802C32" w:rsidRPr="006A77ED">
        <w:rPr>
          <w:i/>
        </w:rPr>
        <w:t>V</w:t>
      </w:r>
      <w:r w:rsidR="00E63AA6" w:rsidRPr="006A77ED">
        <w:rPr>
          <w:i/>
        </w:rPr>
        <w:t xml:space="preserve">olume </w:t>
      </w:r>
      <w:r w:rsidR="00E63AA6" w:rsidRPr="006A77ED">
        <w:t xml:space="preserve">is significantly higher for the high </w:t>
      </w:r>
      <w:r w:rsidR="002A64B7">
        <w:t>transparency</w:t>
      </w:r>
      <w:r w:rsidR="00E63AA6" w:rsidRPr="006A77ED">
        <w:t xml:space="preserve"> group, both before and after the announcement</w:t>
      </w:r>
      <w:r w:rsidR="00102C92">
        <w:t xml:space="preserve">, suggesting that relative to low </w:t>
      </w:r>
      <w:r w:rsidR="002A64B7">
        <w:t>transparency</w:t>
      </w:r>
      <w:r w:rsidR="00102C92">
        <w:t xml:space="preserve"> firms, high </w:t>
      </w:r>
      <w:r w:rsidR="002A64B7">
        <w:t>transparency</w:t>
      </w:r>
      <w:r w:rsidR="00102C92">
        <w:t xml:space="preserve"> firms</w:t>
      </w:r>
      <w:r w:rsidR="00984B59">
        <w:t xml:space="preserve"> enjoy g</w:t>
      </w:r>
      <w:r w:rsidR="00102C92">
        <w:t xml:space="preserve">reater investor </w:t>
      </w:r>
      <w:r w:rsidR="00984B59">
        <w:t>attention</w:t>
      </w:r>
      <w:r w:rsidR="00102C92">
        <w:t xml:space="preserve">. </w:t>
      </w:r>
      <w:r w:rsidR="00E63AA6" w:rsidRPr="006A77ED">
        <w:t xml:space="preserve">Comparing between </w:t>
      </w:r>
      <w:r w:rsidR="00E63AA6" w:rsidRPr="006A77ED">
        <w:rPr>
          <w:i/>
        </w:rPr>
        <w:t xml:space="preserve">CAR </w:t>
      </w:r>
      <w:r w:rsidR="00E63AA6" w:rsidRPr="006A77ED">
        <w:t xml:space="preserve">subsamples, </w:t>
      </w:r>
      <w:r w:rsidR="00102C92">
        <w:t xml:space="preserve">there are no significant differences except </w:t>
      </w:r>
      <w:r w:rsidR="00102C92" w:rsidRPr="00EA44C7">
        <w:t>in the 20 days before the announcement</w:t>
      </w:r>
      <w:r w:rsidR="00102C92" w:rsidRPr="00102C92">
        <w:t xml:space="preserve"> </w:t>
      </w:r>
      <w:r w:rsidR="00102C92">
        <w:t xml:space="preserve">when </w:t>
      </w:r>
      <w:r w:rsidR="00E63AA6" w:rsidRPr="006A77ED">
        <w:t xml:space="preserve">median </w:t>
      </w:r>
      <w:r w:rsidR="00802C32" w:rsidRPr="00EA44C7">
        <w:rPr>
          <w:i/>
        </w:rPr>
        <w:t>Volume</w:t>
      </w:r>
      <w:r w:rsidR="00E63AA6" w:rsidRPr="006A77ED">
        <w:t xml:space="preserve"> is lower</w:t>
      </w:r>
      <w:r w:rsidR="00102C92">
        <w:t xml:space="preserve"> </w:t>
      </w:r>
      <w:r w:rsidR="00E63AA6" w:rsidRPr="006A77ED">
        <w:t xml:space="preserve">for the positive </w:t>
      </w:r>
      <w:r w:rsidR="00E63AA6" w:rsidRPr="006A77ED">
        <w:rPr>
          <w:i/>
        </w:rPr>
        <w:t>CAR</w:t>
      </w:r>
      <w:r w:rsidR="00E63AA6" w:rsidRPr="006A77ED">
        <w:t xml:space="preserve"> </w:t>
      </w:r>
      <w:r w:rsidR="00EA217C">
        <w:t>subsample</w:t>
      </w:r>
      <w:r w:rsidR="00E63AA6" w:rsidRPr="006A77ED">
        <w:t>.</w:t>
      </w:r>
      <w:r w:rsidR="00802C32">
        <w:t xml:space="preserve"> </w:t>
      </w:r>
    </w:p>
    <w:p w14:paraId="65E4D99A" w14:textId="77777777" w:rsidR="0010168D" w:rsidRDefault="0010168D" w:rsidP="00E63AA6">
      <w:pPr>
        <w:spacing w:line="360" w:lineRule="auto"/>
        <w:jc w:val="both"/>
      </w:pPr>
    </w:p>
    <w:p w14:paraId="5AE3118E" w14:textId="714581CB" w:rsidR="00D769D5" w:rsidRPr="006A77ED" w:rsidRDefault="00E63AA6" w:rsidP="00624D91">
      <w:pPr>
        <w:spacing w:line="360" w:lineRule="auto"/>
        <w:jc w:val="both"/>
      </w:pPr>
      <w:r>
        <w:t>4</w:t>
      </w:r>
      <w:r w:rsidR="00D769D5" w:rsidRPr="006A77ED">
        <w:t>.</w:t>
      </w:r>
      <w:r w:rsidR="00D02E24">
        <w:t>3</w:t>
      </w:r>
      <w:r w:rsidR="00D769D5" w:rsidRPr="006A77ED">
        <w:t xml:space="preserve">  Are firms pre-disposed to a particular level of transparency? </w:t>
      </w:r>
    </w:p>
    <w:p w14:paraId="57B8AABC" w14:textId="62893369" w:rsidR="007C246A" w:rsidRDefault="007C246A" w:rsidP="00724863">
      <w:pPr>
        <w:spacing w:line="360" w:lineRule="auto"/>
        <w:jc w:val="both"/>
      </w:pPr>
    </w:p>
    <w:p w14:paraId="68E5C0AD" w14:textId="0CDBABA7" w:rsidR="00A87CB1" w:rsidRDefault="008763C0" w:rsidP="00A87CB1">
      <w:pPr>
        <w:spacing w:line="360" w:lineRule="auto"/>
        <w:jc w:val="both"/>
        <w:rPr>
          <w:rFonts w:ascii="Calibri" w:eastAsia="Calibri" w:hAnsi="Calibri" w:cs="Calibri"/>
        </w:rPr>
      </w:pPr>
      <w:r>
        <w:t>To mitigate endogeneity concerns with respect to our tests of the effect of investment transparency on information asymmetry, t</w:t>
      </w:r>
      <w:r w:rsidR="007C246A">
        <w:t>he next tests consider whether firms ha</w:t>
      </w:r>
      <w:r w:rsidR="00271CEF">
        <w:t>ve</w:t>
      </w:r>
      <w:r w:rsidR="007C246A">
        <w:t xml:space="preserve"> a pre-disposition to a certain level of transparency</w:t>
      </w:r>
      <w:r w:rsidR="00857F0B">
        <w:t xml:space="preserve"> in their project announcements</w:t>
      </w:r>
      <w:r w:rsidR="007C246A">
        <w:t xml:space="preserve">. One line of reasoning is that firms facing greater information asymmetry </w:t>
      </w:r>
      <w:r w:rsidR="00271CEF">
        <w:t xml:space="preserve">prior to a project announcement </w:t>
      </w:r>
      <w:r w:rsidR="007C246A">
        <w:t xml:space="preserve">are likely to be more forthcoming in their </w:t>
      </w:r>
      <w:r w:rsidR="00271CEF">
        <w:t xml:space="preserve">disclosures in </w:t>
      </w:r>
      <w:r w:rsidR="007C246A">
        <w:t>an effort to improve pricing accuracy</w:t>
      </w:r>
      <w:r w:rsidR="00271CEF">
        <w:t xml:space="preserve"> and reduce information asymmetry</w:t>
      </w:r>
      <w:r w:rsidR="007C246A">
        <w:t xml:space="preserve"> </w:t>
      </w:r>
      <w:r w:rsidR="007C246A">
        <w:fldChar w:fldCharType="begin"/>
      </w:r>
      <w:r w:rsidR="007C246A">
        <w:instrText xml:space="preserve"> ADDIN EN.CITE &lt;EndNote&gt;&lt;Cite&gt;&lt;Author&gt;Coller&lt;/Author&gt;&lt;Year&gt;1997&lt;/Year&gt;&lt;RecNum&gt;2291&lt;/RecNum&gt;&lt;DisplayText&gt;(Coller &amp;amp; Yohn, 1997)&lt;/DisplayText&gt;&lt;record&gt;&lt;rec-number&gt;2291&lt;/rec-number&gt;&lt;foreign-keys&gt;&lt;key app="EN" db-id="20p2wrv0m2av96e55d1pzxv2zxx5pvw55d55" timestamp="1502848742"&gt;2291&lt;/key&gt;&lt;/foreign-keys&gt;&lt;ref-type name="Journal Article"&gt;17&lt;/ref-type&gt;&lt;contributors&gt;&lt;authors&gt;&lt;author&gt;Coller, M.&lt;/author&gt;&lt;author&gt;Yohn, T. L.&lt;/author&gt;&lt;/authors&gt;&lt;/contributors&gt;&lt;titles&gt;&lt;title&gt;Management forecasts and information asymmetry: An examination of bid-ask spreads&lt;/title&gt;&lt;secondary-title&gt;Journal of Accounting Research&lt;/secondary-title&gt;&lt;/titles&gt;&lt;periodical&gt;&lt;full-title&gt;Journal of Accounting Research&lt;/full-title&gt;&lt;/periodical&gt;&lt;pages&gt;181-191&lt;/pages&gt;&lt;volume&gt;35&lt;/volume&gt;&lt;number&gt;2&lt;/number&gt;&lt;dates&gt;&lt;year&gt;1997&lt;/year&gt;&lt;pub-dates&gt;&lt;date&gt;Fal&lt;/date&gt;&lt;/pub-dates&gt;&lt;/dates&gt;&lt;isbn&gt;0021-8456&lt;/isbn&gt;&lt;accession-num&gt;WOS:A1997YF54600003&lt;/accession-num&gt;&lt;urls&gt;&lt;related-urls&gt;&lt;url&gt;&amp;lt;Go to ISI&amp;gt;://WOS:A1997YF54600003&lt;/url&gt;&lt;/related-urls&gt;&lt;/urls&gt;&lt;electronic-resource-num&gt;10.2307/2491359&lt;/electronic-resource-num&gt;&lt;/record&gt;&lt;/Cite&gt;&lt;/EndNote&gt;</w:instrText>
      </w:r>
      <w:r w:rsidR="007C246A">
        <w:fldChar w:fldCharType="separate"/>
      </w:r>
      <w:r w:rsidR="007C246A">
        <w:rPr>
          <w:noProof/>
        </w:rPr>
        <w:t>(</w:t>
      </w:r>
      <w:hyperlink w:anchor="_ENREF_15" w:tooltip="Coller, 1997 #2291" w:history="1">
        <w:r w:rsidR="006C57ED">
          <w:rPr>
            <w:noProof/>
          </w:rPr>
          <w:t>Coller &amp; Yohn, 1997</w:t>
        </w:r>
      </w:hyperlink>
      <w:r w:rsidR="007C246A">
        <w:rPr>
          <w:noProof/>
        </w:rPr>
        <w:t>)</w:t>
      </w:r>
      <w:r w:rsidR="007C246A">
        <w:fldChar w:fldCharType="end"/>
      </w:r>
      <w:r w:rsidR="007C246A">
        <w:t xml:space="preserve">. An opposing view is that potential costs of legal sanctions for inaccuracy may deter managers from making public forecasts when forecast difficulty is greater </w:t>
      </w:r>
      <w:r w:rsidR="007C246A">
        <w:fldChar w:fldCharType="begin"/>
      </w:r>
      <w:r w:rsidR="007C246A">
        <w:instrText xml:space="preserve"> ADDIN EN.CITE &lt;EndNote&gt;&lt;Cite&gt;&lt;Author&gt;Waymire&lt;/Author&gt;&lt;Year&gt;1985&lt;/Year&gt;&lt;RecNum&gt;2321&lt;/RecNum&gt;&lt;DisplayText&gt;(Waymire, 1985)&lt;/DisplayText&gt;&lt;record&gt;&lt;rec-number&gt;2321&lt;/rec-number&gt;&lt;foreign-keys&gt;&lt;key app="EN" db-id="20p2wrv0m2av96e55d1pzxv2zxx5pvw55d55" timestamp="1515537904"&gt;2321&lt;/key&gt;&lt;/foreign-keys&gt;&lt;ref-type name="Journal Article"&gt;17&lt;/ref-type&gt;&lt;contributors&gt;&lt;authors&gt;&lt;author&gt;Waymire, G.&lt;/author&gt;&lt;/authors&gt;&lt;/contributors&gt;&lt;titles&gt;&lt;title&gt;Earnings volatility and voluntary management forecast disclosure&lt;/title&gt;&lt;secondary-title&gt;Journal of Accounting Research&lt;/secondary-title&gt;&lt;/titles&gt;&lt;periodical&gt;&lt;full-title&gt;Journal of Accounting Research&lt;/full-title&gt;&lt;/periodical&gt;&lt;pages&gt;268-295&lt;/pages&gt;&lt;volume&gt;23&lt;/volume&gt;&lt;number&gt;1&lt;/number&gt;&lt;dates&gt;&lt;year&gt;1985&lt;/year&gt;&lt;pub-dates&gt;&lt;date&gt;1985&lt;/date&gt;&lt;/pub-dates&gt;&lt;/dates&gt;&lt;isbn&gt;0021-8456&lt;/isbn&gt;&lt;accession-num&gt;WOS:A1985ANM8700016&lt;/accession-num&gt;&lt;urls&gt;&lt;related-urls&gt;&lt;url&gt;&amp;lt;Go to ISI&amp;gt;://WOS:A1985ANM8700016&lt;/url&gt;&lt;/related-urls&gt;&lt;/urls&gt;&lt;electronic-resource-num&gt;10.2307/2490919&lt;/electronic-resource-num&gt;&lt;/record&gt;&lt;/Cite&gt;&lt;/EndNote&gt;</w:instrText>
      </w:r>
      <w:r w:rsidR="007C246A">
        <w:fldChar w:fldCharType="separate"/>
      </w:r>
      <w:r w:rsidR="007C246A">
        <w:rPr>
          <w:noProof/>
        </w:rPr>
        <w:t>(</w:t>
      </w:r>
      <w:hyperlink w:anchor="_ENREF_47" w:tooltip="Waymire, 1985 #2321" w:history="1">
        <w:r w:rsidR="006C57ED">
          <w:rPr>
            <w:noProof/>
          </w:rPr>
          <w:t>Waymire, 1985</w:t>
        </w:r>
      </w:hyperlink>
      <w:r w:rsidR="007C246A">
        <w:rPr>
          <w:noProof/>
        </w:rPr>
        <w:t>)</w:t>
      </w:r>
      <w:r w:rsidR="007C246A">
        <w:fldChar w:fldCharType="end"/>
      </w:r>
      <w:r w:rsidR="007C246A">
        <w:t xml:space="preserve">. </w:t>
      </w:r>
      <w:r w:rsidR="00A87CB1">
        <w:t xml:space="preserve">Accordingly, </w:t>
      </w:r>
      <w:r w:rsidR="00A87CB1">
        <w:rPr>
          <w:rFonts w:ascii="Calibri" w:eastAsia="Calibri" w:hAnsi="Calibri" w:cs="Calibri"/>
        </w:rPr>
        <w:t xml:space="preserve">the following probit regression model tests the </w:t>
      </w:r>
      <w:r w:rsidR="006B7274">
        <w:rPr>
          <w:rFonts w:ascii="Calibri" w:eastAsia="Calibri" w:hAnsi="Calibri" w:cs="Calibri"/>
        </w:rPr>
        <w:t xml:space="preserve">determinants of firms’ decisions for high </w:t>
      </w:r>
      <w:r w:rsidR="002A64B7">
        <w:rPr>
          <w:rFonts w:ascii="Calibri" w:eastAsia="Calibri" w:hAnsi="Calibri" w:cs="Calibri"/>
        </w:rPr>
        <w:t>transparency</w:t>
      </w:r>
      <w:r w:rsidR="006B7274">
        <w:rPr>
          <w:rFonts w:ascii="Calibri" w:eastAsia="Calibri" w:hAnsi="Calibri" w:cs="Calibri"/>
        </w:rPr>
        <w:t xml:space="preserve"> for project announcements</w:t>
      </w:r>
      <w:r w:rsidR="00A87CB1">
        <w:rPr>
          <w:rFonts w:ascii="Calibri" w:eastAsia="Calibri" w:hAnsi="Calibri" w:cs="Calibri"/>
        </w:rPr>
        <w:t xml:space="preserve">: </w:t>
      </w:r>
    </w:p>
    <w:p w14:paraId="511DAD93" w14:textId="77777777" w:rsidR="00A87CB1" w:rsidRDefault="00A87CB1" w:rsidP="00A87CB1">
      <w:pPr>
        <w:spacing w:line="360" w:lineRule="auto"/>
        <w:jc w:val="both"/>
        <w:rPr>
          <w:rFonts w:ascii="Calibri" w:eastAsia="Calibri" w:hAnsi="Calibri" w:cs="Calibri"/>
        </w:rPr>
      </w:pPr>
    </w:p>
    <w:p w14:paraId="5083EA51" w14:textId="67BED4FD" w:rsidR="00A87CB1" w:rsidRDefault="00A87CB1" w:rsidP="006A77ED">
      <w:pPr>
        <w:tabs>
          <w:tab w:val="left" w:pos="709"/>
          <w:tab w:val="right" w:pos="8931"/>
        </w:tabs>
        <w:spacing w:line="360" w:lineRule="auto"/>
        <w:ind w:left="709" w:hanging="709"/>
      </w:pPr>
      <w:r>
        <w:rPr>
          <w:i/>
        </w:rPr>
        <w:lastRenderedPageBreak/>
        <w:t>DQ</w:t>
      </w:r>
      <w:r>
        <w:rPr>
          <w:i/>
          <w:vertAlign w:val="subscript"/>
        </w:rPr>
        <w:t>j,i,</w:t>
      </w:r>
      <w:r w:rsidR="006B7274">
        <w:rPr>
          <w:i/>
          <w:vertAlign w:val="subscript"/>
        </w:rPr>
        <w:t>d</w:t>
      </w:r>
      <w:r w:rsidRPr="005038E6">
        <w:rPr>
          <w:i/>
        </w:rPr>
        <w:t xml:space="preserve"> = B</w:t>
      </w:r>
      <w:r w:rsidRPr="005038E6">
        <w:rPr>
          <w:i/>
          <w:vertAlign w:val="subscript"/>
        </w:rPr>
        <w:t>0</w:t>
      </w:r>
      <w:r w:rsidRPr="005038E6">
        <w:rPr>
          <w:i/>
        </w:rPr>
        <w:t xml:space="preserve"> + B</w:t>
      </w:r>
      <w:r>
        <w:rPr>
          <w:i/>
          <w:vertAlign w:val="subscript"/>
        </w:rPr>
        <w:t>1</w:t>
      </w:r>
      <w:r w:rsidRPr="00A87CB1">
        <w:rPr>
          <w:i/>
        </w:rPr>
        <w:t xml:space="preserve"> </w:t>
      </w:r>
      <w:r w:rsidRPr="005038E6">
        <w:rPr>
          <w:i/>
        </w:rPr>
        <w:t>BAS</w:t>
      </w:r>
      <w:r w:rsidRPr="005038E6">
        <w:rPr>
          <w:i/>
          <w:vertAlign w:val="subscript"/>
        </w:rPr>
        <w:t>i,d</w:t>
      </w:r>
      <w:r>
        <w:rPr>
          <w:i/>
          <w:vertAlign w:val="subscript"/>
        </w:rPr>
        <w:t xml:space="preserve">  </w:t>
      </w:r>
      <w:r>
        <w:rPr>
          <w:i/>
        </w:rPr>
        <w:t xml:space="preserve">+ </w:t>
      </w:r>
      <w:r w:rsidRPr="005038E6">
        <w:rPr>
          <w:i/>
        </w:rPr>
        <w:t>B</w:t>
      </w:r>
      <w:r>
        <w:rPr>
          <w:i/>
          <w:vertAlign w:val="subscript"/>
        </w:rPr>
        <w:t>2</w:t>
      </w:r>
      <w:r w:rsidRPr="005038E6">
        <w:rPr>
          <w:i/>
        </w:rPr>
        <w:t>Volatility</w:t>
      </w:r>
      <w:r w:rsidRPr="005038E6">
        <w:rPr>
          <w:i/>
          <w:vertAlign w:val="subscript"/>
        </w:rPr>
        <w:t>i,</w:t>
      </w:r>
      <w:r w:rsidR="00977EFC">
        <w:rPr>
          <w:i/>
          <w:vertAlign w:val="subscript"/>
        </w:rPr>
        <w:t>n</w:t>
      </w:r>
      <w:r w:rsidRPr="005038E6">
        <w:rPr>
          <w:i/>
        </w:rPr>
        <w:t xml:space="preserve"> </w:t>
      </w:r>
      <w:r>
        <w:rPr>
          <w:i/>
        </w:rPr>
        <w:t xml:space="preserve">+ </w:t>
      </w:r>
      <w:r w:rsidRPr="005038E6">
        <w:rPr>
          <w:i/>
        </w:rPr>
        <w:t>B</w:t>
      </w:r>
      <w:r>
        <w:rPr>
          <w:i/>
          <w:vertAlign w:val="subscript"/>
        </w:rPr>
        <w:t>3</w:t>
      </w:r>
      <w:r w:rsidRPr="005038E6">
        <w:rPr>
          <w:i/>
        </w:rPr>
        <w:t>Price</w:t>
      </w:r>
      <w:r w:rsidRPr="005038E6">
        <w:rPr>
          <w:i/>
          <w:vertAlign w:val="subscript"/>
        </w:rPr>
        <w:t>i,d</w:t>
      </w:r>
      <w:r w:rsidRPr="005038E6">
        <w:rPr>
          <w:i/>
        </w:rPr>
        <w:t xml:space="preserve"> + B</w:t>
      </w:r>
      <w:r>
        <w:rPr>
          <w:i/>
          <w:vertAlign w:val="subscript"/>
        </w:rPr>
        <w:t>4</w:t>
      </w:r>
      <w:r w:rsidRPr="005038E6">
        <w:rPr>
          <w:i/>
        </w:rPr>
        <w:t>Size</w:t>
      </w:r>
      <w:r w:rsidRPr="005038E6">
        <w:rPr>
          <w:i/>
          <w:vertAlign w:val="subscript"/>
        </w:rPr>
        <w:t>i,</w:t>
      </w:r>
      <w:r w:rsidR="00977EFC">
        <w:rPr>
          <w:i/>
          <w:vertAlign w:val="subscript"/>
        </w:rPr>
        <w:t>n</w:t>
      </w:r>
      <w:r w:rsidRPr="005038E6">
        <w:rPr>
          <w:i/>
        </w:rPr>
        <w:t xml:space="preserve"> + B</w:t>
      </w:r>
      <w:r>
        <w:rPr>
          <w:i/>
          <w:vertAlign w:val="subscript"/>
        </w:rPr>
        <w:t>5</w:t>
      </w:r>
      <w:r w:rsidRPr="005038E6">
        <w:rPr>
          <w:i/>
        </w:rPr>
        <w:t>Turnover</w:t>
      </w:r>
      <w:r w:rsidRPr="005038E6">
        <w:rPr>
          <w:i/>
          <w:vertAlign w:val="subscript"/>
        </w:rPr>
        <w:t>i,</w:t>
      </w:r>
      <w:r w:rsidR="00977EFC">
        <w:rPr>
          <w:i/>
          <w:vertAlign w:val="subscript"/>
        </w:rPr>
        <w:t>n</w:t>
      </w:r>
      <w:r>
        <w:rPr>
          <w:i/>
          <w:vertAlign w:val="subscript"/>
        </w:rPr>
        <w:t xml:space="preserve"> </w:t>
      </w:r>
      <w:r w:rsidRPr="005038E6">
        <w:rPr>
          <w:i/>
        </w:rPr>
        <w:t>+ B</w:t>
      </w:r>
      <w:r>
        <w:rPr>
          <w:i/>
          <w:vertAlign w:val="subscript"/>
        </w:rPr>
        <w:t>6</w:t>
      </w:r>
      <w:r w:rsidRPr="005038E6">
        <w:rPr>
          <w:i/>
        </w:rPr>
        <w:t>Volume</w:t>
      </w:r>
      <w:r w:rsidRPr="005038E6">
        <w:rPr>
          <w:i/>
          <w:vertAlign w:val="subscript"/>
        </w:rPr>
        <w:t>i,d</w:t>
      </w:r>
      <w:r w:rsidRPr="005038E6">
        <w:rPr>
          <w:i/>
        </w:rPr>
        <w:t xml:space="preserve"> </w:t>
      </w:r>
      <w:r w:rsidR="006B7274">
        <w:rPr>
          <w:i/>
        </w:rPr>
        <w:t xml:space="preserve">+ </w:t>
      </w:r>
      <m:oMath>
        <m:nary>
          <m:naryPr>
            <m:chr m:val="∑"/>
            <m:limLoc m:val="undOvr"/>
            <m:supHide m:val="1"/>
            <m:ctrlPr>
              <w:rPr>
                <w:rFonts w:ascii="Cambria Math" w:hAnsi="Cambria Math"/>
                <w:i/>
              </w:rPr>
            </m:ctrlPr>
          </m:naryPr>
          <m:sub>
            <m:r>
              <w:rPr>
                <w:rFonts w:ascii="Cambria Math" w:hAnsi="Cambria Math"/>
              </w:rPr>
              <m:t>k</m:t>
            </m:r>
          </m:sub>
          <m:sup/>
          <m:e>
            <m:sSub>
              <m:sSubPr>
                <m:ctrlPr>
                  <w:rPr>
                    <w:rFonts w:ascii="Cambria Math" w:hAnsi="Cambria Math"/>
                    <w:i/>
                  </w:rPr>
                </m:ctrlPr>
              </m:sSubPr>
              <m:e>
                <m:r>
                  <w:rPr>
                    <w:rFonts w:ascii="Cambria Math" w:hAnsi="Cambria Math"/>
                  </w:rPr>
                  <m:t>β</m:t>
                </m:r>
              </m:e>
              <m:sub>
                <m:r>
                  <w:rPr>
                    <w:rFonts w:ascii="Cambria Math" w:hAnsi="Cambria Math"/>
                  </w:rPr>
                  <m:t>k</m:t>
                </m:r>
              </m:sub>
            </m:sSub>
            <m:r>
              <w:rPr>
                <w:rFonts w:ascii="Cambria Math" w:hAnsi="Cambria Math"/>
              </w:rPr>
              <m:t>Industry dummies</m:t>
            </m:r>
          </m:e>
        </m:nary>
        <m:r>
          <w:rPr>
            <w:rFonts w:ascii="Cambria Math" w:hAnsi="Cambria Math"/>
          </w:rPr>
          <m:t xml:space="preserve">+ </m:t>
        </m:r>
        <m:nary>
          <m:naryPr>
            <m:chr m:val="∑"/>
            <m:limLoc m:val="undOvr"/>
            <m:supHide m:val="1"/>
            <m:ctrlPr>
              <w:rPr>
                <w:rFonts w:ascii="Cambria Math" w:hAnsi="Cambria Math"/>
                <w:i/>
              </w:rPr>
            </m:ctrlPr>
          </m:naryPr>
          <m:sub>
            <m:r>
              <w:rPr>
                <w:rFonts w:ascii="Cambria Math" w:hAnsi="Cambria Math"/>
              </w:rPr>
              <m:t>t</m:t>
            </m:r>
          </m:sub>
          <m:sup/>
          <m:e>
            <m:sSub>
              <m:sSubPr>
                <m:ctrlPr>
                  <w:rPr>
                    <w:rFonts w:ascii="Cambria Math" w:hAnsi="Cambria Math"/>
                    <w:i/>
                  </w:rPr>
                </m:ctrlPr>
              </m:sSubPr>
              <m:e>
                <m:r>
                  <w:rPr>
                    <w:rFonts w:ascii="Cambria Math" w:hAnsi="Cambria Math"/>
                  </w:rPr>
                  <m:t>β</m:t>
                </m:r>
              </m:e>
              <m:sub>
                <m:r>
                  <w:rPr>
                    <w:rFonts w:ascii="Cambria Math" w:hAnsi="Cambria Math"/>
                  </w:rPr>
                  <m:t>t</m:t>
                </m:r>
              </m:sub>
            </m:sSub>
            <m:r>
              <w:rPr>
                <w:rFonts w:ascii="Cambria Math" w:hAnsi="Cambria Math"/>
              </w:rPr>
              <m:t>Year dummies</m:t>
            </m:r>
          </m:e>
        </m:nary>
        <m:r>
          <w:rPr>
            <w:rFonts w:ascii="Cambria Math" w:hAnsi="Cambria Math"/>
          </w:rPr>
          <m:t xml:space="preserve"> </m:t>
        </m:r>
      </m:oMath>
      <w:r>
        <w:rPr>
          <w:i/>
        </w:rPr>
        <w:t xml:space="preserve">+ </w:t>
      </w:r>
      <w:r>
        <w:rPr>
          <w:rFonts w:cstheme="minorHAnsi"/>
          <w:i/>
        </w:rPr>
        <w:t>Ɛ</w:t>
      </w:r>
      <w:r>
        <w:rPr>
          <w:i/>
          <w:vertAlign w:val="subscript"/>
        </w:rPr>
        <w:t>i,d</w:t>
      </w:r>
      <w:r>
        <w:t>,</w:t>
      </w:r>
      <w:r>
        <w:tab/>
        <w:t>(2)</w:t>
      </w:r>
    </w:p>
    <w:p w14:paraId="6FC0F645" w14:textId="77777777" w:rsidR="00A87CB1" w:rsidRDefault="00A87CB1" w:rsidP="00A87CB1">
      <w:pPr>
        <w:tabs>
          <w:tab w:val="left" w:pos="709"/>
        </w:tabs>
        <w:jc w:val="both"/>
      </w:pPr>
    </w:p>
    <w:p w14:paraId="1C1D0496" w14:textId="362338FC" w:rsidR="00925243" w:rsidRPr="0011254D" w:rsidRDefault="00A87CB1" w:rsidP="0011254D">
      <w:pPr>
        <w:tabs>
          <w:tab w:val="left" w:pos="709"/>
        </w:tabs>
        <w:spacing w:line="360" w:lineRule="auto"/>
        <w:jc w:val="both"/>
      </w:pPr>
      <w:r>
        <w:t xml:space="preserve">where the variable subscripts represent </w:t>
      </w:r>
      <w:r w:rsidR="006B7274">
        <w:t xml:space="preserve">project </w:t>
      </w:r>
      <w:r w:rsidR="006B7274" w:rsidRPr="002C505E">
        <w:rPr>
          <w:i/>
        </w:rPr>
        <w:t>j</w:t>
      </w:r>
      <w:r w:rsidR="006B7274">
        <w:rPr>
          <w:i/>
        </w:rPr>
        <w:t>,</w:t>
      </w:r>
      <w:r w:rsidR="006B7274">
        <w:t xml:space="preserve"> </w:t>
      </w:r>
      <w:r>
        <w:t xml:space="preserve">firm </w:t>
      </w:r>
      <w:r>
        <w:rPr>
          <w:i/>
        </w:rPr>
        <w:t>i</w:t>
      </w:r>
      <w:r w:rsidR="006B7274">
        <w:rPr>
          <w:i/>
        </w:rPr>
        <w:t xml:space="preserve"> </w:t>
      </w:r>
      <w:r w:rsidR="006B7274">
        <w:t>and</w:t>
      </w:r>
      <w:r>
        <w:t xml:space="preserve"> day </w:t>
      </w:r>
      <w:r>
        <w:rPr>
          <w:i/>
        </w:rPr>
        <w:t>d</w:t>
      </w:r>
      <w:r>
        <w:t xml:space="preserve">, </w:t>
      </w:r>
      <w:r w:rsidRPr="00624D91">
        <w:t xml:space="preserve">while </w:t>
      </w:r>
      <w:r w:rsidR="00977EFC">
        <w:rPr>
          <w:i/>
        </w:rPr>
        <w:t>n</w:t>
      </w:r>
      <w:r>
        <w:t xml:space="preserve"> represents the 100 day period ending 21 days before the announcement. </w:t>
      </w:r>
      <w:r w:rsidR="00131A5B" w:rsidRPr="005038E6">
        <w:rPr>
          <w:i/>
        </w:rPr>
        <w:t>BAS</w:t>
      </w:r>
      <w:r w:rsidR="00131A5B" w:rsidRPr="005038E6">
        <w:rPr>
          <w:i/>
          <w:vertAlign w:val="subscript"/>
        </w:rPr>
        <w:t>i,d</w:t>
      </w:r>
      <w:r w:rsidR="00131A5B">
        <w:rPr>
          <w:i/>
          <w:vertAlign w:val="subscript"/>
        </w:rPr>
        <w:t xml:space="preserve">  </w:t>
      </w:r>
      <w:r>
        <w:t xml:space="preserve">is </w:t>
      </w:r>
      <w:r w:rsidR="007E2FD2">
        <w:t xml:space="preserve">a measure of information asymmetry, defined as </w:t>
      </w:r>
      <w:r>
        <w:t xml:space="preserve">the closing percentage quoted bid-ask spread for firm </w:t>
      </w:r>
      <w:r>
        <w:rPr>
          <w:i/>
        </w:rPr>
        <w:t>i</w:t>
      </w:r>
      <w:r>
        <w:t xml:space="preserve"> on trading day </w:t>
      </w:r>
      <w:r w:rsidRPr="002C505E">
        <w:rPr>
          <w:i/>
        </w:rPr>
        <w:t>d</w:t>
      </w:r>
      <w:r>
        <w:rPr>
          <w:i/>
        </w:rPr>
        <w:t xml:space="preserve"> </w:t>
      </w:r>
      <w:r>
        <w:rPr>
          <w:rFonts w:ascii="Calibri" w:eastAsia="Calibri" w:hAnsi="Calibri" w:cs="Calibri"/>
        </w:rPr>
        <w:t>for pre-event days [-20, -1]</w:t>
      </w:r>
      <w:r>
        <w:rPr>
          <w:i/>
        </w:rPr>
        <w:t xml:space="preserve">. </w:t>
      </w:r>
      <w:r>
        <w:t xml:space="preserve">Fong, Holden and Trzcinka </w:t>
      </w:r>
      <w:r>
        <w:fldChar w:fldCharType="begin"/>
      </w:r>
      <w:r>
        <w:instrText xml:space="preserve"> ADDIN EN.CITE &lt;EndNote&gt;&lt;Cite ExcludeAuth="1"&gt;&lt;Author&gt;Fong&lt;/Author&gt;&lt;Year&gt;2017&lt;/Year&gt;&lt;RecNum&gt;2306&lt;/RecNum&gt;&lt;DisplayText&gt;(2017)&lt;/DisplayText&gt;&lt;record&gt;&lt;rec-number&gt;2306&lt;/rec-number&gt;&lt;foreign-keys&gt;&lt;key app="EN" db-id="20p2wrv0m2av96e55d1pzxv2zxx5pvw55d55" timestamp="1505188768"&gt;2306&lt;/key&gt;&lt;/foreign-keys&gt;&lt;ref-type name="Journal Article"&gt;17&lt;/ref-type&gt;&lt;contributors&gt;&lt;authors&gt;&lt;author&gt;Fong, K. Y. L.&lt;/author&gt;&lt;author&gt;Holden, C. W.&lt;/author&gt;&lt;author&gt;Trzcinka, C. A.&lt;/author&gt;&lt;/authors&gt;&lt;/contributors&gt;&lt;auth-address&gt;University of New South Wales Business School, United States&amp;#xD;Indiana University, United States&lt;/auth-address&gt;&lt;titles&gt;&lt;title&gt;What are the best liquidity proxies for global research?&lt;/title&gt;&lt;secondary-title&gt;Review of Finance&lt;/secondary-title&gt;&lt;/titles&gt;&lt;periodical&gt;&lt;full-title&gt;Review of Finance&lt;/full-title&gt;&lt;/periodical&gt;&lt;pages&gt;1355-1401&lt;/pages&gt;&lt;volume&gt;21&lt;/volume&gt;&lt;number&gt;4&lt;/number&gt;&lt;keywords&gt;&lt;keyword&gt;Effective spread&lt;/keyword&gt;&lt;keyword&gt;Liquidity&lt;/keyword&gt;&lt;keyword&gt;Price impact&lt;/keyword&gt;&lt;keyword&gt;Transaction costs&lt;/keyword&gt;&lt;/keywords&gt;&lt;dates&gt;&lt;year&gt;2017&lt;/year&gt;&lt;/dates&gt;&lt;work-type&gt;Article&lt;/work-type&gt;&lt;urls&gt;&lt;related-urls&gt;&lt;url&gt;https://www.scopus.com/inward/record.uri?eid=2-s2.0-85018755628&amp;amp;doi=10.1093%2frof%2frfx003&amp;amp;partnerID=40&amp;amp;md5=a8e6c3dd2c286b69f7de8ea11715a073&lt;/url&gt;&lt;/related-urls&gt;&lt;/urls&gt;&lt;electronic-resource-num&gt;10.1093/rof/rfx003&lt;/electronic-resource-num&gt;&lt;remote-database-name&gt;Scopus&lt;/remote-database-name&gt;&lt;/record&gt;&lt;/Cite&gt;&lt;/EndNote&gt;</w:instrText>
      </w:r>
      <w:r>
        <w:fldChar w:fldCharType="separate"/>
      </w:r>
      <w:r>
        <w:rPr>
          <w:noProof/>
        </w:rPr>
        <w:t>(</w:t>
      </w:r>
      <w:hyperlink w:anchor="_ENREF_21" w:tooltip="Fong, 2017 #2306" w:history="1">
        <w:r w:rsidR="006C57ED">
          <w:rPr>
            <w:noProof/>
          </w:rPr>
          <w:t>2017</w:t>
        </w:r>
      </w:hyperlink>
      <w:r>
        <w:rPr>
          <w:noProof/>
        </w:rPr>
        <w:t>)</w:t>
      </w:r>
      <w:r>
        <w:fldChar w:fldCharType="end"/>
      </w:r>
      <w:r>
        <w:t xml:space="preserve"> show that th</w:t>
      </w:r>
      <w:r w:rsidR="00995B92">
        <w:t>e</w:t>
      </w:r>
      <w:r>
        <w:t xml:space="preserve"> daily version of bid-ask spread performs well relative to high-frequency measures.</w:t>
      </w:r>
      <w:r w:rsidR="007E2FD2">
        <w:t xml:space="preserve"> </w:t>
      </w:r>
      <w:r w:rsidR="00DC692F">
        <w:t>We also include</w:t>
      </w:r>
      <w:r w:rsidR="005D1648">
        <w:t xml:space="preserve"> pre-announcement</w:t>
      </w:r>
      <w:r w:rsidR="00DC692F">
        <w:t xml:space="preserve"> stock return volatility (</w:t>
      </w:r>
      <w:r w:rsidR="007E2FD2" w:rsidRPr="005038E6">
        <w:rPr>
          <w:i/>
        </w:rPr>
        <w:t>Volatility</w:t>
      </w:r>
      <w:r w:rsidR="007E2FD2" w:rsidRPr="005038E6">
        <w:rPr>
          <w:i/>
          <w:vertAlign w:val="subscript"/>
        </w:rPr>
        <w:t>i,</w:t>
      </w:r>
      <w:r w:rsidR="00977EFC">
        <w:rPr>
          <w:i/>
          <w:vertAlign w:val="subscript"/>
        </w:rPr>
        <w:t>n</w:t>
      </w:r>
      <w:r w:rsidR="00DC692F">
        <w:rPr>
          <w:i/>
        </w:rPr>
        <w:t>)</w:t>
      </w:r>
      <w:r>
        <w:t xml:space="preserve"> </w:t>
      </w:r>
      <w:r w:rsidR="00DC692F">
        <w:t xml:space="preserve">as </w:t>
      </w:r>
      <w:r w:rsidR="00537196">
        <w:t>a proxy for</w:t>
      </w:r>
      <w:r w:rsidR="007E2FD2">
        <w:t xml:space="preserve"> uncertainty in a firm’s information environment</w:t>
      </w:r>
      <w:r w:rsidR="00DC692F">
        <w:t>.</w:t>
      </w:r>
      <w:r w:rsidR="00537196">
        <w:t xml:space="preserve">  </w:t>
      </w:r>
      <w:r>
        <w:t>If firms experiencing high information asymmetry prior to the announcement are predisposed to greater investment transparency, then the coefficient</w:t>
      </w:r>
      <w:r w:rsidR="00BD3BC8">
        <w:t>s</w:t>
      </w:r>
      <w:r>
        <w:t xml:space="preserve"> on </w:t>
      </w:r>
      <w:r w:rsidR="00925243" w:rsidRPr="006A77ED">
        <w:rPr>
          <w:i/>
        </w:rPr>
        <w:t>BAS</w:t>
      </w:r>
      <w:r>
        <w:t xml:space="preserve"> </w:t>
      </w:r>
      <w:r w:rsidR="00BD3BC8">
        <w:t xml:space="preserve">and </w:t>
      </w:r>
      <w:r w:rsidR="00BD3BC8" w:rsidRPr="006A77ED">
        <w:rPr>
          <w:i/>
        </w:rPr>
        <w:t xml:space="preserve">Volatility </w:t>
      </w:r>
      <w:r w:rsidR="00BD3BC8">
        <w:t>are</w:t>
      </w:r>
      <w:r>
        <w:t xml:space="preserve"> expected to be positive.</w:t>
      </w:r>
      <w:r w:rsidR="00537196">
        <w:t xml:space="preserve"> </w:t>
      </w:r>
      <w:r w:rsidR="007943C4">
        <w:t>T</w:t>
      </w:r>
      <w:r w:rsidR="009D48F5">
        <w:t>he univariate analysis</w:t>
      </w:r>
      <w:r w:rsidR="007943C4">
        <w:t xml:space="preserve"> in Table 3 revealed that</w:t>
      </w:r>
      <w:r w:rsidR="009D48F5">
        <w:t xml:space="preserve"> firm trading data is very different between</w:t>
      </w:r>
      <w:r w:rsidR="007943C4">
        <w:t xml:space="preserve"> high and low transparency firms. Accordingly, t</w:t>
      </w:r>
      <w:r w:rsidR="008763C0">
        <w:t xml:space="preserve">he </w:t>
      </w:r>
      <w:r w:rsidR="007943C4">
        <w:t xml:space="preserve">control </w:t>
      </w:r>
      <w:r w:rsidR="008763C0">
        <w:t xml:space="preserve">variables </w:t>
      </w:r>
      <w:r w:rsidR="00537196" w:rsidRPr="006A77ED">
        <w:rPr>
          <w:i/>
        </w:rPr>
        <w:t>Price, Size, Turnover</w:t>
      </w:r>
      <w:r w:rsidR="00537196">
        <w:t xml:space="preserve"> and </w:t>
      </w:r>
      <w:r w:rsidR="00537196" w:rsidRPr="006A77ED">
        <w:rPr>
          <w:i/>
        </w:rPr>
        <w:t xml:space="preserve">Volume </w:t>
      </w:r>
      <w:r w:rsidR="008763C0">
        <w:t xml:space="preserve">are </w:t>
      </w:r>
      <w:r w:rsidR="007943C4">
        <w:t>added to the equation</w:t>
      </w:r>
      <w:r w:rsidR="0011254D">
        <w:t>.</w:t>
      </w:r>
      <w:r w:rsidR="008763C0" w:rsidRPr="008763C0">
        <w:t xml:space="preserve"> </w:t>
      </w:r>
      <w:r w:rsidR="0011254D" w:rsidRPr="006A77ED">
        <w:rPr>
          <w:i/>
        </w:rPr>
        <w:t>Price</w:t>
      </w:r>
      <w:r w:rsidR="0011254D">
        <w:t xml:space="preserve"> is t</w:t>
      </w:r>
      <w:r w:rsidR="0011254D" w:rsidRPr="00EB7B64">
        <w:rPr>
          <w:rFonts w:ascii="Calibri" w:eastAsia="Calibri" w:hAnsi="Calibri" w:cs="Times New Roman"/>
        </w:rPr>
        <w:t xml:space="preserve">he closing stock price for firm </w:t>
      </w:r>
      <w:r w:rsidR="0011254D" w:rsidRPr="00546729">
        <w:rPr>
          <w:rFonts w:ascii="Calibri" w:eastAsia="Calibri" w:hAnsi="Calibri" w:cs="Times New Roman"/>
          <w:i/>
        </w:rPr>
        <w:t>i</w:t>
      </w:r>
      <w:r w:rsidR="0011254D" w:rsidRPr="00EB7B64">
        <w:rPr>
          <w:rFonts w:ascii="Calibri" w:eastAsia="Calibri" w:hAnsi="Calibri" w:cs="Times New Roman"/>
        </w:rPr>
        <w:t xml:space="preserve"> on day </w:t>
      </w:r>
      <w:r w:rsidR="0011254D" w:rsidRPr="00546729">
        <w:rPr>
          <w:rFonts w:ascii="Calibri" w:eastAsia="Calibri" w:hAnsi="Calibri" w:cs="Times New Roman"/>
          <w:i/>
        </w:rPr>
        <w:t>d</w:t>
      </w:r>
      <w:r w:rsidR="0011254D">
        <w:rPr>
          <w:rFonts w:ascii="Calibri" w:eastAsia="Calibri" w:hAnsi="Calibri" w:cs="Times New Roman"/>
          <w:i/>
        </w:rPr>
        <w:t xml:space="preserve"> </w:t>
      </w:r>
      <w:r w:rsidR="0011254D">
        <w:rPr>
          <w:rFonts w:ascii="Calibri" w:eastAsia="Calibri" w:hAnsi="Calibri" w:cs="Calibri"/>
        </w:rPr>
        <w:t>for pre-event days [-20, -1]</w:t>
      </w:r>
      <w:r w:rsidR="00995B92">
        <w:rPr>
          <w:rFonts w:ascii="Calibri" w:eastAsia="Calibri" w:hAnsi="Calibri" w:cs="Calibri"/>
        </w:rPr>
        <w:t>;</w:t>
      </w:r>
      <w:r w:rsidR="0011254D">
        <w:rPr>
          <w:rFonts w:ascii="Calibri" w:eastAsia="Calibri" w:hAnsi="Calibri" w:cs="Times New Roman"/>
          <w:i/>
        </w:rPr>
        <w:t xml:space="preserve"> Size </w:t>
      </w:r>
      <w:r w:rsidR="0011254D">
        <w:rPr>
          <w:rFonts w:ascii="Calibri" w:eastAsia="Calibri" w:hAnsi="Calibri" w:cs="Times New Roman"/>
        </w:rPr>
        <w:t>is the l</w:t>
      </w:r>
      <w:r w:rsidR="0011254D" w:rsidRPr="00EB7B64">
        <w:rPr>
          <w:rFonts w:ascii="Calibri" w:eastAsia="Calibri" w:hAnsi="Calibri" w:cs="Times New Roman"/>
        </w:rPr>
        <w:t xml:space="preserve">og of firm </w:t>
      </w:r>
      <w:r w:rsidR="0011254D" w:rsidRPr="00546729">
        <w:rPr>
          <w:rFonts w:ascii="Calibri" w:eastAsia="Calibri" w:hAnsi="Calibri" w:cs="Times New Roman"/>
          <w:i/>
        </w:rPr>
        <w:t>i</w:t>
      </w:r>
      <w:r w:rsidR="0011254D" w:rsidRPr="00EB7B64">
        <w:rPr>
          <w:rFonts w:ascii="Calibri" w:eastAsia="Calibri" w:hAnsi="Calibri" w:cs="Times New Roman"/>
        </w:rPr>
        <w:t>’s average market value of equity for the 100 days ending 21 da</w:t>
      </w:r>
      <w:r w:rsidR="0011254D">
        <w:rPr>
          <w:rFonts w:ascii="Calibri" w:eastAsia="Calibri" w:hAnsi="Calibri" w:cs="Times New Roman"/>
        </w:rPr>
        <w:t>ys before the announcement</w:t>
      </w:r>
      <w:r w:rsidR="00995B92">
        <w:rPr>
          <w:rFonts w:ascii="Calibri" w:eastAsia="Calibri" w:hAnsi="Calibri" w:cs="Times New Roman"/>
        </w:rPr>
        <w:t>;</w:t>
      </w:r>
      <w:r w:rsidR="0011254D">
        <w:rPr>
          <w:rFonts w:ascii="Calibri" w:eastAsia="Calibri" w:hAnsi="Calibri" w:cs="Times New Roman"/>
        </w:rPr>
        <w:t xml:space="preserve"> </w:t>
      </w:r>
      <w:r w:rsidR="0011254D" w:rsidRPr="00EA44C7">
        <w:rPr>
          <w:i/>
        </w:rPr>
        <w:t>Turnover</w:t>
      </w:r>
      <w:r w:rsidR="0011254D">
        <w:rPr>
          <w:i/>
        </w:rPr>
        <w:t xml:space="preserve"> </w:t>
      </w:r>
      <w:r w:rsidR="0011254D" w:rsidRPr="006A77ED">
        <w:t>is the a</w:t>
      </w:r>
      <w:r w:rsidR="0011254D" w:rsidRPr="0011254D">
        <w:rPr>
          <w:rFonts w:ascii="Calibri" w:eastAsia="Calibri" w:hAnsi="Calibri" w:cs="Times New Roman"/>
        </w:rPr>
        <w:t>verage</w:t>
      </w:r>
      <w:r w:rsidR="0011254D" w:rsidRPr="004F3632">
        <w:rPr>
          <w:rFonts w:ascii="Calibri" w:eastAsia="Calibri" w:hAnsi="Calibri" w:cs="Times New Roman"/>
        </w:rPr>
        <w:t xml:space="preserve"> </w:t>
      </w:r>
      <w:r w:rsidR="0011254D" w:rsidRPr="007943C4">
        <w:rPr>
          <w:rFonts w:ascii="Calibri" w:eastAsia="Calibri" w:hAnsi="Calibri" w:cs="Times New Roman"/>
        </w:rPr>
        <w:t xml:space="preserve">daily </w:t>
      </w:r>
      <w:r w:rsidR="005569C1">
        <w:rPr>
          <w:rFonts w:ascii="Calibri" w:eastAsia="Calibri" w:hAnsi="Calibri" w:cs="Times New Roman"/>
        </w:rPr>
        <w:t>share trading volume</w:t>
      </w:r>
      <w:r w:rsidR="0011254D" w:rsidRPr="007943C4">
        <w:rPr>
          <w:rFonts w:ascii="Calibri" w:eastAsia="Calibri" w:hAnsi="Calibri" w:cs="Times New Roman"/>
        </w:rPr>
        <w:t xml:space="preserve"> for firm </w:t>
      </w:r>
      <w:r w:rsidR="0011254D" w:rsidRPr="007943C4">
        <w:rPr>
          <w:rFonts w:ascii="Calibri" w:eastAsia="Calibri" w:hAnsi="Calibri" w:cs="Times New Roman"/>
          <w:i/>
        </w:rPr>
        <w:t>i</w:t>
      </w:r>
      <w:r w:rsidR="0011254D" w:rsidRPr="007943C4">
        <w:rPr>
          <w:rFonts w:ascii="Calibri" w:eastAsia="Calibri" w:hAnsi="Calibri" w:cs="Times New Roman"/>
        </w:rPr>
        <w:t xml:space="preserve"> for the 100 days ending 21 days before the announcement</w:t>
      </w:r>
      <w:r w:rsidR="00995B92" w:rsidRPr="007943C4">
        <w:rPr>
          <w:rFonts w:ascii="Calibri" w:eastAsia="Calibri" w:hAnsi="Calibri" w:cs="Times New Roman"/>
        </w:rPr>
        <w:t>;</w:t>
      </w:r>
      <w:r w:rsidR="0011254D" w:rsidRPr="007943C4">
        <w:rPr>
          <w:rFonts w:ascii="Calibri" w:eastAsia="Calibri" w:hAnsi="Calibri" w:cs="Times New Roman"/>
        </w:rPr>
        <w:t xml:space="preserve"> and </w:t>
      </w:r>
      <w:r w:rsidR="0011254D" w:rsidRPr="003D6E55">
        <w:rPr>
          <w:rFonts w:ascii="Calibri" w:eastAsia="Calibri" w:hAnsi="Calibri" w:cs="Times New Roman"/>
          <w:i/>
        </w:rPr>
        <w:t xml:space="preserve">Volume </w:t>
      </w:r>
      <w:r w:rsidR="0011254D" w:rsidRPr="003D6E55">
        <w:rPr>
          <w:rFonts w:ascii="Calibri" w:eastAsia="Calibri" w:hAnsi="Calibri" w:cs="Times New Roman"/>
        </w:rPr>
        <w:t xml:space="preserve">is measured as (share trading volume for firm </w:t>
      </w:r>
      <w:r w:rsidR="0011254D" w:rsidRPr="003D6E55">
        <w:rPr>
          <w:rFonts w:ascii="Calibri" w:eastAsia="Calibri" w:hAnsi="Calibri" w:cs="Times New Roman"/>
          <w:i/>
        </w:rPr>
        <w:t>i</w:t>
      </w:r>
      <w:r w:rsidR="0011254D" w:rsidRPr="003D6E55">
        <w:rPr>
          <w:rFonts w:ascii="Calibri" w:eastAsia="Calibri" w:hAnsi="Calibri" w:cs="Times New Roman"/>
        </w:rPr>
        <w:t xml:space="preserve"> on day </w:t>
      </w:r>
      <w:r w:rsidR="0011254D" w:rsidRPr="003D6E55">
        <w:rPr>
          <w:rFonts w:ascii="Calibri" w:eastAsia="Calibri" w:hAnsi="Calibri" w:cs="Times New Roman"/>
          <w:i/>
        </w:rPr>
        <w:t>d</w:t>
      </w:r>
      <w:r w:rsidR="0011254D" w:rsidRPr="003D6E55">
        <w:rPr>
          <w:rFonts w:ascii="Calibri" w:eastAsia="Calibri" w:hAnsi="Calibri" w:cs="Times New Roman"/>
        </w:rPr>
        <w:t xml:space="preserve"> divided by number of ordinary shares outstanding for firm </w:t>
      </w:r>
      <w:r w:rsidR="0011254D" w:rsidRPr="003D6E55">
        <w:rPr>
          <w:rFonts w:ascii="Calibri" w:eastAsia="Calibri" w:hAnsi="Calibri" w:cs="Times New Roman"/>
          <w:i/>
        </w:rPr>
        <w:t>i</w:t>
      </w:r>
      <w:r w:rsidR="0011254D" w:rsidRPr="003D6E55">
        <w:rPr>
          <w:rFonts w:ascii="Calibri" w:eastAsia="Calibri" w:hAnsi="Calibri" w:cs="Times New Roman"/>
        </w:rPr>
        <w:t xml:space="preserve"> on day </w:t>
      </w:r>
      <w:r w:rsidR="0011254D" w:rsidRPr="003D6E55">
        <w:rPr>
          <w:rFonts w:ascii="Calibri" w:eastAsia="Calibri" w:hAnsi="Calibri" w:cs="Times New Roman"/>
          <w:i/>
        </w:rPr>
        <w:t>d</w:t>
      </w:r>
      <w:r w:rsidR="0011254D" w:rsidRPr="003D6E55">
        <w:rPr>
          <w:rFonts w:ascii="Calibri" w:eastAsia="Calibri" w:hAnsi="Calibri" w:cs="Times New Roman"/>
        </w:rPr>
        <w:t>) * 100</w:t>
      </w:r>
      <w:r w:rsidR="00995B92" w:rsidRPr="003D6E55">
        <w:rPr>
          <w:rFonts w:ascii="Calibri" w:eastAsia="Calibri" w:hAnsi="Calibri" w:cs="Times New Roman"/>
        </w:rPr>
        <w:t xml:space="preserve"> </w:t>
      </w:r>
      <w:r w:rsidR="00995B92" w:rsidRPr="003D6E55">
        <w:rPr>
          <w:rFonts w:ascii="Calibri" w:eastAsia="Calibri" w:hAnsi="Calibri" w:cs="Calibri"/>
        </w:rPr>
        <w:t>for pre-event days [-20, -1]</w:t>
      </w:r>
      <w:r w:rsidR="0011254D" w:rsidRPr="003D6E55">
        <w:rPr>
          <w:rFonts w:ascii="Calibri" w:eastAsia="Calibri" w:hAnsi="Calibri" w:cs="Times New Roman"/>
        </w:rPr>
        <w:t>.</w:t>
      </w:r>
    </w:p>
    <w:p w14:paraId="319E4D96" w14:textId="77777777" w:rsidR="00925243" w:rsidRDefault="00925243" w:rsidP="00A87CB1">
      <w:pPr>
        <w:tabs>
          <w:tab w:val="left" w:pos="709"/>
        </w:tabs>
        <w:spacing w:line="360" w:lineRule="auto"/>
        <w:jc w:val="both"/>
      </w:pPr>
    </w:p>
    <w:p w14:paraId="58B4B4E5" w14:textId="37D8BF34" w:rsidR="00A87CB1" w:rsidRDefault="00925243" w:rsidP="00250D82">
      <w:pPr>
        <w:tabs>
          <w:tab w:val="left" w:pos="709"/>
          <w:tab w:val="right" w:pos="8789"/>
        </w:tabs>
        <w:spacing w:line="360" w:lineRule="auto"/>
        <w:jc w:val="both"/>
      </w:pPr>
      <w:r>
        <w:t>Model 1 in Table 9 shows the full sample results of the equation 2 analysis. The coefficient</w:t>
      </w:r>
      <w:r w:rsidR="007E2FD2">
        <w:t>s</w:t>
      </w:r>
      <w:r>
        <w:t xml:space="preserve"> on </w:t>
      </w:r>
      <w:r w:rsidRPr="006A77ED">
        <w:rPr>
          <w:i/>
        </w:rPr>
        <w:t>BAS</w:t>
      </w:r>
      <w:r w:rsidR="007E2FD2">
        <w:rPr>
          <w:i/>
        </w:rPr>
        <w:t xml:space="preserve"> </w:t>
      </w:r>
      <w:r w:rsidR="007E2FD2">
        <w:t xml:space="preserve">and </w:t>
      </w:r>
      <w:r w:rsidR="007E2FD2">
        <w:rPr>
          <w:i/>
        </w:rPr>
        <w:t>Volatility</w:t>
      </w:r>
      <w:r w:rsidR="007E2FD2">
        <w:t xml:space="preserve"> are</w:t>
      </w:r>
      <w:r>
        <w:t xml:space="preserve"> significantly negative </w:t>
      </w:r>
      <w:r w:rsidR="00FD53DC">
        <w:t>(1% level)</w:t>
      </w:r>
      <w:r>
        <w:t xml:space="preserve">, indicating that firms with </w:t>
      </w:r>
      <w:r w:rsidR="004563B6">
        <w:t>low</w:t>
      </w:r>
      <w:r w:rsidR="00BC3CD2">
        <w:t xml:space="preserve"> (high)</w:t>
      </w:r>
      <w:r>
        <w:t xml:space="preserve"> information asymmetry prior to a project announcement </w:t>
      </w:r>
      <w:r w:rsidR="004563B6">
        <w:t>are more</w:t>
      </w:r>
      <w:r w:rsidR="00BC3CD2">
        <w:t xml:space="preserve"> (less)</w:t>
      </w:r>
      <w:r w:rsidR="004563B6">
        <w:t xml:space="preserve"> likely to disclose project profitability and cost information</w:t>
      </w:r>
      <w:r w:rsidR="00BD3BC8">
        <w:t xml:space="preserve">. </w:t>
      </w:r>
      <w:r w:rsidR="00250D82">
        <w:t xml:space="preserve">Models 2 and 3 apply the same model to the positive and negative </w:t>
      </w:r>
      <w:r w:rsidR="00250D82" w:rsidRPr="006A77ED">
        <w:rPr>
          <w:i/>
        </w:rPr>
        <w:t xml:space="preserve">CAR </w:t>
      </w:r>
      <w:r w:rsidR="00250D82">
        <w:t xml:space="preserve">subsamples, respectively. The signs on the two information asymmetry proxies remain negative as in the full sample, with the coefficient on </w:t>
      </w:r>
      <w:r w:rsidR="00250D82" w:rsidRPr="006A77ED">
        <w:rPr>
          <w:i/>
        </w:rPr>
        <w:t>BAS</w:t>
      </w:r>
      <w:r w:rsidR="00250D82">
        <w:t xml:space="preserve"> significant only in the negative </w:t>
      </w:r>
      <w:r w:rsidR="00250D82" w:rsidRPr="006A77ED">
        <w:rPr>
          <w:i/>
        </w:rPr>
        <w:t>CAR</w:t>
      </w:r>
      <w:r w:rsidR="00250D82">
        <w:t xml:space="preserve"> subsample, and the coefficient on </w:t>
      </w:r>
      <w:r w:rsidR="00250D82" w:rsidRPr="006A77ED">
        <w:rPr>
          <w:i/>
        </w:rPr>
        <w:t>Volatility</w:t>
      </w:r>
      <w:r w:rsidR="00250D82">
        <w:t xml:space="preserve"> significant in both positive and negative </w:t>
      </w:r>
      <w:r w:rsidR="00250D82" w:rsidRPr="006A77ED">
        <w:rPr>
          <w:i/>
        </w:rPr>
        <w:t>CAR</w:t>
      </w:r>
      <w:r w:rsidR="00250D82">
        <w:t xml:space="preserve"> subsamples.</w:t>
      </w:r>
      <w:r w:rsidR="00250D82" w:rsidRPr="00250D82">
        <w:t xml:space="preserve"> </w:t>
      </w:r>
      <w:r w:rsidR="00250D82">
        <w:t>These results</w:t>
      </w:r>
      <w:r w:rsidR="006C57ED">
        <w:t xml:space="preserve"> imply that greater pre-event information asymmetry is associated with a lower likelihood for investment transparency and are consistent with Australian evidence from </w:t>
      </w:r>
      <w:hyperlink w:anchor="_ENREF_35" w:tooltip="Kent, 2003 #2159" w:history="1">
        <w:r w:rsidR="006C57ED">
          <w:fldChar w:fldCharType="begin"/>
        </w:r>
        <w:r w:rsidR="006C57ED">
          <w:instrText xml:space="preserve"> ADDIN EN.CITE &lt;EndNote&gt;&lt;Cite AuthorYear="1"&gt;&lt;Author&gt;Kent&lt;/Author&gt;&lt;Year&gt;2003&lt;/Year&gt;&lt;RecNum&gt;2159&lt;/RecNum&gt;&lt;DisplayText&gt;Kent and Ung (2003)&lt;/DisplayText&gt;&lt;record&gt;&lt;rec-number&gt;2159&lt;/rec-number&gt;&lt;foreign-keys&gt;&lt;key app="EN" db-id="20p2wrv0m2av96e55d1pzxv2zxx5pvw55d55" timestamp="1485818393"&gt;2159&lt;/key&gt;&lt;/foreign-keys&gt;&lt;ref-type name="Journal Article"&gt;17&lt;/ref-type&gt;&lt;contributors&gt;&lt;authors&gt;&lt;author&gt;Kent, Pamela&lt;/author&gt;&lt;author&gt;Ung, Karen&lt;/author&gt;&lt;/authors&gt;&lt;/contributors&gt;&lt;titles&gt;&lt;title&gt;Voluntary disclosure of forward-looking earnings information in Australia&lt;/title&gt;&lt;secondary-title&gt;Australian Journal of Management (University of New South Wales)&lt;/secondary-title&gt;&lt;/titles&gt;&lt;periodical&gt;&lt;full-title&gt;Australian Journal of Management (University of New South Wales)&lt;/full-title&gt;&lt;/periodical&gt;&lt;pages&gt;273-285&lt;/pages&gt;&lt;volume&gt;28&lt;/volume&gt;&lt;number&gt;3&lt;/number&gt;&lt;keywords&gt;&lt;keyword&gt;FINANCIAL disclosure&lt;/keyword&gt;&lt;keyword&gt;DISCLOSURE of information&lt;/keyword&gt;&lt;keyword&gt;DISCLOSURE&lt;/keyword&gt;&lt;keyword&gt;SECURITIES markets&lt;/keyword&gt;&lt;keyword&gt;VALUATION&lt;/keyword&gt;&lt;keyword&gt;AUSTRALIA&lt;/keyword&gt;&lt;/keywords&gt;&lt;dates&gt;&lt;year&gt;2003&lt;/year&gt;&lt;/dates&gt;&lt;publisher&gt;University of New South Wales&lt;/publisher&gt;&lt;isbn&gt;03128962&lt;/isbn&gt;&lt;accession-num&gt;12181930&lt;/accession-num&gt;&lt;work-type&gt;Article&lt;/work-type&gt;&lt;urls&gt;&lt;related-urls&gt;&lt;url&gt;http://ezproxy.massey.ac.nz/login?url=http://search.ebscohost.com/login.aspx?direct=true&amp;amp;db=anh&amp;amp;AN=12181930&amp;amp;site=eds-live&amp;amp;scope=site&lt;/url&gt;&lt;/related-urls&gt;&lt;/urls&gt;&lt;remote-database-name&gt;anh&lt;/remote-database-name&gt;&lt;remote-database-provider&gt;EBSCOhost&lt;/remote-database-provider&gt;&lt;/record&gt;&lt;/Cite&gt;&lt;/EndNote&gt;</w:instrText>
        </w:r>
        <w:r w:rsidR="006C57ED">
          <w:fldChar w:fldCharType="separate"/>
        </w:r>
        <w:r w:rsidR="006C57ED">
          <w:rPr>
            <w:noProof/>
          </w:rPr>
          <w:t>Kent and Ung (2003)</w:t>
        </w:r>
        <w:r w:rsidR="006C57ED">
          <w:fldChar w:fldCharType="end"/>
        </w:r>
      </w:hyperlink>
      <w:r w:rsidR="006C57ED">
        <w:t xml:space="preserve"> who find that smaller firms with more volatile earnings are less likely to disclose forward</w:t>
      </w:r>
      <w:r w:rsidR="00701320">
        <w:t>-</w:t>
      </w:r>
      <w:r w:rsidR="006C57ED">
        <w:t xml:space="preserve">looking earnings information. </w:t>
      </w:r>
      <w:r w:rsidR="00701320">
        <w:t xml:space="preserve">Also of interest are the significantly positive coefficients on the turnover (full sample and negative CAR subsample) and volume (positive CAR subsamples) variables, which suggest that firms receiving higher (lower) levels of investor attention prior to the announcement are more (less) likely to display high transparency in their announcements. </w:t>
      </w:r>
    </w:p>
    <w:p w14:paraId="3CAF0210" w14:textId="77777777" w:rsidR="00096D24" w:rsidRDefault="00096D24" w:rsidP="00250D82">
      <w:pPr>
        <w:tabs>
          <w:tab w:val="left" w:pos="709"/>
          <w:tab w:val="right" w:pos="8789"/>
        </w:tabs>
        <w:spacing w:line="360" w:lineRule="auto"/>
        <w:jc w:val="both"/>
      </w:pPr>
    </w:p>
    <w:p w14:paraId="08270F2D" w14:textId="112C0B2E" w:rsidR="00096D24" w:rsidRDefault="00096D24" w:rsidP="00276DFE">
      <w:pPr>
        <w:spacing w:line="360" w:lineRule="auto"/>
        <w:jc w:val="both"/>
        <w:rPr>
          <w:rFonts w:ascii="Calibri" w:eastAsia="Calibri" w:hAnsi="Calibri" w:cs="Calibri"/>
        </w:rPr>
      </w:pPr>
      <w:r w:rsidRPr="00096D24">
        <w:rPr>
          <w:rFonts w:ascii="Calibri" w:eastAsia="Calibri" w:hAnsi="Calibri" w:cs="Calibri"/>
        </w:rPr>
        <w:t>4</w:t>
      </w:r>
      <w:r w:rsidR="00276DFE" w:rsidRPr="00096D24">
        <w:rPr>
          <w:rFonts w:ascii="Calibri" w:eastAsia="Calibri" w:hAnsi="Calibri" w:cs="Calibri"/>
        </w:rPr>
        <w:t>.4</w:t>
      </w:r>
      <w:r w:rsidR="008D541A">
        <w:rPr>
          <w:rFonts w:ascii="Calibri" w:eastAsia="Calibri" w:hAnsi="Calibri" w:cs="Calibri"/>
        </w:rPr>
        <w:t xml:space="preserve">  </w:t>
      </w:r>
      <w:r w:rsidRPr="006A77ED">
        <w:rPr>
          <w:rFonts w:ascii="Calibri" w:eastAsia="Calibri" w:hAnsi="Calibri" w:cs="Calibri"/>
        </w:rPr>
        <w:t>Does investment transparency reduce information asymmetry?</w:t>
      </w:r>
    </w:p>
    <w:p w14:paraId="54972FEA" w14:textId="1DE5F308" w:rsidR="00096D24" w:rsidRPr="006D24C6" w:rsidRDefault="00096D24" w:rsidP="00276DFE">
      <w:pPr>
        <w:spacing w:line="360" w:lineRule="auto"/>
        <w:jc w:val="both"/>
        <w:rPr>
          <w:rFonts w:ascii="Calibri" w:eastAsia="Calibri" w:hAnsi="Calibri" w:cs="Calibri"/>
        </w:rPr>
      </w:pPr>
    </w:p>
    <w:p w14:paraId="7532333A" w14:textId="4CEAE394" w:rsidR="00276DFE" w:rsidRDefault="00AB2555" w:rsidP="00276DFE">
      <w:pPr>
        <w:spacing w:line="360" w:lineRule="auto"/>
        <w:jc w:val="both"/>
        <w:rPr>
          <w:rFonts w:ascii="Calibri" w:eastAsia="Calibri" w:hAnsi="Calibri" w:cs="Calibri"/>
        </w:rPr>
      </w:pPr>
      <w:r>
        <w:rPr>
          <w:rFonts w:ascii="Calibri" w:eastAsia="Calibri" w:hAnsi="Calibri" w:cs="Calibri"/>
        </w:rPr>
        <w:t>Prior evidence finds that c</w:t>
      </w:r>
      <w:r w:rsidRPr="00AB2555">
        <w:rPr>
          <w:rFonts w:ascii="Calibri" w:eastAsia="Calibri" w:hAnsi="Calibri" w:cs="Calibri"/>
        </w:rPr>
        <w:t>apital expenditure information disaggregated into maintenance and growth expenditures assists investors’ to forecast future sales</w:t>
      </w:r>
      <w:r>
        <w:rPr>
          <w:rFonts w:ascii="Calibri" w:eastAsia="Calibri" w:hAnsi="Calibri" w:cs="Calibri"/>
        </w:rPr>
        <w:t xml:space="preserve"> </w:t>
      </w:r>
      <w:r>
        <w:rPr>
          <w:rFonts w:ascii="Calibri" w:eastAsia="Calibri" w:hAnsi="Calibri" w:cs="Calibri"/>
        </w:rPr>
        <w:fldChar w:fldCharType="begin"/>
      </w:r>
      <w:r>
        <w:rPr>
          <w:rFonts w:ascii="Calibri" w:eastAsia="Calibri" w:hAnsi="Calibri" w:cs="Calibri"/>
        </w:rPr>
        <w:instrText xml:space="preserve"> ADDIN EN.CITE &lt;EndNote&gt;&lt;Cite&gt;&lt;Author&gt;Beyer&lt;/Author&gt;&lt;Year&gt;2015&lt;/Year&gt;&lt;RecNum&gt;1984&lt;/RecNum&gt;&lt;DisplayText&gt;(Beyer et al., 2015)&lt;/DisplayText&gt;&lt;record&gt;&lt;rec-number&gt;1984&lt;/rec-number&gt;&lt;foreign-keys&gt;&lt;key app="EN" db-id="20p2wrv0m2av96e55d1pzxv2zxx5pvw55d55" timestamp="1432264113"&gt;1984&lt;/key&gt;&lt;/foreign-keys&gt;&lt;ref-type name="Report"&gt;27&lt;/ref-type&gt;&lt;contributors&gt;&lt;authors&gt;&lt;author&gt;Beyer, B.&lt;/author&gt;&lt;author&gt;Herrmann, D.&lt;/author&gt;&lt;author&gt;Rapley, E.T.&lt;/author&gt;&lt;/authors&gt;&lt;/contributors&gt;&lt;titles&gt;&lt;title&gt;Disaggregated capital expenditures&lt;/title&gt;&lt;/titles&gt;&lt;keywords&gt;&lt;keyword&gt;Capital Expenditures&lt;/keyword&gt;&lt;keyword&gt;Disaggregation&lt;/keyword&gt;&lt;keyword&gt;Maintenance CAPX&lt;/keyword&gt;&lt;keyword&gt;Growth CAPX&lt;/keyword&gt;&lt;/keywords&gt;&lt;dates&gt;&lt;year&gt;2015&lt;/year&gt;&lt;pub-dates&gt;&lt;date&gt;March 30&lt;/date&gt;&lt;/pub-dates&gt;&lt;/dates&gt;&lt;pub-location&gt;Available at SSRN&lt;/pub-location&gt;&lt;publisher&gt;http://ssrn.com/abstract=2587124 or http://dx.doi.org/10.2139/ssrn.2587124 &lt;/publisher&gt;&lt;urls&gt;&lt;/urls&gt;&lt;/record&gt;&lt;/Cite&gt;&lt;/EndNote&gt;</w:instrText>
      </w:r>
      <w:r>
        <w:rPr>
          <w:rFonts w:ascii="Calibri" w:eastAsia="Calibri" w:hAnsi="Calibri" w:cs="Calibri"/>
        </w:rPr>
        <w:fldChar w:fldCharType="separate"/>
      </w:r>
      <w:r>
        <w:rPr>
          <w:rFonts w:ascii="Calibri" w:eastAsia="Calibri" w:hAnsi="Calibri" w:cs="Calibri"/>
          <w:noProof/>
        </w:rPr>
        <w:t>(</w:t>
      </w:r>
      <w:hyperlink w:anchor="_ENREF_6" w:tooltip="Beyer, 2015 #1984" w:history="1">
        <w:r w:rsidR="006C57ED">
          <w:rPr>
            <w:rFonts w:ascii="Calibri" w:eastAsia="Calibri" w:hAnsi="Calibri" w:cs="Calibri"/>
            <w:noProof/>
          </w:rPr>
          <w:t>Beyer et al., 2015</w:t>
        </w:r>
      </w:hyperlink>
      <w:r>
        <w:rPr>
          <w:rFonts w:ascii="Calibri" w:eastAsia="Calibri" w:hAnsi="Calibri" w:cs="Calibri"/>
          <w:noProof/>
        </w:rPr>
        <w:t>)</w:t>
      </w:r>
      <w:r>
        <w:rPr>
          <w:rFonts w:ascii="Calibri" w:eastAsia="Calibri" w:hAnsi="Calibri" w:cs="Calibri"/>
        </w:rPr>
        <w:fldChar w:fldCharType="end"/>
      </w:r>
      <w:r>
        <w:rPr>
          <w:rFonts w:ascii="Calibri" w:eastAsia="Calibri" w:hAnsi="Calibri" w:cs="Calibri"/>
        </w:rPr>
        <w:t xml:space="preserve">, and that </w:t>
      </w:r>
      <w:r w:rsidR="00CA4C70">
        <w:rPr>
          <w:rFonts w:ascii="Calibri" w:eastAsia="Calibri" w:hAnsi="Calibri" w:cs="Calibri"/>
        </w:rPr>
        <w:t>g</w:t>
      </w:r>
      <w:r w:rsidR="00CA4C70" w:rsidRPr="00CA4C70">
        <w:rPr>
          <w:rFonts w:ascii="Calibri" w:eastAsia="Calibri" w:hAnsi="Calibri" w:cs="Calibri"/>
        </w:rPr>
        <w:t>reater product-related disclosure at the time of an IPO reduces information asymmetry in Biotech firms</w:t>
      </w:r>
      <w:r w:rsidR="00CA4C70">
        <w:rPr>
          <w:rFonts w:ascii="Calibri" w:eastAsia="Calibri" w:hAnsi="Calibri" w:cs="Calibri"/>
        </w:rPr>
        <w:t xml:space="preserve"> </w:t>
      </w:r>
      <w:r w:rsidR="00CA4C70">
        <w:rPr>
          <w:rFonts w:ascii="Calibri" w:eastAsia="Calibri" w:hAnsi="Calibri" w:cs="Calibri"/>
        </w:rPr>
        <w:fldChar w:fldCharType="begin"/>
      </w:r>
      <w:r w:rsidR="00CA4C70">
        <w:rPr>
          <w:rFonts w:ascii="Calibri" w:eastAsia="Calibri" w:hAnsi="Calibri" w:cs="Calibri"/>
        </w:rPr>
        <w:instrText xml:space="preserve"> ADDIN EN.CITE &lt;EndNote&gt;&lt;Cite&gt;&lt;Author&gt;Guo&lt;/Author&gt;&lt;Year&gt;2004&lt;/Year&gt;&lt;RecNum&gt;474&lt;/RecNum&gt;&lt;DisplayText&gt;(Guo et al., 2004)&lt;/DisplayText&gt;&lt;record&gt;&lt;rec-number&gt;474&lt;/rec-number&gt;&lt;foreign-keys&gt;&lt;key app="EN" db-id="20p2wrv0m2av96e55d1pzxv2zxx5pvw55d55" timestamp="0"&gt;474&lt;/key&gt;&lt;/foreign-keys&gt;&lt;ref-type name="Journal Article"&gt;17&lt;/ref-type&gt;&lt;contributors&gt;&lt;authors&gt;&lt;author&gt;Guo, Re-Jin&lt;/author&gt;&lt;author&gt;Lev, Baruch&lt;/author&gt;&lt;author&gt;Zhou, Nan&lt;/author&gt;&lt;/authors&gt;&lt;/contributors&gt;&lt;titles&gt;&lt;title&gt;Competitive costs of disclosure by Biotech IPOs.&lt;/title&gt;&lt;secondary-title&gt;Journal of Accounting Research&lt;/secondary-title&gt;&lt;/titles&gt;&lt;periodical&gt;&lt;full-title&gt;Journal of Accounting Research&lt;/full-title&gt;&lt;/periodical&gt;&lt;pages&gt;319-355&lt;/pages&gt;&lt;volume&gt;42&lt;/volume&gt;&lt;number&gt;2&lt;/number&gt;&lt;keywords&gt;&lt;keyword&gt;BIOTECHNOLOGY industries&lt;/keyword&gt;&lt;keyword&gt;CORPORATIONS -- Finance&lt;/keyword&gt;&lt;keyword&gt;DISCLOSURE of information&lt;/keyword&gt;&lt;keyword&gt;FINANCIAL disclosure&lt;/keyword&gt;&lt;keyword&gt;GOING public (Securities)&lt;/keyword&gt;&lt;keyword&gt;UNITED States&lt;/keyword&gt;&lt;/keywords&gt;&lt;dates&gt;&lt;year&gt;2004&lt;/year&gt;&lt;pub-dates&gt;&lt;date&gt;2004/05//&lt;/date&gt;&lt;/pub-dates&gt;&lt;/dates&gt;&lt;publisher&gt;Blackwell Publishing Limited&lt;/publisher&gt;&lt;isbn&gt;00218456&lt;/isbn&gt;&lt;work-type&gt;Article&lt;/work-type&gt;&lt;urls&gt;&lt;related-urls&gt;&lt;url&gt;http://ezproxy.massey.ac.nz/login?url=http://search.ebscohost.com/login.aspx?direct=true&amp;amp;AuthType=ip,cookie,url,uid&amp;amp;db=buh&amp;amp;AN=12831556&amp;amp;site=ehost-live&lt;/url&gt;&lt;/related-urls&gt;&lt;/urls&gt;&lt;/record&gt;&lt;/Cite&gt;&lt;/EndNote&gt;</w:instrText>
      </w:r>
      <w:r w:rsidR="00CA4C70">
        <w:rPr>
          <w:rFonts w:ascii="Calibri" w:eastAsia="Calibri" w:hAnsi="Calibri" w:cs="Calibri"/>
        </w:rPr>
        <w:fldChar w:fldCharType="separate"/>
      </w:r>
      <w:r w:rsidR="00CA4C70">
        <w:rPr>
          <w:rFonts w:ascii="Calibri" w:eastAsia="Calibri" w:hAnsi="Calibri" w:cs="Calibri"/>
          <w:noProof/>
        </w:rPr>
        <w:t>(</w:t>
      </w:r>
      <w:hyperlink w:anchor="_ENREF_25" w:tooltip="Guo, 2004 #474" w:history="1">
        <w:r w:rsidR="006C57ED">
          <w:rPr>
            <w:rFonts w:ascii="Calibri" w:eastAsia="Calibri" w:hAnsi="Calibri" w:cs="Calibri"/>
            <w:noProof/>
          </w:rPr>
          <w:t>Guo et al., 2004</w:t>
        </w:r>
      </w:hyperlink>
      <w:r w:rsidR="00CA4C70">
        <w:rPr>
          <w:rFonts w:ascii="Calibri" w:eastAsia="Calibri" w:hAnsi="Calibri" w:cs="Calibri"/>
          <w:noProof/>
        </w:rPr>
        <w:t>)</w:t>
      </w:r>
      <w:r w:rsidR="00CA4C70">
        <w:rPr>
          <w:rFonts w:ascii="Calibri" w:eastAsia="Calibri" w:hAnsi="Calibri" w:cs="Calibri"/>
        </w:rPr>
        <w:fldChar w:fldCharType="end"/>
      </w:r>
      <w:r w:rsidR="00CA4C70">
        <w:rPr>
          <w:rFonts w:ascii="Calibri" w:eastAsia="Calibri" w:hAnsi="Calibri" w:cs="Calibri"/>
        </w:rPr>
        <w:t>. Accordingly, o</w:t>
      </w:r>
      <w:r>
        <w:rPr>
          <w:rFonts w:ascii="Calibri" w:eastAsia="Calibri" w:hAnsi="Calibri" w:cs="Calibri"/>
        </w:rPr>
        <w:t xml:space="preserve">ur next investigations consider whether greater investment transparency </w:t>
      </w:r>
      <w:r w:rsidR="002A7C4B">
        <w:rPr>
          <w:rFonts w:ascii="Calibri" w:eastAsia="Calibri" w:hAnsi="Calibri" w:cs="Calibri"/>
        </w:rPr>
        <w:t>is associated with lower post-announcement</w:t>
      </w:r>
      <w:r w:rsidR="00CA4C70">
        <w:rPr>
          <w:rFonts w:ascii="Calibri" w:eastAsia="Calibri" w:hAnsi="Calibri" w:cs="Calibri"/>
        </w:rPr>
        <w:t xml:space="preserve"> information asymmetry in our sample firms. </w:t>
      </w:r>
      <w:r w:rsidR="00276DFE">
        <w:rPr>
          <w:rFonts w:ascii="Calibri" w:eastAsia="Calibri" w:hAnsi="Calibri" w:cs="Calibri"/>
        </w:rPr>
        <w:t xml:space="preserve">Similar to Coller and Yohn </w:t>
      </w:r>
      <w:r w:rsidR="00276DFE">
        <w:rPr>
          <w:rFonts w:ascii="Calibri" w:eastAsia="Calibri" w:hAnsi="Calibri" w:cs="Calibri"/>
        </w:rPr>
        <w:fldChar w:fldCharType="begin"/>
      </w:r>
      <w:r w:rsidR="00276DFE">
        <w:rPr>
          <w:rFonts w:ascii="Calibri" w:eastAsia="Calibri" w:hAnsi="Calibri" w:cs="Calibri"/>
        </w:rPr>
        <w:instrText xml:space="preserve"> ADDIN EN.CITE &lt;EndNote&gt;&lt;Cite ExcludeAuth="1"&gt;&lt;Author&gt;Coller&lt;/Author&gt;&lt;Year&gt;1997&lt;/Year&gt;&lt;RecNum&gt;2291&lt;/RecNum&gt;&lt;DisplayText&gt;(1997)&lt;/DisplayText&gt;&lt;record&gt;&lt;rec-number&gt;2291&lt;/rec-number&gt;&lt;foreign-keys&gt;&lt;key app="EN" db-id="20p2wrv0m2av96e55d1pzxv2zxx5pvw55d55" timestamp="1502848742"&gt;2291&lt;/key&gt;&lt;/foreign-keys&gt;&lt;ref-type name="Journal Article"&gt;17&lt;/ref-type&gt;&lt;contributors&gt;&lt;authors&gt;&lt;author&gt;Coller, M.&lt;/author&gt;&lt;author&gt;Yohn, T. L.&lt;/author&gt;&lt;/authors&gt;&lt;/contributors&gt;&lt;titles&gt;&lt;title&gt;Management forecasts and information asymmetry: An examination of bid-ask spreads&lt;/title&gt;&lt;secondary-title&gt;Journal of Accounting Research&lt;/secondary-title&gt;&lt;/titles&gt;&lt;periodical&gt;&lt;full-title&gt;Journal of Accounting Research&lt;/full-title&gt;&lt;/periodical&gt;&lt;pages&gt;181-191&lt;/pages&gt;&lt;volume&gt;35&lt;/volume&gt;&lt;number&gt;2&lt;/number&gt;&lt;dates&gt;&lt;year&gt;1997&lt;/year&gt;&lt;pub-dates&gt;&lt;date&gt;Fal&lt;/date&gt;&lt;/pub-dates&gt;&lt;/dates&gt;&lt;isbn&gt;0021-8456&lt;/isbn&gt;&lt;accession-num&gt;WOS:A1997YF54600003&lt;/accession-num&gt;&lt;urls&gt;&lt;related-urls&gt;&lt;url&gt;&amp;lt;Go to ISI&amp;gt;://WOS:A1997YF54600003&lt;/url&gt;&lt;/related-urls&gt;&lt;/urls&gt;&lt;electronic-resource-num&gt;10.2307/2491359&lt;/electronic-resource-num&gt;&lt;/record&gt;&lt;/Cite&gt;&lt;/EndNote&gt;</w:instrText>
      </w:r>
      <w:r w:rsidR="00276DFE">
        <w:rPr>
          <w:rFonts w:ascii="Calibri" w:eastAsia="Calibri" w:hAnsi="Calibri" w:cs="Calibri"/>
        </w:rPr>
        <w:fldChar w:fldCharType="separate"/>
      </w:r>
      <w:r w:rsidR="00276DFE">
        <w:rPr>
          <w:rFonts w:ascii="Calibri" w:eastAsia="Calibri" w:hAnsi="Calibri" w:cs="Calibri"/>
          <w:noProof/>
        </w:rPr>
        <w:t>(</w:t>
      </w:r>
      <w:hyperlink w:anchor="_ENREF_15" w:tooltip="Coller, 1997 #2291" w:history="1">
        <w:r w:rsidR="006C57ED">
          <w:rPr>
            <w:rFonts w:ascii="Calibri" w:eastAsia="Calibri" w:hAnsi="Calibri" w:cs="Calibri"/>
            <w:noProof/>
          </w:rPr>
          <w:t>1997</w:t>
        </w:r>
      </w:hyperlink>
      <w:r w:rsidR="00276DFE">
        <w:rPr>
          <w:rFonts w:ascii="Calibri" w:eastAsia="Calibri" w:hAnsi="Calibri" w:cs="Calibri"/>
          <w:noProof/>
        </w:rPr>
        <w:t>)</w:t>
      </w:r>
      <w:r w:rsidR="00276DFE">
        <w:rPr>
          <w:rFonts w:ascii="Calibri" w:eastAsia="Calibri" w:hAnsi="Calibri" w:cs="Calibri"/>
        </w:rPr>
        <w:fldChar w:fldCharType="end"/>
      </w:r>
      <w:r w:rsidR="00276DFE">
        <w:rPr>
          <w:rFonts w:ascii="Calibri" w:eastAsia="Calibri" w:hAnsi="Calibri" w:cs="Calibri"/>
        </w:rPr>
        <w:t xml:space="preserve"> and Amiram et al., </w:t>
      </w:r>
      <w:r w:rsidR="00276DFE">
        <w:rPr>
          <w:rFonts w:ascii="Calibri" w:eastAsia="Calibri" w:hAnsi="Calibri" w:cs="Calibri"/>
        </w:rPr>
        <w:fldChar w:fldCharType="begin"/>
      </w:r>
      <w:r w:rsidR="00276DFE">
        <w:rPr>
          <w:rFonts w:ascii="Calibri" w:eastAsia="Calibri" w:hAnsi="Calibri" w:cs="Calibri"/>
        </w:rPr>
        <w:instrText xml:space="preserve"> ADDIN EN.CITE &lt;EndNote&gt;&lt;Cite ExcludeAuth="1"&gt;&lt;Author&gt;Amiram&lt;/Author&gt;&lt;Year&gt;2016&lt;/Year&gt;&lt;RecNum&gt;2114&lt;/RecNum&gt;&lt;DisplayText&gt;(2016)&lt;/DisplayText&gt;&lt;record&gt;&lt;rec-number&gt;2114&lt;/rec-number&gt;&lt;foreign-keys&gt;&lt;key app="EN" db-id="20p2wrv0m2av96e55d1pzxv2zxx5pvw55d55" timestamp="1478213009"&gt;2114&lt;/key&gt;&lt;/foreign-keys&gt;&lt;ref-type name="Journal Article"&gt;17&lt;/ref-type&gt;&lt;contributors&gt;&lt;authors&gt;&lt;author&gt;Amiram, D.&lt;/author&gt;&lt;author&gt;Owens, E.&lt;/author&gt;&lt;author&gt;Rozenbaum, O.&lt;/author&gt;&lt;/authors&gt;&lt;/contributors&gt;&lt;auth-address&gt;Columbia University Graduate School of Business, 3022 Broadway, New York, NY, United States&amp;#xD;Goizueta Business School, Emory University, 1300 Clifton Rd, Atlanta, GA, United States&amp;#xD;The George Washington University, 2121 I St. NW, Washington, DC, United States&lt;/auth-address&gt;&lt;titles&gt;&lt;title&gt;Do information releases increase or decrease information asymmetry? New evidence from analyst forecast announcements&lt;/title&gt;&lt;secondary-title&gt;Journal of Accounting and Economics&lt;/secondary-title&gt;&lt;/titles&gt;&lt;periodical&gt;&lt;full-title&gt;Journal of Accounting and Economics&lt;/full-title&gt;&lt;/periodical&gt;&lt;pages&gt;121-138&lt;/pages&gt;&lt;volume&gt;62&lt;/volume&gt;&lt;number&gt;1&lt;/number&gt;&lt;keywords&gt;&lt;keyword&gt;Analyst forecasts&lt;/keyword&gt;&lt;keyword&gt;Information asymmetry&lt;/keyword&gt;&lt;/keywords&gt;&lt;dates&gt;&lt;year&gt;2016&lt;/year&gt;&lt;/dates&gt;&lt;work-type&gt;Article&lt;/work-type&gt;&lt;urls&gt;&lt;related-urls&gt;&lt;url&gt;https://www.scopus.com/inward/record.uri?eid=2-s2.0-84978393949&amp;amp;partnerID=40&amp;amp;md5=eac43e29f70acb47e34a7e4d7a3cb3ed&lt;/url&gt;&lt;url&gt;http://ac.els-cdn.com/S0165410116300362/1-s2.0-S0165410116300362-main.pdf?_tid=0022afe6-a217-11e6-a35d-00000aab0f6c&amp;amp;acdnat=1478213215_996066abd7b236baca57a542af342d96&lt;/url&gt;&lt;/related-urls&gt;&lt;/urls&gt;&lt;electronic-resource-num&gt;10.1016/j.jacceco.2016.06.001&lt;/electronic-resource-num&gt;&lt;remote-database-name&gt;Scopus&lt;/remote-database-name&gt;&lt;/record&gt;&lt;/Cite&gt;&lt;/EndNote&gt;</w:instrText>
      </w:r>
      <w:r w:rsidR="00276DFE">
        <w:rPr>
          <w:rFonts w:ascii="Calibri" w:eastAsia="Calibri" w:hAnsi="Calibri" w:cs="Calibri"/>
        </w:rPr>
        <w:fldChar w:fldCharType="separate"/>
      </w:r>
      <w:r w:rsidR="00276DFE">
        <w:rPr>
          <w:rFonts w:ascii="Calibri" w:eastAsia="Calibri" w:hAnsi="Calibri" w:cs="Calibri"/>
          <w:noProof/>
        </w:rPr>
        <w:t>(</w:t>
      </w:r>
      <w:hyperlink w:anchor="_ENREF_1" w:tooltip="Amiram, 2016 #2114" w:history="1">
        <w:r w:rsidR="006C57ED">
          <w:rPr>
            <w:rFonts w:ascii="Calibri" w:eastAsia="Calibri" w:hAnsi="Calibri" w:cs="Calibri"/>
            <w:noProof/>
          </w:rPr>
          <w:t>2016</w:t>
        </w:r>
      </w:hyperlink>
      <w:r w:rsidR="00276DFE">
        <w:rPr>
          <w:rFonts w:ascii="Calibri" w:eastAsia="Calibri" w:hAnsi="Calibri" w:cs="Calibri"/>
          <w:noProof/>
        </w:rPr>
        <w:t>)</w:t>
      </w:r>
      <w:r w:rsidR="00276DFE">
        <w:rPr>
          <w:rFonts w:ascii="Calibri" w:eastAsia="Calibri" w:hAnsi="Calibri" w:cs="Calibri"/>
        </w:rPr>
        <w:fldChar w:fldCharType="end"/>
      </w:r>
      <w:r w:rsidR="00276DFE">
        <w:rPr>
          <w:rFonts w:ascii="Calibri" w:eastAsia="Calibri" w:hAnsi="Calibri" w:cs="Calibri"/>
        </w:rPr>
        <w:t xml:space="preserve">, the following cross-sectional model tests the relationship between </w:t>
      </w:r>
      <w:r w:rsidR="00CA4C70">
        <w:rPr>
          <w:rFonts w:ascii="Calibri" w:eastAsia="Calibri" w:hAnsi="Calibri" w:cs="Calibri"/>
        </w:rPr>
        <w:t>information asymmetry</w:t>
      </w:r>
      <w:r w:rsidR="00276DFE">
        <w:rPr>
          <w:rFonts w:ascii="Calibri" w:eastAsia="Calibri" w:hAnsi="Calibri" w:cs="Calibri"/>
        </w:rPr>
        <w:t xml:space="preserve"> and investment transparency: </w:t>
      </w:r>
    </w:p>
    <w:p w14:paraId="21E43D5F" w14:textId="77777777" w:rsidR="00276DFE" w:rsidRDefault="00276DFE" w:rsidP="00276DFE">
      <w:pPr>
        <w:spacing w:line="360" w:lineRule="auto"/>
        <w:jc w:val="both"/>
        <w:rPr>
          <w:rFonts w:ascii="Calibri" w:eastAsia="Calibri" w:hAnsi="Calibri" w:cs="Calibri"/>
        </w:rPr>
      </w:pPr>
    </w:p>
    <w:p w14:paraId="14816A46" w14:textId="5BD18A0A" w:rsidR="00276DFE" w:rsidRDefault="00276DFE" w:rsidP="006A77ED">
      <w:pPr>
        <w:spacing w:line="360" w:lineRule="auto"/>
      </w:pPr>
      <w:r w:rsidRPr="005038E6">
        <w:rPr>
          <w:i/>
        </w:rPr>
        <w:t>BAS</w:t>
      </w:r>
      <w:r w:rsidRPr="005038E6">
        <w:rPr>
          <w:i/>
          <w:vertAlign w:val="subscript"/>
        </w:rPr>
        <w:t>i,d</w:t>
      </w:r>
      <w:r w:rsidRPr="005038E6">
        <w:rPr>
          <w:i/>
        </w:rPr>
        <w:t xml:space="preserve"> = B</w:t>
      </w:r>
      <w:r w:rsidRPr="005038E6">
        <w:rPr>
          <w:i/>
          <w:vertAlign w:val="subscript"/>
        </w:rPr>
        <w:t>0</w:t>
      </w:r>
      <w:r w:rsidRPr="005038E6">
        <w:rPr>
          <w:i/>
        </w:rPr>
        <w:t xml:space="preserve"> + B</w:t>
      </w:r>
      <w:r>
        <w:rPr>
          <w:i/>
          <w:vertAlign w:val="subscript"/>
        </w:rPr>
        <w:t>1</w:t>
      </w:r>
      <w:r w:rsidRPr="005038E6">
        <w:rPr>
          <w:i/>
        </w:rPr>
        <w:t>D</w:t>
      </w:r>
      <w:r>
        <w:rPr>
          <w:i/>
        </w:rPr>
        <w:t>Q</w:t>
      </w:r>
      <w:r>
        <w:rPr>
          <w:i/>
          <w:vertAlign w:val="subscript"/>
        </w:rPr>
        <w:t xml:space="preserve">j </w:t>
      </w:r>
      <w:r>
        <w:rPr>
          <w:i/>
        </w:rPr>
        <w:t xml:space="preserve">+ </w:t>
      </w:r>
      <w:r w:rsidRPr="005038E6">
        <w:rPr>
          <w:i/>
        </w:rPr>
        <w:t>B</w:t>
      </w:r>
      <w:r>
        <w:rPr>
          <w:i/>
          <w:vertAlign w:val="subscript"/>
        </w:rPr>
        <w:t>2</w:t>
      </w:r>
      <w:r w:rsidRPr="005038E6">
        <w:rPr>
          <w:i/>
        </w:rPr>
        <w:t>Volatility</w:t>
      </w:r>
      <w:r w:rsidRPr="005038E6">
        <w:rPr>
          <w:i/>
          <w:vertAlign w:val="subscript"/>
        </w:rPr>
        <w:t>i,</w:t>
      </w:r>
      <w:r w:rsidR="000B2798">
        <w:rPr>
          <w:i/>
          <w:vertAlign w:val="subscript"/>
        </w:rPr>
        <w:t>n</w:t>
      </w:r>
      <w:r w:rsidRPr="005038E6">
        <w:rPr>
          <w:i/>
        </w:rPr>
        <w:t xml:space="preserve"> </w:t>
      </w:r>
      <w:r>
        <w:rPr>
          <w:i/>
        </w:rPr>
        <w:t xml:space="preserve">+ </w:t>
      </w:r>
      <w:r w:rsidRPr="005038E6">
        <w:rPr>
          <w:i/>
        </w:rPr>
        <w:t>B</w:t>
      </w:r>
      <w:r>
        <w:rPr>
          <w:i/>
          <w:vertAlign w:val="subscript"/>
        </w:rPr>
        <w:t>3</w:t>
      </w:r>
      <w:r w:rsidRPr="005038E6">
        <w:rPr>
          <w:i/>
        </w:rPr>
        <w:t>Price</w:t>
      </w:r>
      <w:r w:rsidRPr="005038E6">
        <w:rPr>
          <w:i/>
          <w:vertAlign w:val="subscript"/>
        </w:rPr>
        <w:t>i,d</w:t>
      </w:r>
      <w:r w:rsidRPr="005038E6">
        <w:rPr>
          <w:i/>
        </w:rPr>
        <w:t xml:space="preserve"> + B</w:t>
      </w:r>
      <w:r w:rsidR="0002658F">
        <w:rPr>
          <w:i/>
          <w:vertAlign w:val="subscript"/>
        </w:rPr>
        <w:t>4</w:t>
      </w:r>
      <w:r w:rsidRPr="005038E6">
        <w:rPr>
          <w:i/>
        </w:rPr>
        <w:t>Size</w:t>
      </w:r>
      <w:r w:rsidRPr="005038E6">
        <w:rPr>
          <w:i/>
          <w:vertAlign w:val="subscript"/>
        </w:rPr>
        <w:t>i,</w:t>
      </w:r>
      <w:r w:rsidR="000B2798">
        <w:rPr>
          <w:i/>
          <w:vertAlign w:val="subscript"/>
        </w:rPr>
        <w:t>n</w:t>
      </w:r>
      <w:r w:rsidRPr="005038E6">
        <w:rPr>
          <w:i/>
        </w:rPr>
        <w:t xml:space="preserve"> + B</w:t>
      </w:r>
      <w:r w:rsidR="0002658F">
        <w:rPr>
          <w:i/>
          <w:vertAlign w:val="subscript"/>
        </w:rPr>
        <w:t>5</w:t>
      </w:r>
      <w:r w:rsidRPr="005038E6">
        <w:rPr>
          <w:i/>
        </w:rPr>
        <w:t>Turnover</w:t>
      </w:r>
      <w:r w:rsidRPr="005038E6">
        <w:rPr>
          <w:i/>
          <w:vertAlign w:val="subscript"/>
        </w:rPr>
        <w:t>i,</w:t>
      </w:r>
      <w:r w:rsidR="000B2798">
        <w:rPr>
          <w:i/>
          <w:vertAlign w:val="subscript"/>
        </w:rPr>
        <w:t>n</w:t>
      </w:r>
      <w:r w:rsidR="0002658F">
        <w:rPr>
          <w:i/>
          <w:vertAlign w:val="subscript"/>
        </w:rPr>
        <w:t xml:space="preserve"> </w:t>
      </w:r>
      <w:r w:rsidRPr="005038E6">
        <w:rPr>
          <w:i/>
        </w:rPr>
        <w:t>+ B</w:t>
      </w:r>
      <w:r w:rsidR="0002658F">
        <w:rPr>
          <w:i/>
          <w:vertAlign w:val="subscript"/>
        </w:rPr>
        <w:t>6</w:t>
      </w:r>
      <w:r w:rsidRPr="005038E6">
        <w:rPr>
          <w:i/>
        </w:rPr>
        <w:t>Volume</w:t>
      </w:r>
      <w:r w:rsidRPr="005038E6">
        <w:rPr>
          <w:i/>
          <w:vertAlign w:val="subscript"/>
        </w:rPr>
        <w:t>i,d</w:t>
      </w:r>
      <w:r w:rsidRPr="005038E6">
        <w:rPr>
          <w:i/>
        </w:rPr>
        <w:t xml:space="preserve"> </w:t>
      </w:r>
      <w:r>
        <w:rPr>
          <w:i/>
        </w:rPr>
        <w:t xml:space="preserve">+ </w:t>
      </w:r>
      <w:r>
        <w:rPr>
          <w:rFonts w:cstheme="minorHAnsi"/>
          <w:i/>
        </w:rPr>
        <w:t>Ɛ</w:t>
      </w:r>
      <w:r>
        <w:rPr>
          <w:i/>
          <w:vertAlign w:val="subscript"/>
        </w:rPr>
        <w:t>i,d</w:t>
      </w:r>
      <w:r>
        <w:t>,</w:t>
      </w:r>
      <w:r>
        <w:tab/>
      </w:r>
      <w:r w:rsidR="00E77F5A">
        <w:tab/>
      </w:r>
      <w:r>
        <w:t>(</w:t>
      </w:r>
      <w:r w:rsidR="00E77F5A">
        <w:t>3</w:t>
      </w:r>
      <w:r>
        <w:t>)</w:t>
      </w:r>
    </w:p>
    <w:p w14:paraId="43D6BCA5" w14:textId="77777777" w:rsidR="00276DFE" w:rsidRDefault="00276DFE" w:rsidP="00276DFE">
      <w:pPr>
        <w:tabs>
          <w:tab w:val="left" w:pos="709"/>
        </w:tabs>
        <w:jc w:val="both"/>
      </w:pPr>
    </w:p>
    <w:p w14:paraId="671CB47D" w14:textId="6A298E56" w:rsidR="00276DFE" w:rsidRPr="00682A5E" w:rsidRDefault="00276DFE" w:rsidP="00276DFE">
      <w:pPr>
        <w:tabs>
          <w:tab w:val="left" w:pos="709"/>
        </w:tabs>
        <w:spacing w:line="360" w:lineRule="auto"/>
        <w:jc w:val="both"/>
      </w:pPr>
      <w:r w:rsidRPr="002F5400">
        <w:t xml:space="preserve">where the variable subscripts represent firm </w:t>
      </w:r>
      <w:r w:rsidRPr="002F5400">
        <w:rPr>
          <w:i/>
        </w:rPr>
        <w:t>i</w:t>
      </w:r>
      <w:r w:rsidRPr="002F5400">
        <w:t xml:space="preserve">, day </w:t>
      </w:r>
      <w:r w:rsidRPr="002F5400">
        <w:rPr>
          <w:i/>
        </w:rPr>
        <w:t>d</w:t>
      </w:r>
      <w:r w:rsidRPr="002F5400">
        <w:t xml:space="preserve">, and project </w:t>
      </w:r>
      <w:r w:rsidRPr="002F5400">
        <w:rPr>
          <w:i/>
        </w:rPr>
        <w:t xml:space="preserve">j, </w:t>
      </w:r>
      <w:r w:rsidRPr="002F5400">
        <w:t xml:space="preserve">while </w:t>
      </w:r>
      <w:r w:rsidR="000B2798" w:rsidRPr="003D6E55">
        <w:rPr>
          <w:i/>
        </w:rPr>
        <w:t>n</w:t>
      </w:r>
      <w:r w:rsidRPr="003D6E55">
        <w:t xml:space="preserve"> represents the 100 day period ending 21 days before the announcement.</w:t>
      </w:r>
      <w:r w:rsidRPr="002F5400">
        <w:t xml:space="preserve"> </w:t>
      </w:r>
      <w:r w:rsidR="0002658F" w:rsidRPr="002F5400">
        <w:t xml:space="preserve">The dependent variable </w:t>
      </w:r>
      <w:r w:rsidR="0002658F" w:rsidRPr="002F5400">
        <w:rPr>
          <w:i/>
        </w:rPr>
        <w:t>BAS</w:t>
      </w:r>
      <w:r w:rsidR="0002658F" w:rsidRPr="002F5400">
        <w:t xml:space="preserve"> is initially defined as the closing percentage quoted bid-ask spread for firm </w:t>
      </w:r>
      <w:r w:rsidR="0002658F" w:rsidRPr="002F5400">
        <w:rPr>
          <w:i/>
        </w:rPr>
        <w:t>i</w:t>
      </w:r>
      <w:r w:rsidR="0002658F" w:rsidRPr="002F5400">
        <w:t xml:space="preserve"> on trading day </w:t>
      </w:r>
      <w:r w:rsidR="0002658F" w:rsidRPr="002F5400">
        <w:rPr>
          <w:i/>
        </w:rPr>
        <w:t xml:space="preserve">d </w:t>
      </w:r>
      <w:r w:rsidR="0002658F" w:rsidRPr="002F5400">
        <w:rPr>
          <w:rFonts w:ascii="Calibri" w:eastAsia="Calibri" w:hAnsi="Calibri" w:cs="Calibri"/>
        </w:rPr>
        <w:t>for event days [+1,+20] following the announcement</w:t>
      </w:r>
      <w:r w:rsidR="0002658F" w:rsidRPr="002F5400">
        <w:rPr>
          <w:i/>
        </w:rPr>
        <w:t xml:space="preserve">. </w:t>
      </w:r>
      <w:r w:rsidR="0002658F" w:rsidRPr="002F5400">
        <w:t xml:space="preserve">If greater </w:t>
      </w:r>
      <w:r w:rsidR="002A64B7" w:rsidRPr="002F5400">
        <w:t>transparency</w:t>
      </w:r>
      <w:r w:rsidR="0002658F" w:rsidRPr="002F5400">
        <w:t xml:space="preserve"> reduces information asymmetry, then the coefficient on </w:t>
      </w:r>
      <w:r w:rsidR="0002658F" w:rsidRPr="002F5400">
        <w:rPr>
          <w:i/>
        </w:rPr>
        <w:t>DQ</w:t>
      </w:r>
      <w:r w:rsidR="0002658F" w:rsidRPr="002F5400">
        <w:t xml:space="preserve"> should be negative. </w:t>
      </w:r>
      <w:r w:rsidRPr="002F5400">
        <w:t xml:space="preserve">Following Amiram et al., </w:t>
      </w:r>
      <w:r w:rsidRPr="0092309D">
        <w:fldChar w:fldCharType="begin"/>
      </w:r>
      <w:r w:rsidRPr="002F5400">
        <w:instrText xml:space="preserve"> ADDIN EN.CITE &lt;EndNote&gt;&lt;Cite ExcludeAuth="1"&gt;&lt;Author&gt;Amiram&lt;/Author&gt;&lt;Year&gt;2016&lt;/Year&gt;&lt;RecNum&gt;2114&lt;/RecNum&gt;&lt;DisplayText&gt;(2016)&lt;/DisplayText&gt;&lt;record&gt;&lt;rec-number&gt;2114&lt;/rec-number&gt;&lt;foreign-keys&gt;&lt;key app="EN" db-id="20p2wrv0m2av96e55d1pzxv2zxx5pvw55d55" timestamp="1478213009"&gt;2114&lt;/key&gt;&lt;/foreign-keys&gt;&lt;ref-type name="Journal Article"&gt;17&lt;/ref-type&gt;&lt;contributors&gt;&lt;authors&gt;&lt;author&gt;Amiram, D.&lt;/author&gt;&lt;author&gt;Owens, E.&lt;/author&gt;&lt;author&gt;Rozenbaum, O.&lt;/author&gt;&lt;/authors&gt;&lt;/contributors&gt;&lt;auth-address&gt;Columbia University Graduate School of Business, 3022 Broadway, New York, NY, United States&amp;#xD;Goizueta Business School, Emory University, 1300 Clifton Rd, Atlanta, GA, United States&amp;#xD;The George Washington University, 2121 I St. NW, Washington, DC, United States&lt;/auth-address&gt;&lt;titles&gt;&lt;title&gt;Do information releases increase or decrease information asymmetry? New evidence from analyst forecast announcements&lt;/title&gt;&lt;secondary-title&gt;Journal of Accounting and Economics&lt;/secondary-title&gt;&lt;/titles&gt;&lt;periodical&gt;&lt;full-title&gt;Journal of Accounting and Economics&lt;/full-title&gt;&lt;/periodical&gt;&lt;pages&gt;121-138&lt;/pages&gt;&lt;volume&gt;62&lt;/volume&gt;&lt;number&gt;1&lt;/number&gt;&lt;keywords&gt;&lt;keyword&gt;Analyst forecasts&lt;/keyword&gt;&lt;keyword&gt;Information asymmetry&lt;/keyword&gt;&lt;/keywords&gt;&lt;dates&gt;&lt;year&gt;2016&lt;/year&gt;&lt;/dates&gt;&lt;work-type&gt;Article&lt;/work-type&gt;&lt;urls&gt;&lt;related-urls&gt;&lt;url&gt;https://www.scopus.com/inward/record.uri?eid=2-s2.0-84978393949&amp;amp;partnerID=40&amp;amp;md5=eac43e29f70acb47e34a7e4d7a3cb3ed&lt;/url&gt;&lt;url&gt;http://ac.els-cdn.com/S0165410116300362/1-s2.0-S0165410116300362-main.pdf?_tid=0022afe6-a217-11e6-a35d-00000aab0f6c&amp;amp;acdnat=1478213215_996066abd7b236baca57a542af342d96&lt;/url&gt;&lt;/related-urls&gt;&lt;/urls&gt;&lt;electronic-resource-num&gt;10.1016/j.jacceco.2016.06.001&lt;/electronic-resource-num&gt;&lt;remote-database-name&gt;Scopus&lt;/remote-database-name&gt;&lt;/record&gt;&lt;/Cite&gt;&lt;/EndNote&gt;</w:instrText>
      </w:r>
      <w:r w:rsidRPr="0092309D">
        <w:fldChar w:fldCharType="separate"/>
      </w:r>
      <w:r w:rsidRPr="002F5400">
        <w:rPr>
          <w:noProof/>
        </w:rPr>
        <w:t>(</w:t>
      </w:r>
      <w:hyperlink w:anchor="_ENREF_1" w:tooltip="Amiram, 2016 #2114" w:history="1">
        <w:r w:rsidR="006C57ED" w:rsidRPr="002F5400">
          <w:rPr>
            <w:noProof/>
          </w:rPr>
          <w:t>2016</w:t>
        </w:r>
      </w:hyperlink>
      <w:r w:rsidRPr="002F5400">
        <w:rPr>
          <w:noProof/>
        </w:rPr>
        <w:t>)</w:t>
      </w:r>
      <w:r w:rsidRPr="0092309D">
        <w:fldChar w:fldCharType="end"/>
      </w:r>
      <w:r w:rsidRPr="002F5400">
        <w:t xml:space="preserve">, the control variables </w:t>
      </w:r>
      <w:r w:rsidRPr="002F5400">
        <w:rPr>
          <w:i/>
        </w:rPr>
        <w:t>Volatility, Price, Size, Turnover</w:t>
      </w:r>
      <w:r w:rsidRPr="002F5400">
        <w:t xml:space="preserve"> and </w:t>
      </w:r>
      <w:r w:rsidRPr="002F5400">
        <w:rPr>
          <w:i/>
        </w:rPr>
        <w:t xml:space="preserve">Volume </w:t>
      </w:r>
      <w:r w:rsidRPr="002F5400">
        <w:t xml:space="preserve">reflect order processing and inventory carrying costs that may impact bid-ask spreads. </w:t>
      </w:r>
      <w:r w:rsidRPr="002F5400">
        <w:rPr>
          <w:i/>
        </w:rPr>
        <w:t>Volatility</w:t>
      </w:r>
      <w:r w:rsidR="000B2798">
        <w:rPr>
          <w:i/>
        </w:rPr>
        <w:t xml:space="preserve">, Size and Turnover </w:t>
      </w:r>
      <w:r w:rsidR="000B2798">
        <w:t>are</w:t>
      </w:r>
      <w:r w:rsidRPr="002F5400">
        <w:t xml:space="preserve"> </w:t>
      </w:r>
      <w:r w:rsidR="006210FD">
        <w:t xml:space="preserve">as </w:t>
      </w:r>
      <w:r w:rsidR="000B2798">
        <w:t xml:space="preserve">defined </w:t>
      </w:r>
      <w:r w:rsidR="006210FD">
        <w:t>earlier</w:t>
      </w:r>
      <w:r w:rsidR="000B2798">
        <w:t xml:space="preserve">. </w:t>
      </w:r>
      <w:r w:rsidRPr="002F5400">
        <w:t xml:space="preserve">High return volatility can be indicative of greater information asymmetry between investors </w:t>
      </w:r>
      <w:r w:rsidRPr="0092309D">
        <w:fldChar w:fldCharType="begin"/>
      </w:r>
      <w:r w:rsidRPr="002F5400">
        <w:instrText xml:space="preserve"> ADDIN EN.CITE &lt;EndNote&gt;&lt;Cite&gt;&lt;Author&gt;Guo&lt;/Author&gt;&lt;Year&gt;2004&lt;/Year&gt;&lt;RecNum&gt;474&lt;/RecNum&gt;&lt;DisplayText&gt;(Guo et al., 2004)&lt;/DisplayText&gt;&lt;record&gt;&lt;rec-number&gt;474&lt;/rec-number&gt;&lt;foreign-keys&gt;&lt;key app="EN" db-id="20p2wrv0m2av96e55d1pzxv2zxx5pvw55d55" timestamp="0"&gt;474&lt;/key&gt;&lt;/foreign-keys&gt;&lt;ref-type name="Journal Article"&gt;17&lt;/ref-type&gt;&lt;contributors&gt;&lt;authors&gt;&lt;author&gt;Guo, Re-Jin&lt;/author&gt;&lt;author&gt;Lev, Baruch&lt;/author&gt;&lt;author&gt;Zhou, Nan&lt;/author&gt;&lt;/authors&gt;&lt;/contributors&gt;&lt;titles&gt;&lt;title&gt;Competitive costs of disclosure by Biotech IPOs.&lt;/title&gt;&lt;secondary-title&gt;Journal of Accounting Research&lt;/secondary-title&gt;&lt;/titles&gt;&lt;periodical&gt;&lt;full-title&gt;Journal of Accounting Research&lt;/full-title&gt;&lt;/periodical&gt;&lt;pages&gt;319-355&lt;/pages&gt;&lt;volume&gt;42&lt;/volume&gt;&lt;number&gt;2&lt;/number&gt;&lt;keywords&gt;&lt;keyword&gt;BIOTECHNOLOGY industries&lt;/keyword&gt;&lt;keyword&gt;CORPORATIONS -- Finance&lt;/keyword&gt;&lt;keyword&gt;DISCLOSURE of information&lt;/keyword&gt;&lt;keyword&gt;FINANCIAL disclosure&lt;/keyword&gt;&lt;keyword&gt;GOING public (Securities)&lt;/keyword&gt;&lt;keyword&gt;UNITED States&lt;/keyword&gt;&lt;/keywords&gt;&lt;dates&gt;&lt;year&gt;2004&lt;/year&gt;&lt;pub-dates&gt;&lt;date&gt;2004/05//&lt;/date&gt;&lt;/pub-dates&gt;&lt;/dates&gt;&lt;publisher&gt;Blackwell Publishing Limited&lt;/publisher&gt;&lt;isbn&gt;00218456&lt;/isbn&gt;&lt;work-type&gt;Article&lt;/work-type&gt;&lt;urls&gt;&lt;related-urls&gt;&lt;url&gt;http://ezproxy.massey.ac.nz/login?url=http://search.ebscohost.com/login.aspx?direct=true&amp;amp;AuthType=ip,cookie,url,uid&amp;amp;db=buh&amp;amp;AN=12831556&amp;amp;site=ehost-live&lt;/url&gt;&lt;/related-urls&gt;&lt;/urls&gt;&lt;/record&gt;&lt;/Cite&gt;&lt;/EndNote&gt;</w:instrText>
      </w:r>
      <w:r w:rsidRPr="0092309D">
        <w:fldChar w:fldCharType="separate"/>
      </w:r>
      <w:r w:rsidRPr="002F5400">
        <w:rPr>
          <w:noProof/>
        </w:rPr>
        <w:t>(</w:t>
      </w:r>
      <w:hyperlink w:anchor="_ENREF_25" w:tooltip="Guo, 2004 #474" w:history="1">
        <w:r w:rsidR="006C57ED" w:rsidRPr="002F5400">
          <w:rPr>
            <w:noProof/>
          </w:rPr>
          <w:t>Guo et al., 2004</w:t>
        </w:r>
      </w:hyperlink>
      <w:r w:rsidRPr="002F5400">
        <w:rPr>
          <w:noProof/>
        </w:rPr>
        <w:t>)</w:t>
      </w:r>
      <w:r w:rsidRPr="0092309D">
        <w:fldChar w:fldCharType="end"/>
      </w:r>
      <w:r w:rsidRPr="002F5400">
        <w:t xml:space="preserve">, so the coefficient for </w:t>
      </w:r>
      <w:r w:rsidRPr="002F5400">
        <w:rPr>
          <w:i/>
        </w:rPr>
        <w:t>Volatility</w:t>
      </w:r>
      <w:r w:rsidRPr="002F5400">
        <w:t xml:space="preserve"> is expected to be positive.</w:t>
      </w:r>
      <w:r w:rsidRPr="002F5400">
        <w:rPr>
          <w:i/>
        </w:rPr>
        <w:t xml:space="preserve"> </w:t>
      </w:r>
      <w:r w:rsidRPr="003D6E55">
        <w:rPr>
          <w:i/>
        </w:rPr>
        <w:t>Price</w:t>
      </w:r>
      <w:r w:rsidRPr="003D6E55">
        <w:t xml:space="preserve"> </w:t>
      </w:r>
      <w:r w:rsidR="000B2798">
        <w:t>and</w:t>
      </w:r>
      <w:r w:rsidRPr="003D6E55">
        <w:t xml:space="preserve"> </w:t>
      </w:r>
      <w:r w:rsidRPr="003D6E55">
        <w:rPr>
          <w:i/>
        </w:rPr>
        <w:t>Volume</w:t>
      </w:r>
      <w:r w:rsidRPr="003D6E55">
        <w:t xml:space="preserve"> </w:t>
      </w:r>
      <w:r w:rsidR="000B2798">
        <w:t xml:space="preserve">are as previously defined, but are measured daily over the post-event period. </w:t>
      </w:r>
      <w:r>
        <w:t xml:space="preserve">  </w:t>
      </w:r>
    </w:p>
    <w:p w14:paraId="53451413" w14:textId="77777777" w:rsidR="00276DFE" w:rsidRDefault="00276DFE" w:rsidP="00276DFE">
      <w:pPr>
        <w:tabs>
          <w:tab w:val="left" w:pos="709"/>
        </w:tabs>
        <w:spacing w:line="360" w:lineRule="auto"/>
        <w:jc w:val="both"/>
      </w:pPr>
    </w:p>
    <w:p w14:paraId="5B717354" w14:textId="16F5B3BC" w:rsidR="00061053" w:rsidRDefault="00096D24" w:rsidP="00276DFE">
      <w:pPr>
        <w:tabs>
          <w:tab w:val="left" w:pos="709"/>
        </w:tabs>
        <w:spacing w:line="360" w:lineRule="auto"/>
        <w:jc w:val="both"/>
        <w:rPr>
          <w:rFonts w:ascii="Calibri" w:eastAsia="Times New Roman" w:hAnsi="Calibri" w:cs="Calibri"/>
          <w:color w:val="000000"/>
          <w:lang w:eastAsia="en-NZ"/>
        </w:rPr>
      </w:pPr>
      <w:r>
        <w:t xml:space="preserve">Model 1 in </w:t>
      </w:r>
      <w:r w:rsidRPr="006A77ED">
        <w:t>Table 10</w:t>
      </w:r>
      <w:r>
        <w:t xml:space="preserve"> presents the results</w:t>
      </w:r>
      <w:r w:rsidR="008A4EF0">
        <w:t xml:space="preserve"> for the first test </w:t>
      </w:r>
      <w:r w:rsidR="00C92A33">
        <w:t>of</w:t>
      </w:r>
      <w:r w:rsidR="008A4EF0">
        <w:t xml:space="preserve"> </w:t>
      </w:r>
      <w:r w:rsidR="00C27E34">
        <w:t>e</w:t>
      </w:r>
      <w:r w:rsidR="008A4EF0">
        <w:t xml:space="preserve">quation 3. </w:t>
      </w:r>
      <w:r w:rsidR="00061053">
        <w:t xml:space="preserve">For </w:t>
      </w:r>
      <w:r w:rsidR="008A4EF0">
        <w:rPr>
          <w:rFonts w:ascii="Calibri" w:eastAsia="Times New Roman" w:hAnsi="Calibri" w:cs="Calibri"/>
          <w:color w:val="000000"/>
          <w:lang w:eastAsia="en-NZ"/>
        </w:rPr>
        <w:t xml:space="preserve">the full sample in the period after the announcements, lower transparency </w:t>
      </w:r>
      <w:r w:rsidR="000B0BB5" w:rsidRPr="003D6E55">
        <w:rPr>
          <w:rFonts w:ascii="Calibri" w:eastAsia="Times New Roman" w:hAnsi="Calibri" w:cs="Calibri"/>
          <w:i/>
          <w:color w:val="000000"/>
          <w:lang w:eastAsia="en-NZ"/>
        </w:rPr>
        <w:t>(DQ)</w:t>
      </w:r>
      <w:r w:rsidR="000B0BB5">
        <w:rPr>
          <w:rFonts w:ascii="Calibri" w:eastAsia="Times New Roman" w:hAnsi="Calibri" w:cs="Calibri"/>
          <w:color w:val="000000"/>
          <w:lang w:eastAsia="en-NZ"/>
        </w:rPr>
        <w:t xml:space="preserve"> </w:t>
      </w:r>
      <w:r w:rsidR="008A4EF0">
        <w:rPr>
          <w:rFonts w:ascii="Calibri" w:eastAsia="Times New Roman" w:hAnsi="Calibri" w:cs="Calibri"/>
          <w:color w:val="000000"/>
          <w:lang w:eastAsia="en-NZ"/>
        </w:rPr>
        <w:t>is associated with greater information asymmetry. However, t</w:t>
      </w:r>
      <w:r w:rsidR="00C05185">
        <w:rPr>
          <w:rFonts w:ascii="Calibri" w:eastAsia="Times New Roman" w:hAnsi="Calibri" w:cs="Calibri"/>
          <w:color w:val="000000"/>
          <w:lang w:eastAsia="en-NZ"/>
        </w:rPr>
        <w:t xml:space="preserve">he results </w:t>
      </w:r>
      <w:r w:rsidR="008A4EF0">
        <w:rPr>
          <w:rFonts w:ascii="Calibri" w:eastAsia="Times New Roman" w:hAnsi="Calibri" w:cs="Calibri"/>
          <w:color w:val="000000"/>
          <w:lang w:eastAsia="en-NZ"/>
        </w:rPr>
        <w:t xml:space="preserve">from Table 9 </w:t>
      </w:r>
      <w:r w:rsidR="00A40CBA">
        <w:rPr>
          <w:rFonts w:ascii="Calibri" w:eastAsia="Times New Roman" w:hAnsi="Calibri" w:cs="Calibri"/>
          <w:color w:val="000000"/>
          <w:lang w:eastAsia="en-NZ"/>
        </w:rPr>
        <w:t>suggest</w:t>
      </w:r>
      <w:r w:rsidR="00C92A33">
        <w:rPr>
          <w:rFonts w:ascii="Calibri" w:eastAsia="Times New Roman" w:hAnsi="Calibri" w:cs="Calibri"/>
          <w:color w:val="000000"/>
          <w:lang w:eastAsia="en-NZ"/>
        </w:rPr>
        <w:t>ed</w:t>
      </w:r>
      <w:r w:rsidR="00A40CBA">
        <w:rPr>
          <w:rFonts w:ascii="Calibri" w:eastAsia="Times New Roman" w:hAnsi="Calibri" w:cs="Calibri"/>
          <w:color w:val="000000"/>
          <w:lang w:eastAsia="en-NZ"/>
        </w:rPr>
        <w:t xml:space="preserve"> </w:t>
      </w:r>
      <w:r w:rsidR="00C05185">
        <w:rPr>
          <w:rFonts w:ascii="Calibri" w:eastAsia="Times New Roman" w:hAnsi="Calibri" w:cs="Calibri"/>
          <w:color w:val="000000"/>
          <w:lang w:eastAsia="en-NZ"/>
        </w:rPr>
        <w:t xml:space="preserve">that </w:t>
      </w:r>
      <w:r w:rsidR="00A40CBA">
        <w:rPr>
          <w:rFonts w:ascii="Calibri" w:eastAsia="Times New Roman" w:hAnsi="Calibri" w:cs="Calibri"/>
          <w:color w:val="000000"/>
          <w:lang w:eastAsia="en-NZ"/>
        </w:rPr>
        <w:t>firms suffering greater information asymmetry are pre-disposed to l</w:t>
      </w:r>
      <w:r w:rsidR="00E77F5A">
        <w:rPr>
          <w:rFonts w:ascii="Calibri" w:eastAsia="Times New Roman" w:hAnsi="Calibri" w:cs="Calibri"/>
          <w:color w:val="000000"/>
          <w:lang w:eastAsia="en-NZ"/>
        </w:rPr>
        <w:t>ess</w:t>
      </w:r>
      <w:r w:rsidR="00A40CBA">
        <w:rPr>
          <w:rFonts w:ascii="Calibri" w:eastAsia="Times New Roman" w:hAnsi="Calibri" w:cs="Calibri"/>
          <w:color w:val="000000"/>
          <w:lang w:eastAsia="en-NZ"/>
        </w:rPr>
        <w:t xml:space="preserve"> transparency in their </w:t>
      </w:r>
      <w:r w:rsidR="00E77F5A">
        <w:rPr>
          <w:rFonts w:ascii="Calibri" w:eastAsia="Times New Roman" w:hAnsi="Calibri" w:cs="Calibri"/>
          <w:color w:val="000000"/>
          <w:lang w:eastAsia="en-NZ"/>
        </w:rPr>
        <w:t xml:space="preserve">investment announcements. So the next question to answer is whether </w:t>
      </w:r>
      <w:r w:rsidR="00276DFE">
        <w:rPr>
          <w:rFonts w:ascii="Calibri" w:eastAsia="Times New Roman" w:hAnsi="Calibri" w:cs="Calibri"/>
          <w:color w:val="000000"/>
          <w:lang w:eastAsia="en-NZ"/>
        </w:rPr>
        <w:t>the level of investment transparency associated with a project announcement reduces firm-level information asymmetry</w:t>
      </w:r>
      <w:r w:rsidR="0028599A">
        <w:rPr>
          <w:rFonts w:ascii="Calibri" w:eastAsia="Times New Roman" w:hAnsi="Calibri" w:cs="Calibri"/>
          <w:color w:val="000000"/>
          <w:lang w:eastAsia="en-NZ"/>
        </w:rPr>
        <w:t xml:space="preserve"> relative to the period before the announcement</w:t>
      </w:r>
      <w:r w:rsidR="00276DFE">
        <w:rPr>
          <w:rFonts w:ascii="Calibri" w:eastAsia="Times New Roman" w:hAnsi="Calibri" w:cs="Calibri"/>
          <w:color w:val="000000"/>
          <w:lang w:eastAsia="en-NZ"/>
        </w:rPr>
        <w:t xml:space="preserve">. </w:t>
      </w:r>
    </w:p>
    <w:p w14:paraId="095CD040" w14:textId="77777777" w:rsidR="00061053" w:rsidRDefault="00061053" w:rsidP="00276DFE">
      <w:pPr>
        <w:tabs>
          <w:tab w:val="left" w:pos="709"/>
        </w:tabs>
        <w:spacing w:line="360" w:lineRule="auto"/>
        <w:jc w:val="both"/>
        <w:rPr>
          <w:rFonts w:ascii="Calibri" w:eastAsia="Times New Roman" w:hAnsi="Calibri" w:cs="Calibri"/>
          <w:color w:val="000000"/>
          <w:lang w:eastAsia="en-NZ"/>
        </w:rPr>
      </w:pPr>
    </w:p>
    <w:p w14:paraId="0C0F9171" w14:textId="024AF5D3" w:rsidR="0084538E" w:rsidRDefault="00276DFE" w:rsidP="00276DFE">
      <w:pPr>
        <w:tabs>
          <w:tab w:val="left" w:pos="709"/>
        </w:tabs>
        <w:spacing w:line="360" w:lineRule="auto"/>
        <w:jc w:val="both"/>
        <w:rPr>
          <w:rFonts w:ascii="Calibri" w:eastAsia="Times New Roman" w:hAnsi="Calibri" w:cs="Calibri"/>
          <w:color w:val="000000"/>
          <w:lang w:eastAsia="en-NZ"/>
        </w:rPr>
      </w:pPr>
      <w:r>
        <w:rPr>
          <w:rFonts w:ascii="Calibri" w:eastAsia="Times New Roman" w:hAnsi="Calibri" w:cs="Calibri"/>
          <w:color w:val="000000"/>
          <w:lang w:eastAsia="en-NZ"/>
        </w:rPr>
        <w:t>To test this, the variable</w:t>
      </w:r>
      <w:r w:rsidR="00F20F7A">
        <w:rPr>
          <w:rFonts w:ascii="Calibri" w:eastAsia="Times New Roman" w:hAnsi="Calibri" w:cs="Calibri"/>
          <w:color w:val="000000"/>
          <w:lang w:eastAsia="en-NZ"/>
        </w:rPr>
        <w:t>s</w:t>
      </w:r>
      <w:r>
        <w:rPr>
          <w:rFonts w:ascii="Calibri" w:eastAsia="Times New Roman" w:hAnsi="Calibri" w:cs="Calibri"/>
          <w:color w:val="000000"/>
          <w:lang w:eastAsia="en-NZ"/>
        </w:rPr>
        <w:t xml:space="preserve"> </w:t>
      </w:r>
      <w:r w:rsidRPr="002C505E">
        <w:rPr>
          <w:i/>
        </w:rPr>
        <w:t>BAS</w:t>
      </w:r>
      <w:r w:rsidR="00E113CC">
        <w:rPr>
          <w:i/>
        </w:rPr>
        <w:t xml:space="preserve">, Price </w:t>
      </w:r>
      <w:r w:rsidR="00E113CC">
        <w:t xml:space="preserve">and </w:t>
      </w:r>
      <w:r w:rsidR="00E113CC" w:rsidRPr="006A77ED">
        <w:rPr>
          <w:i/>
        </w:rPr>
        <w:t>Volume</w:t>
      </w:r>
      <w:r w:rsidR="00F20F7A">
        <w:rPr>
          <w:i/>
        </w:rPr>
        <w:t xml:space="preserve"> </w:t>
      </w:r>
      <w:r>
        <w:rPr>
          <w:rFonts w:ascii="Calibri" w:eastAsia="Times New Roman" w:hAnsi="Calibri" w:cs="Calibri"/>
          <w:color w:val="000000"/>
          <w:lang w:eastAsia="en-NZ"/>
        </w:rPr>
        <w:t xml:space="preserve">in equation </w:t>
      </w:r>
      <w:r w:rsidR="00E77F5A">
        <w:rPr>
          <w:rFonts w:ascii="Calibri" w:eastAsia="Times New Roman" w:hAnsi="Calibri" w:cs="Calibri"/>
          <w:color w:val="000000"/>
          <w:lang w:eastAsia="en-NZ"/>
        </w:rPr>
        <w:t>3</w:t>
      </w:r>
      <w:r>
        <w:rPr>
          <w:rFonts w:ascii="Calibri" w:eastAsia="Times New Roman" w:hAnsi="Calibri" w:cs="Calibri"/>
          <w:color w:val="000000"/>
          <w:lang w:eastAsia="en-NZ"/>
        </w:rPr>
        <w:t xml:space="preserve"> </w:t>
      </w:r>
      <w:r w:rsidR="00F20F7A">
        <w:rPr>
          <w:rFonts w:ascii="Calibri" w:eastAsia="Times New Roman" w:hAnsi="Calibri" w:cs="Calibri"/>
          <w:color w:val="000000"/>
          <w:lang w:eastAsia="en-NZ"/>
        </w:rPr>
        <w:t>are</w:t>
      </w:r>
      <w:r>
        <w:rPr>
          <w:rFonts w:ascii="Calibri" w:eastAsia="Times New Roman" w:hAnsi="Calibri" w:cs="Calibri"/>
          <w:color w:val="000000"/>
          <w:lang w:eastAsia="en-NZ"/>
        </w:rPr>
        <w:t xml:space="preserve"> redefined </w:t>
      </w:r>
      <w:r w:rsidR="00493043">
        <w:rPr>
          <w:rFonts w:ascii="Calibri" w:eastAsia="Times New Roman" w:hAnsi="Calibri" w:cs="Calibri"/>
          <w:color w:val="000000"/>
          <w:lang w:eastAsia="en-NZ"/>
        </w:rPr>
        <w:t xml:space="preserve">in models 2 to 7 </w:t>
      </w:r>
      <w:r w:rsidR="00C27E34">
        <w:rPr>
          <w:rFonts w:ascii="Calibri" w:eastAsia="Times New Roman" w:hAnsi="Calibri" w:cs="Calibri"/>
          <w:color w:val="000000"/>
          <w:lang w:eastAsia="en-NZ"/>
        </w:rPr>
        <w:t xml:space="preserve">of Table 10 </w:t>
      </w:r>
      <w:r>
        <w:rPr>
          <w:rFonts w:ascii="Calibri" w:eastAsia="Times New Roman" w:hAnsi="Calibri" w:cs="Calibri"/>
          <w:color w:val="000000"/>
          <w:lang w:eastAsia="en-NZ"/>
        </w:rPr>
        <w:t xml:space="preserve">to include daily measures for the entire pre- and post-announcement period [-20,+20], and a dummy variable, </w:t>
      </w:r>
      <w:r>
        <w:rPr>
          <w:rFonts w:ascii="Calibri" w:eastAsia="Times New Roman" w:hAnsi="Calibri" w:cs="Calibri"/>
          <w:i/>
          <w:color w:val="000000"/>
          <w:lang w:eastAsia="en-NZ"/>
        </w:rPr>
        <w:t>A</w:t>
      </w:r>
      <w:r w:rsidRPr="00624D91">
        <w:rPr>
          <w:rFonts w:ascii="Calibri" w:eastAsia="Times New Roman" w:hAnsi="Calibri" w:cs="Calibri"/>
          <w:i/>
          <w:color w:val="000000"/>
          <w:lang w:eastAsia="en-NZ"/>
        </w:rPr>
        <w:t>fter</w:t>
      </w:r>
      <w:r>
        <w:rPr>
          <w:rFonts w:ascii="Calibri" w:eastAsia="Times New Roman" w:hAnsi="Calibri" w:cs="Calibri"/>
          <w:color w:val="000000"/>
          <w:lang w:eastAsia="en-NZ"/>
        </w:rPr>
        <w:t xml:space="preserve"> is added to </w:t>
      </w:r>
      <w:r w:rsidR="001A2DA0">
        <w:rPr>
          <w:rFonts w:ascii="Calibri" w:eastAsia="Times New Roman" w:hAnsi="Calibri" w:cs="Calibri"/>
          <w:color w:val="000000"/>
          <w:lang w:eastAsia="en-NZ"/>
        </w:rPr>
        <w:t>equation 3</w:t>
      </w:r>
      <w:r>
        <w:rPr>
          <w:rFonts w:ascii="Calibri" w:eastAsia="Times New Roman" w:hAnsi="Calibri" w:cs="Calibri"/>
          <w:color w:val="000000"/>
          <w:lang w:eastAsia="en-NZ"/>
        </w:rPr>
        <w:t xml:space="preserve"> to test whether information asymmetry</w:t>
      </w:r>
      <w:r w:rsidR="00E113CC">
        <w:rPr>
          <w:rFonts w:ascii="Calibri" w:eastAsia="Times New Roman" w:hAnsi="Calibri" w:cs="Calibri"/>
          <w:color w:val="000000"/>
          <w:lang w:eastAsia="en-NZ"/>
        </w:rPr>
        <w:t xml:space="preserve"> is reduced after project announcements</w:t>
      </w:r>
      <w:r>
        <w:rPr>
          <w:rFonts w:ascii="Calibri" w:eastAsia="Times New Roman" w:hAnsi="Calibri" w:cs="Calibri"/>
          <w:color w:val="000000"/>
          <w:lang w:eastAsia="en-NZ"/>
        </w:rPr>
        <w:t xml:space="preserve">. </w:t>
      </w:r>
      <w:r w:rsidRPr="00FF2C02">
        <w:rPr>
          <w:rFonts w:ascii="Calibri" w:eastAsia="Times New Roman" w:hAnsi="Calibri" w:cs="Calibri"/>
          <w:i/>
          <w:color w:val="000000"/>
          <w:lang w:eastAsia="en-NZ"/>
        </w:rPr>
        <w:t>After</w:t>
      </w:r>
      <w:r>
        <w:rPr>
          <w:rFonts w:ascii="Calibri" w:eastAsia="Times New Roman" w:hAnsi="Calibri" w:cs="Calibri"/>
          <w:i/>
          <w:color w:val="000000"/>
          <w:lang w:eastAsia="en-NZ"/>
        </w:rPr>
        <w:t xml:space="preserve"> </w:t>
      </w:r>
      <w:r>
        <w:rPr>
          <w:rFonts w:ascii="Calibri" w:eastAsia="Times New Roman" w:hAnsi="Calibri" w:cs="Calibri"/>
          <w:color w:val="000000"/>
          <w:lang w:eastAsia="en-NZ"/>
        </w:rPr>
        <w:t>equals one for the post-announcement period [</w:t>
      </w:r>
      <w:r w:rsidR="000B0BB5">
        <w:rPr>
          <w:rFonts w:ascii="Calibri" w:eastAsia="Times New Roman" w:hAnsi="Calibri" w:cs="Calibri"/>
          <w:color w:val="000000"/>
          <w:lang w:eastAsia="en-NZ"/>
        </w:rPr>
        <w:t>+</w:t>
      </w:r>
      <w:r w:rsidR="002F5400">
        <w:rPr>
          <w:rFonts w:ascii="Calibri" w:eastAsia="Times New Roman" w:hAnsi="Calibri" w:cs="Calibri"/>
          <w:color w:val="000000"/>
          <w:lang w:eastAsia="en-NZ"/>
        </w:rPr>
        <w:t>1</w:t>
      </w:r>
      <w:r>
        <w:rPr>
          <w:rFonts w:ascii="Calibri" w:eastAsia="Times New Roman" w:hAnsi="Calibri" w:cs="Calibri"/>
          <w:color w:val="000000"/>
          <w:lang w:eastAsia="en-NZ"/>
        </w:rPr>
        <w:t xml:space="preserve">,+20] and zero for the pre-announcement period [-20,-1]. The </w:t>
      </w:r>
      <w:r w:rsidRPr="00546729">
        <w:rPr>
          <w:rFonts w:ascii="Calibri" w:eastAsia="Times New Roman" w:hAnsi="Calibri" w:cs="Calibri"/>
          <w:i/>
          <w:color w:val="000000"/>
          <w:lang w:eastAsia="en-NZ"/>
        </w:rPr>
        <w:t>DQ</w:t>
      </w:r>
      <w:r>
        <w:rPr>
          <w:rFonts w:ascii="Calibri" w:eastAsia="Times New Roman" w:hAnsi="Calibri" w:cs="Calibri"/>
          <w:color w:val="000000"/>
          <w:lang w:eastAsia="en-NZ"/>
        </w:rPr>
        <w:t xml:space="preserve"> explanatory variable remains in the equation to </w:t>
      </w:r>
      <w:r w:rsidR="006210FD">
        <w:rPr>
          <w:rFonts w:ascii="Calibri" w:eastAsia="Times New Roman" w:hAnsi="Calibri" w:cs="Calibri"/>
          <w:color w:val="000000"/>
          <w:lang w:eastAsia="en-NZ"/>
        </w:rPr>
        <w:t>test</w:t>
      </w:r>
      <w:r>
        <w:rPr>
          <w:rFonts w:ascii="Calibri" w:eastAsia="Times New Roman" w:hAnsi="Calibri" w:cs="Calibri"/>
          <w:color w:val="000000"/>
          <w:lang w:eastAsia="en-NZ"/>
        </w:rPr>
        <w:t xml:space="preserve"> the </w:t>
      </w:r>
      <w:r>
        <w:rPr>
          <w:rFonts w:ascii="Calibri" w:eastAsia="Times New Roman" w:hAnsi="Calibri" w:cs="Calibri"/>
          <w:color w:val="000000"/>
          <w:lang w:eastAsia="en-NZ"/>
        </w:rPr>
        <w:lastRenderedPageBreak/>
        <w:t xml:space="preserve">impact of </w:t>
      </w:r>
      <w:r w:rsidR="002A64B7">
        <w:rPr>
          <w:rFonts w:ascii="Calibri" w:eastAsia="Times New Roman" w:hAnsi="Calibri" w:cs="Calibri"/>
          <w:color w:val="000000"/>
          <w:lang w:eastAsia="en-NZ"/>
        </w:rPr>
        <w:t>transparency</w:t>
      </w:r>
      <w:r>
        <w:rPr>
          <w:rFonts w:ascii="Calibri" w:eastAsia="Times New Roman" w:hAnsi="Calibri" w:cs="Calibri"/>
          <w:color w:val="000000"/>
          <w:lang w:eastAsia="en-NZ"/>
        </w:rPr>
        <w:t xml:space="preserve"> on </w:t>
      </w:r>
      <w:r w:rsidRPr="00624D91">
        <w:rPr>
          <w:rFonts w:ascii="Calibri" w:eastAsia="Times New Roman" w:hAnsi="Calibri" w:cs="Calibri"/>
          <w:i/>
          <w:color w:val="000000"/>
          <w:lang w:eastAsia="en-NZ"/>
        </w:rPr>
        <w:t>BAS</w:t>
      </w:r>
      <w:r>
        <w:rPr>
          <w:rFonts w:ascii="Calibri" w:eastAsia="Times New Roman" w:hAnsi="Calibri" w:cs="Calibri"/>
          <w:color w:val="000000"/>
          <w:lang w:eastAsia="en-NZ"/>
        </w:rPr>
        <w:t xml:space="preserve">. </w:t>
      </w:r>
      <w:r w:rsidR="00BF1219">
        <w:rPr>
          <w:rFonts w:ascii="Calibri" w:eastAsia="Times New Roman" w:hAnsi="Calibri" w:cs="Calibri"/>
          <w:color w:val="000000"/>
          <w:lang w:eastAsia="en-NZ"/>
        </w:rPr>
        <w:t xml:space="preserve">In </w:t>
      </w:r>
      <w:r w:rsidR="00493043">
        <w:rPr>
          <w:rFonts w:ascii="Calibri" w:eastAsia="Times New Roman" w:hAnsi="Calibri" w:cs="Calibri"/>
          <w:color w:val="000000"/>
          <w:lang w:eastAsia="en-NZ"/>
        </w:rPr>
        <w:t>models 3, 5 and 7</w:t>
      </w:r>
      <w:r w:rsidR="00BF1219">
        <w:rPr>
          <w:rFonts w:ascii="Calibri" w:eastAsia="Times New Roman" w:hAnsi="Calibri" w:cs="Calibri"/>
          <w:color w:val="000000"/>
          <w:lang w:eastAsia="en-NZ"/>
        </w:rPr>
        <w:t xml:space="preserve">, the interaction </w:t>
      </w:r>
      <w:r w:rsidR="00BF1219" w:rsidRPr="006A77ED">
        <w:rPr>
          <w:rFonts w:ascii="Calibri" w:eastAsia="Times New Roman" w:hAnsi="Calibri" w:cs="Calibri"/>
          <w:i/>
          <w:color w:val="000000"/>
          <w:lang w:eastAsia="en-NZ"/>
        </w:rPr>
        <w:t xml:space="preserve">DQ </w:t>
      </w:r>
      <w:r w:rsidR="00BF1219">
        <w:rPr>
          <w:rFonts w:ascii="Calibri" w:eastAsia="Times New Roman" w:hAnsi="Calibri" w:cs="Calibri"/>
          <w:color w:val="000000"/>
          <w:lang w:eastAsia="en-NZ"/>
        </w:rPr>
        <w:t xml:space="preserve">× </w:t>
      </w:r>
      <w:r w:rsidR="00BF1219" w:rsidRPr="006A77ED">
        <w:rPr>
          <w:rFonts w:ascii="Calibri" w:eastAsia="Times New Roman" w:hAnsi="Calibri" w:cs="Calibri"/>
          <w:i/>
          <w:color w:val="000000"/>
          <w:lang w:eastAsia="en-NZ"/>
        </w:rPr>
        <w:t>After</w:t>
      </w:r>
      <w:r w:rsidR="00BF1219">
        <w:rPr>
          <w:rFonts w:ascii="Calibri" w:eastAsia="Times New Roman" w:hAnsi="Calibri" w:cs="Calibri"/>
          <w:color w:val="000000"/>
          <w:lang w:eastAsia="en-NZ"/>
        </w:rPr>
        <w:t xml:space="preserve"> </w:t>
      </w:r>
      <w:r w:rsidR="00493043">
        <w:rPr>
          <w:rFonts w:ascii="Calibri" w:eastAsia="Times New Roman" w:hAnsi="Calibri" w:cs="Calibri"/>
          <w:color w:val="000000"/>
          <w:lang w:eastAsia="en-NZ"/>
        </w:rPr>
        <w:t>is added to test whether</w:t>
      </w:r>
      <w:r w:rsidR="008B4A6F">
        <w:rPr>
          <w:rFonts w:ascii="Calibri" w:eastAsia="Times New Roman" w:hAnsi="Calibri" w:cs="Calibri"/>
          <w:color w:val="000000"/>
          <w:lang w:eastAsia="en-NZ"/>
        </w:rPr>
        <w:t xml:space="preserve"> the effect of greater</w:t>
      </w:r>
      <w:r w:rsidR="00493043">
        <w:rPr>
          <w:rFonts w:ascii="Calibri" w:eastAsia="Times New Roman" w:hAnsi="Calibri" w:cs="Calibri"/>
          <w:color w:val="000000"/>
          <w:lang w:eastAsia="en-NZ"/>
        </w:rPr>
        <w:t xml:space="preserve"> transparency </w:t>
      </w:r>
      <w:r w:rsidR="008B4A6F">
        <w:rPr>
          <w:rFonts w:ascii="Calibri" w:eastAsia="Times New Roman" w:hAnsi="Calibri" w:cs="Calibri"/>
          <w:color w:val="000000"/>
          <w:lang w:eastAsia="en-NZ"/>
        </w:rPr>
        <w:t xml:space="preserve">on </w:t>
      </w:r>
      <w:r w:rsidR="008B4A6F" w:rsidRPr="003D6E55">
        <w:rPr>
          <w:rFonts w:ascii="Calibri" w:eastAsia="Times New Roman" w:hAnsi="Calibri" w:cs="Calibri"/>
          <w:i/>
          <w:color w:val="000000"/>
          <w:lang w:eastAsia="en-NZ"/>
        </w:rPr>
        <w:t>BAS</w:t>
      </w:r>
      <w:r w:rsidR="008B4A6F">
        <w:rPr>
          <w:rFonts w:ascii="Calibri" w:eastAsia="Times New Roman" w:hAnsi="Calibri" w:cs="Calibri"/>
          <w:color w:val="000000"/>
          <w:lang w:eastAsia="en-NZ"/>
        </w:rPr>
        <w:t xml:space="preserve"> is different after the announcements.</w:t>
      </w:r>
      <w:r w:rsidR="00493043">
        <w:rPr>
          <w:rFonts w:ascii="Calibri" w:eastAsia="Times New Roman" w:hAnsi="Calibri" w:cs="Calibri"/>
          <w:color w:val="000000"/>
          <w:lang w:eastAsia="en-NZ"/>
        </w:rPr>
        <w:t xml:space="preserve"> </w:t>
      </w:r>
    </w:p>
    <w:p w14:paraId="6D017C7B" w14:textId="49E3A3B0" w:rsidR="001A2DA0" w:rsidRDefault="001A2DA0" w:rsidP="00276DFE">
      <w:pPr>
        <w:tabs>
          <w:tab w:val="left" w:pos="709"/>
        </w:tabs>
        <w:spacing w:line="360" w:lineRule="auto"/>
        <w:jc w:val="both"/>
        <w:rPr>
          <w:rFonts w:ascii="Calibri" w:eastAsia="Times New Roman" w:hAnsi="Calibri" w:cs="Calibri"/>
          <w:color w:val="000000"/>
          <w:lang w:eastAsia="en-NZ"/>
        </w:rPr>
      </w:pPr>
    </w:p>
    <w:p w14:paraId="434D48A8" w14:textId="72BB2533" w:rsidR="009F6F14" w:rsidRDefault="001A2DA0" w:rsidP="00C27E34">
      <w:pPr>
        <w:tabs>
          <w:tab w:val="left" w:pos="709"/>
        </w:tabs>
        <w:spacing w:line="360" w:lineRule="auto"/>
        <w:jc w:val="both"/>
        <w:rPr>
          <w:rFonts w:ascii="Calibri" w:eastAsia="Times New Roman" w:hAnsi="Calibri" w:cs="Calibri"/>
          <w:color w:val="000000"/>
          <w:lang w:eastAsia="en-NZ"/>
        </w:rPr>
      </w:pPr>
      <w:r>
        <w:rPr>
          <w:rFonts w:ascii="Calibri" w:eastAsia="Times New Roman" w:hAnsi="Calibri" w:cs="Calibri"/>
          <w:color w:val="000000"/>
          <w:lang w:eastAsia="en-NZ"/>
        </w:rPr>
        <w:t xml:space="preserve">Full sample results are presented in models 2 and 3. The </w:t>
      </w:r>
      <w:r w:rsidR="00C27E34">
        <w:rPr>
          <w:rFonts w:ascii="Calibri" w:eastAsia="Times New Roman" w:hAnsi="Calibri" w:cs="Calibri"/>
          <w:color w:val="000000"/>
          <w:lang w:eastAsia="en-NZ"/>
        </w:rPr>
        <w:t xml:space="preserve">coefficients are significantly negative for both </w:t>
      </w:r>
      <w:r w:rsidRPr="006A77ED">
        <w:rPr>
          <w:rFonts w:ascii="Calibri" w:eastAsia="Times New Roman" w:hAnsi="Calibri" w:cs="Calibri"/>
          <w:i/>
          <w:color w:val="000000"/>
          <w:lang w:eastAsia="en-NZ"/>
        </w:rPr>
        <w:t>DQ</w:t>
      </w:r>
      <w:r w:rsidR="00C27E34">
        <w:rPr>
          <w:rFonts w:ascii="Calibri" w:eastAsia="Times New Roman" w:hAnsi="Calibri" w:cs="Calibri"/>
          <w:color w:val="000000"/>
          <w:lang w:eastAsia="en-NZ"/>
        </w:rPr>
        <w:t xml:space="preserve"> </w:t>
      </w:r>
      <w:r w:rsidR="00FD53DC">
        <w:rPr>
          <w:rFonts w:ascii="Calibri" w:eastAsia="Times New Roman" w:hAnsi="Calibri" w:cs="Calibri"/>
          <w:color w:val="000000"/>
          <w:lang w:eastAsia="en-NZ"/>
        </w:rPr>
        <w:t>(1% level)</w:t>
      </w:r>
      <w:r w:rsidR="00C27E34">
        <w:rPr>
          <w:rFonts w:ascii="Calibri" w:eastAsia="Times New Roman" w:hAnsi="Calibri" w:cs="Calibri"/>
          <w:color w:val="000000"/>
          <w:lang w:eastAsia="en-NZ"/>
        </w:rPr>
        <w:t xml:space="preserve"> and </w:t>
      </w:r>
      <w:r w:rsidR="00C27E34">
        <w:rPr>
          <w:rFonts w:ascii="Calibri" w:eastAsia="Times New Roman" w:hAnsi="Calibri" w:cs="Calibri"/>
          <w:i/>
          <w:color w:val="000000"/>
          <w:lang w:eastAsia="en-NZ"/>
        </w:rPr>
        <w:t>After</w:t>
      </w:r>
      <w:r w:rsidR="00C27E34">
        <w:rPr>
          <w:rFonts w:ascii="Calibri" w:eastAsia="Times New Roman" w:hAnsi="Calibri" w:cs="Calibri"/>
          <w:color w:val="000000"/>
          <w:lang w:eastAsia="en-NZ"/>
        </w:rPr>
        <w:t xml:space="preserve"> </w:t>
      </w:r>
      <w:r w:rsidR="004726D6">
        <w:rPr>
          <w:rFonts w:ascii="Calibri" w:eastAsia="Times New Roman" w:hAnsi="Calibri" w:cs="Calibri"/>
          <w:color w:val="000000"/>
          <w:lang w:eastAsia="en-NZ"/>
        </w:rPr>
        <w:t>(</w:t>
      </w:r>
      <w:r w:rsidR="00FD53DC">
        <w:rPr>
          <w:rFonts w:ascii="Calibri" w:eastAsia="Times New Roman" w:hAnsi="Calibri" w:cs="Calibri"/>
          <w:color w:val="000000"/>
          <w:lang w:eastAsia="en-NZ"/>
        </w:rPr>
        <w:t>10% level)</w:t>
      </w:r>
      <w:r w:rsidR="00C27E34">
        <w:rPr>
          <w:rFonts w:ascii="Calibri" w:eastAsia="Times New Roman" w:hAnsi="Calibri" w:cs="Calibri"/>
          <w:color w:val="000000"/>
          <w:lang w:eastAsia="en-NZ"/>
        </w:rPr>
        <w:t>, indicating that</w:t>
      </w:r>
      <w:r w:rsidR="00BF4712">
        <w:rPr>
          <w:rFonts w:ascii="Calibri" w:eastAsia="Times New Roman" w:hAnsi="Calibri" w:cs="Calibri"/>
          <w:color w:val="000000"/>
          <w:lang w:eastAsia="en-NZ"/>
        </w:rPr>
        <w:t xml:space="preserve"> information asymmetry</w:t>
      </w:r>
      <w:r w:rsidR="00C27E34">
        <w:rPr>
          <w:rFonts w:ascii="Calibri" w:eastAsia="Times New Roman" w:hAnsi="Calibri" w:cs="Calibri"/>
          <w:color w:val="000000"/>
          <w:lang w:eastAsia="en-NZ"/>
        </w:rPr>
        <w:t xml:space="preserve"> is negatively associated with</w:t>
      </w:r>
      <w:r w:rsidR="00915507">
        <w:rPr>
          <w:rFonts w:ascii="Calibri" w:eastAsia="Times New Roman" w:hAnsi="Calibri" w:cs="Calibri"/>
          <w:color w:val="000000"/>
          <w:lang w:eastAsia="en-NZ"/>
        </w:rPr>
        <w:t xml:space="preserve"> investment transparency</w:t>
      </w:r>
      <w:r w:rsidR="00C27E34">
        <w:rPr>
          <w:rFonts w:ascii="Calibri" w:eastAsia="Times New Roman" w:hAnsi="Calibri" w:cs="Calibri"/>
          <w:color w:val="000000"/>
          <w:lang w:eastAsia="en-NZ"/>
        </w:rPr>
        <w:t xml:space="preserve">, and that information asymmetry is lower following the announcement. The coefficient on the </w:t>
      </w:r>
      <w:r w:rsidR="00C27E34" w:rsidRPr="002B6789">
        <w:rPr>
          <w:rFonts w:ascii="Calibri" w:eastAsia="Times New Roman" w:hAnsi="Calibri" w:cs="Calibri"/>
          <w:i/>
          <w:color w:val="000000"/>
          <w:lang w:eastAsia="en-NZ"/>
        </w:rPr>
        <w:t xml:space="preserve">DQ </w:t>
      </w:r>
      <w:r w:rsidR="00C27E34">
        <w:rPr>
          <w:rFonts w:ascii="Calibri" w:eastAsia="Times New Roman" w:hAnsi="Calibri" w:cs="Calibri"/>
          <w:color w:val="000000"/>
          <w:lang w:eastAsia="en-NZ"/>
        </w:rPr>
        <w:t xml:space="preserve">× </w:t>
      </w:r>
      <w:r w:rsidR="00C27E34" w:rsidRPr="002B6789">
        <w:rPr>
          <w:rFonts w:ascii="Calibri" w:eastAsia="Times New Roman" w:hAnsi="Calibri" w:cs="Calibri"/>
          <w:i/>
          <w:color w:val="000000"/>
          <w:lang w:eastAsia="en-NZ"/>
        </w:rPr>
        <w:t>After</w:t>
      </w:r>
      <w:r w:rsidR="00C27E34">
        <w:rPr>
          <w:rFonts w:ascii="Calibri" w:eastAsia="Times New Roman" w:hAnsi="Calibri" w:cs="Calibri"/>
          <w:i/>
          <w:color w:val="000000"/>
          <w:lang w:eastAsia="en-NZ"/>
        </w:rPr>
        <w:t xml:space="preserve"> </w:t>
      </w:r>
      <w:r w:rsidR="00C27E34">
        <w:rPr>
          <w:rFonts w:ascii="Calibri" w:eastAsia="Times New Roman" w:hAnsi="Calibri" w:cs="Calibri"/>
          <w:color w:val="000000"/>
          <w:lang w:eastAsia="en-NZ"/>
        </w:rPr>
        <w:t xml:space="preserve">interaction is insignificant. In contrast, for the positive news reactions in models 4 and 5, there is no evidence that </w:t>
      </w:r>
      <w:r w:rsidR="00C27E34" w:rsidRPr="006A77ED">
        <w:rPr>
          <w:rFonts w:ascii="Calibri" w:eastAsia="Times New Roman" w:hAnsi="Calibri" w:cs="Calibri"/>
          <w:i/>
          <w:color w:val="000000"/>
          <w:lang w:eastAsia="en-NZ"/>
        </w:rPr>
        <w:t xml:space="preserve">DQ </w:t>
      </w:r>
      <w:r w:rsidR="00C27E34">
        <w:rPr>
          <w:rFonts w:ascii="Calibri" w:eastAsia="Times New Roman" w:hAnsi="Calibri" w:cs="Calibri"/>
          <w:color w:val="000000"/>
          <w:lang w:eastAsia="en-NZ"/>
        </w:rPr>
        <w:t xml:space="preserve">or </w:t>
      </w:r>
      <w:r w:rsidR="00C27E34" w:rsidRPr="006A77ED">
        <w:rPr>
          <w:rFonts w:ascii="Calibri" w:eastAsia="Times New Roman" w:hAnsi="Calibri" w:cs="Calibri"/>
          <w:i/>
          <w:color w:val="000000"/>
          <w:lang w:eastAsia="en-NZ"/>
        </w:rPr>
        <w:t xml:space="preserve">After </w:t>
      </w:r>
      <w:r w:rsidR="00C27E34">
        <w:rPr>
          <w:rFonts w:ascii="Calibri" w:eastAsia="Times New Roman" w:hAnsi="Calibri" w:cs="Calibri"/>
          <w:color w:val="000000"/>
          <w:lang w:eastAsia="en-NZ"/>
        </w:rPr>
        <w:t xml:space="preserve">have any relationship with </w:t>
      </w:r>
      <w:r w:rsidR="00937E6B">
        <w:rPr>
          <w:rFonts w:ascii="Calibri" w:eastAsia="Times New Roman" w:hAnsi="Calibri" w:cs="Calibri"/>
          <w:color w:val="000000"/>
          <w:lang w:eastAsia="en-NZ"/>
        </w:rPr>
        <w:t>information asymmetry. In contrast, the negative news subsample in models 6 and 7 show</w:t>
      </w:r>
      <w:r w:rsidR="00B948BE">
        <w:rPr>
          <w:rFonts w:ascii="Calibri" w:eastAsia="Times New Roman" w:hAnsi="Calibri" w:cs="Calibri"/>
          <w:color w:val="000000"/>
          <w:lang w:eastAsia="en-NZ"/>
        </w:rPr>
        <w:t>s</w:t>
      </w:r>
      <w:r w:rsidR="00937E6B">
        <w:rPr>
          <w:rFonts w:ascii="Calibri" w:eastAsia="Times New Roman" w:hAnsi="Calibri" w:cs="Calibri"/>
          <w:color w:val="000000"/>
          <w:lang w:eastAsia="en-NZ"/>
        </w:rPr>
        <w:t xml:space="preserve"> a different outcome. The coefficients for both </w:t>
      </w:r>
      <w:r w:rsidR="00937E6B" w:rsidRPr="002B6789">
        <w:rPr>
          <w:rFonts w:ascii="Calibri" w:eastAsia="Times New Roman" w:hAnsi="Calibri" w:cs="Calibri"/>
          <w:i/>
          <w:color w:val="000000"/>
          <w:lang w:eastAsia="en-NZ"/>
        </w:rPr>
        <w:t>DQ</w:t>
      </w:r>
      <w:r w:rsidR="00937E6B">
        <w:rPr>
          <w:rFonts w:ascii="Calibri" w:eastAsia="Times New Roman" w:hAnsi="Calibri" w:cs="Calibri"/>
          <w:color w:val="000000"/>
          <w:lang w:eastAsia="en-NZ"/>
        </w:rPr>
        <w:t xml:space="preserve"> and </w:t>
      </w:r>
      <w:r w:rsidR="00937E6B">
        <w:rPr>
          <w:rFonts w:ascii="Calibri" w:eastAsia="Times New Roman" w:hAnsi="Calibri" w:cs="Calibri"/>
          <w:i/>
          <w:color w:val="000000"/>
          <w:lang w:eastAsia="en-NZ"/>
        </w:rPr>
        <w:t xml:space="preserve">After </w:t>
      </w:r>
      <w:r w:rsidR="00937E6B">
        <w:rPr>
          <w:rFonts w:ascii="Calibri" w:eastAsia="Times New Roman" w:hAnsi="Calibri" w:cs="Calibri"/>
          <w:color w:val="000000"/>
          <w:lang w:eastAsia="en-NZ"/>
        </w:rPr>
        <w:t xml:space="preserve">are negative and statistically significant </w:t>
      </w:r>
      <w:r w:rsidR="00FD53DC">
        <w:rPr>
          <w:rFonts w:ascii="Calibri" w:eastAsia="Times New Roman" w:hAnsi="Calibri" w:cs="Calibri"/>
          <w:color w:val="000000"/>
          <w:lang w:eastAsia="en-NZ"/>
        </w:rPr>
        <w:t>(1% level)</w:t>
      </w:r>
      <w:r w:rsidR="00937E6B">
        <w:rPr>
          <w:rFonts w:ascii="Calibri" w:eastAsia="Times New Roman" w:hAnsi="Calibri" w:cs="Calibri"/>
          <w:color w:val="000000"/>
          <w:lang w:eastAsia="en-NZ"/>
        </w:rPr>
        <w:t xml:space="preserve">, suggesting that information asymmetry is negatively related to investment transparency and is lower following the announcements. The coefficient on the </w:t>
      </w:r>
      <w:r w:rsidR="00937E6B" w:rsidRPr="002B6789">
        <w:rPr>
          <w:rFonts w:ascii="Calibri" w:eastAsia="Times New Roman" w:hAnsi="Calibri" w:cs="Calibri"/>
          <w:i/>
          <w:color w:val="000000"/>
          <w:lang w:eastAsia="en-NZ"/>
        </w:rPr>
        <w:t xml:space="preserve">DQ </w:t>
      </w:r>
      <w:r w:rsidR="00937E6B">
        <w:rPr>
          <w:rFonts w:ascii="Calibri" w:eastAsia="Times New Roman" w:hAnsi="Calibri" w:cs="Calibri"/>
          <w:color w:val="000000"/>
          <w:lang w:eastAsia="en-NZ"/>
        </w:rPr>
        <w:t xml:space="preserve">× </w:t>
      </w:r>
      <w:r w:rsidR="00937E6B" w:rsidRPr="002B6789">
        <w:rPr>
          <w:rFonts w:ascii="Calibri" w:eastAsia="Times New Roman" w:hAnsi="Calibri" w:cs="Calibri"/>
          <w:i/>
          <w:color w:val="000000"/>
          <w:lang w:eastAsia="en-NZ"/>
        </w:rPr>
        <w:t>After</w:t>
      </w:r>
      <w:r w:rsidR="00937E6B">
        <w:rPr>
          <w:rFonts w:ascii="Calibri" w:eastAsia="Times New Roman" w:hAnsi="Calibri" w:cs="Calibri"/>
          <w:i/>
          <w:color w:val="000000"/>
          <w:lang w:eastAsia="en-NZ"/>
        </w:rPr>
        <w:t xml:space="preserve"> </w:t>
      </w:r>
      <w:r w:rsidR="00937E6B">
        <w:rPr>
          <w:rFonts w:ascii="Calibri" w:eastAsia="Times New Roman" w:hAnsi="Calibri" w:cs="Calibri"/>
          <w:color w:val="000000"/>
          <w:lang w:eastAsia="en-NZ"/>
        </w:rPr>
        <w:t xml:space="preserve">interaction is positive and significant, </w:t>
      </w:r>
      <w:r w:rsidR="00694AD5">
        <w:rPr>
          <w:rFonts w:ascii="Calibri" w:eastAsia="Times New Roman" w:hAnsi="Calibri" w:cs="Calibri"/>
          <w:color w:val="000000"/>
          <w:lang w:eastAsia="en-NZ"/>
        </w:rPr>
        <w:t>imply</w:t>
      </w:r>
      <w:r w:rsidR="00937E6B">
        <w:rPr>
          <w:rFonts w:ascii="Calibri" w:eastAsia="Times New Roman" w:hAnsi="Calibri" w:cs="Calibri"/>
          <w:color w:val="000000"/>
          <w:lang w:eastAsia="en-NZ"/>
        </w:rPr>
        <w:t xml:space="preserve">ing </w:t>
      </w:r>
      <w:r w:rsidR="00975A8D">
        <w:rPr>
          <w:rFonts w:ascii="Calibri" w:eastAsia="Times New Roman" w:hAnsi="Calibri" w:cs="Calibri"/>
          <w:color w:val="000000"/>
          <w:lang w:eastAsia="en-NZ"/>
        </w:rPr>
        <w:t xml:space="preserve">that </w:t>
      </w:r>
      <w:r w:rsidR="00937E6B">
        <w:rPr>
          <w:rFonts w:ascii="Calibri" w:eastAsia="Times New Roman" w:hAnsi="Calibri" w:cs="Calibri"/>
          <w:color w:val="000000"/>
          <w:lang w:eastAsia="en-NZ"/>
        </w:rPr>
        <w:t xml:space="preserve">the </w:t>
      </w:r>
      <w:r w:rsidR="00694AD5">
        <w:rPr>
          <w:rFonts w:ascii="Calibri" w:eastAsia="Times New Roman" w:hAnsi="Calibri" w:cs="Calibri"/>
          <w:color w:val="000000"/>
          <w:lang w:eastAsia="en-NZ"/>
        </w:rPr>
        <w:t xml:space="preserve">influence of the pre-disposition for transparency is stronger than the influence of the announcement in reducing information asymmetry. </w:t>
      </w:r>
    </w:p>
    <w:p w14:paraId="125A67B6" w14:textId="77777777" w:rsidR="009F6F14" w:rsidRDefault="009F6F14" w:rsidP="00C27E34">
      <w:pPr>
        <w:tabs>
          <w:tab w:val="left" w:pos="709"/>
        </w:tabs>
        <w:spacing w:line="360" w:lineRule="auto"/>
        <w:jc w:val="both"/>
        <w:rPr>
          <w:rFonts w:ascii="Calibri" w:eastAsia="Times New Roman" w:hAnsi="Calibri" w:cs="Calibri"/>
          <w:color w:val="000000"/>
          <w:lang w:eastAsia="en-NZ"/>
        </w:rPr>
      </w:pPr>
    </w:p>
    <w:p w14:paraId="64D86018" w14:textId="6D9611F5" w:rsidR="0011470D" w:rsidRDefault="00694AD5" w:rsidP="0011470D">
      <w:pPr>
        <w:spacing w:line="360" w:lineRule="auto"/>
        <w:jc w:val="both"/>
      </w:pPr>
      <w:r>
        <w:rPr>
          <w:rFonts w:ascii="Calibri" w:eastAsia="Times New Roman" w:hAnsi="Calibri" w:cs="Calibri"/>
          <w:color w:val="000000"/>
          <w:lang w:eastAsia="en-NZ"/>
        </w:rPr>
        <w:t>To assist in the interpretation of the negative news</w:t>
      </w:r>
      <w:r w:rsidR="00937E6B">
        <w:rPr>
          <w:rFonts w:ascii="Calibri" w:eastAsia="Times New Roman" w:hAnsi="Calibri" w:cs="Calibri"/>
          <w:color w:val="000000"/>
          <w:lang w:eastAsia="en-NZ"/>
        </w:rPr>
        <w:t xml:space="preserve"> </w:t>
      </w:r>
      <w:r>
        <w:rPr>
          <w:rFonts w:ascii="Calibri" w:eastAsia="Times New Roman" w:hAnsi="Calibri" w:cs="Calibri"/>
          <w:color w:val="000000"/>
          <w:lang w:eastAsia="en-NZ"/>
        </w:rPr>
        <w:t xml:space="preserve">sample results, Table 11 </w:t>
      </w:r>
      <w:r w:rsidR="009F6F14">
        <w:rPr>
          <w:rFonts w:ascii="Calibri" w:eastAsia="Times New Roman" w:hAnsi="Calibri" w:cs="Calibri"/>
          <w:color w:val="000000"/>
          <w:lang w:eastAsia="en-NZ"/>
        </w:rPr>
        <w:t xml:space="preserve">estimates the impact of </w:t>
      </w:r>
      <w:r w:rsidR="009F6F14" w:rsidRPr="009F6F14">
        <w:rPr>
          <w:rFonts w:ascii="Calibri" w:eastAsia="Times New Roman" w:hAnsi="Calibri" w:cs="Calibri"/>
          <w:color w:val="000000"/>
          <w:lang w:eastAsia="en-NZ"/>
        </w:rPr>
        <w:t xml:space="preserve">transparency on </w:t>
      </w:r>
      <w:r w:rsidR="006865F9">
        <w:rPr>
          <w:rFonts w:ascii="Calibri" w:eastAsia="Times New Roman" w:hAnsi="Calibri" w:cs="Calibri"/>
          <w:color w:val="000000"/>
          <w:lang w:eastAsia="en-NZ"/>
        </w:rPr>
        <w:t xml:space="preserve">firm </w:t>
      </w:r>
      <w:r w:rsidR="004726D6" w:rsidRPr="00BC1909">
        <w:rPr>
          <w:rFonts w:ascii="Calibri" w:eastAsia="Times New Roman" w:hAnsi="Calibri" w:cs="Calibri"/>
          <w:i/>
          <w:color w:val="000000"/>
          <w:lang w:eastAsia="en-NZ"/>
        </w:rPr>
        <w:t>BAS</w:t>
      </w:r>
      <w:r w:rsidR="009F6F14" w:rsidRPr="009F6F14">
        <w:rPr>
          <w:rFonts w:ascii="Calibri" w:eastAsia="Times New Roman" w:hAnsi="Calibri" w:cs="Calibri"/>
          <w:color w:val="000000"/>
          <w:lang w:eastAsia="en-NZ"/>
        </w:rPr>
        <w:t xml:space="preserve"> surrounding a project announcement</w:t>
      </w:r>
      <w:r w:rsidR="006865F9">
        <w:rPr>
          <w:rFonts w:ascii="Calibri" w:eastAsia="Times New Roman" w:hAnsi="Calibri" w:cs="Calibri"/>
          <w:color w:val="000000"/>
          <w:lang w:eastAsia="en-NZ"/>
        </w:rPr>
        <w:t xml:space="preserve"> </w:t>
      </w:r>
      <w:r w:rsidR="006865F9" w:rsidRPr="006245AB">
        <w:rPr>
          <w:rFonts w:ascii="Calibri" w:eastAsia="Times New Roman" w:hAnsi="Calibri" w:cs="Calibri"/>
          <w:color w:val="000000"/>
          <w:lang w:eastAsia="en-NZ"/>
        </w:rPr>
        <w:t>[-20, +20]</w:t>
      </w:r>
      <w:r w:rsidR="009F6F14" w:rsidRPr="009F6F14">
        <w:rPr>
          <w:rFonts w:ascii="Calibri" w:eastAsia="Times New Roman" w:hAnsi="Calibri" w:cs="Calibri"/>
          <w:color w:val="000000"/>
          <w:lang w:eastAsia="en-NZ"/>
        </w:rPr>
        <w:t xml:space="preserve">. </w:t>
      </w:r>
      <w:r w:rsidR="009F6F14" w:rsidRPr="006A77ED">
        <w:t xml:space="preserve">Before the announcement, </w:t>
      </w:r>
      <w:r w:rsidR="00FA682F">
        <w:t xml:space="preserve">the </w:t>
      </w:r>
      <w:r w:rsidR="00FA682F" w:rsidRPr="001C2124">
        <w:rPr>
          <w:i/>
        </w:rPr>
        <w:t>BAS</w:t>
      </w:r>
      <w:r w:rsidR="00FA682F">
        <w:t xml:space="preserve"> for </w:t>
      </w:r>
      <w:r w:rsidR="00B24D6B">
        <w:t xml:space="preserve">the </w:t>
      </w:r>
      <w:r w:rsidR="00061053">
        <w:t xml:space="preserve">high transparency </w:t>
      </w:r>
      <w:r w:rsidR="00B24D6B">
        <w:t xml:space="preserve">group </w:t>
      </w:r>
      <w:r w:rsidR="00FA682F">
        <w:t xml:space="preserve">is </w:t>
      </w:r>
      <w:r w:rsidR="00061053">
        <w:t xml:space="preserve">lower </w:t>
      </w:r>
      <w:r w:rsidR="00FA682F">
        <w:t xml:space="preserve">than that of </w:t>
      </w:r>
      <w:r w:rsidR="00B24D6B">
        <w:t xml:space="preserve">the </w:t>
      </w:r>
      <w:r w:rsidR="009F6F14" w:rsidRPr="006A77ED">
        <w:t>low transparency</w:t>
      </w:r>
      <w:r w:rsidR="00B24D6B">
        <w:t xml:space="preserve"> group</w:t>
      </w:r>
      <w:r w:rsidR="009F6F14" w:rsidRPr="006A77ED">
        <w:t xml:space="preserve"> (</w:t>
      </w:r>
      <w:r w:rsidR="00061053">
        <w:noBreakHyphen/>
      </w:r>
      <w:r w:rsidR="009F6F14" w:rsidRPr="006A77ED">
        <w:t xml:space="preserve">0.024). This supports </w:t>
      </w:r>
      <w:r w:rsidR="00042BA2">
        <w:t>our</w:t>
      </w:r>
      <w:r w:rsidR="009F6F14" w:rsidRPr="006A77ED">
        <w:t xml:space="preserve"> earlier finding that the high transparency group is pre-disposed to greater transparency</w:t>
      </w:r>
      <w:r w:rsidR="00402376">
        <w:t>.</w:t>
      </w:r>
      <w:r w:rsidR="009F6F14" w:rsidRPr="006A77ED">
        <w:t xml:space="preserve"> After the announcement, </w:t>
      </w:r>
      <w:r w:rsidR="00B24D6B">
        <w:t xml:space="preserve">the </w:t>
      </w:r>
      <w:r w:rsidR="009F6F14" w:rsidRPr="006A77ED">
        <w:t xml:space="preserve">high transparency </w:t>
      </w:r>
      <w:r w:rsidR="00B24D6B">
        <w:t xml:space="preserve">group </w:t>
      </w:r>
      <w:r w:rsidR="009F6F14" w:rsidRPr="006A77ED">
        <w:t xml:space="preserve">continues </w:t>
      </w:r>
      <w:r w:rsidR="00B24D6B">
        <w:t xml:space="preserve">to experience </w:t>
      </w:r>
      <w:r w:rsidR="009F6F14" w:rsidRPr="006A77ED">
        <w:t>lower</w:t>
      </w:r>
      <w:r w:rsidR="00061053">
        <w:t xml:space="preserve"> </w:t>
      </w:r>
      <w:r w:rsidR="009F6F14" w:rsidRPr="006A77ED">
        <w:rPr>
          <w:i/>
        </w:rPr>
        <w:t>BAS</w:t>
      </w:r>
      <w:r w:rsidR="009F6F14" w:rsidRPr="006A77ED">
        <w:t xml:space="preserve"> </w:t>
      </w:r>
      <w:r w:rsidR="00061053">
        <w:t>than</w:t>
      </w:r>
      <w:r w:rsidR="00B24D6B">
        <w:t xml:space="preserve"> the</w:t>
      </w:r>
      <w:r w:rsidR="00061053" w:rsidRPr="006A77ED">
        <w:t xml:space="preserve"> low transparency</w:t>
      </w:r>
      <w:r w:rsidR="00B24D6B">
        <w:t xml:space="preserve"> group</w:t>
      </w:r>
      <w:r w:rsidR="00061053" w:rsidRPr="006A77ED">
        <w:t xml:space="preserve"> </w:t>
      </w:r>
      <w:r w:rsidR="009F6F14" w:rsidRPr="006A77ED">
        <w:t>(</w:t>
      </w:r>
      <w:r w:rsidR="003951B6">
        <w:noBreakHyphen/>
      </w:r>
      <w:r w:rsidR="009F6F14" w:rsidRPr="006A77ED">
        <w:t xml:space="preserve">0.016). </w:t>
      </w:r>
      <w:r w:rsidR="00B24D6B">
        <w:t xml:space="preserve">Nevertheless, as a result of the announcement, </w:t>
      </w:r>
      <w:r w:rsidR="00B24D6B" w:rsidRPr="006A77ED">
        <w:rPr>
          <w:i/>
        </w:rPr>
        <w:t>BA</w:t>
      </w:r>
      <w:r w:rsidR="00B24D6B" w:rsidRPr="006A77ED">
        <w:t>S</w:t>
      </w:r>
      <w:r w:rsidR="00B24D6B">
        <w:t xml:space="preserve"> reduces more for t</w:t>
      </w:r>
      <w:r w:rsidR="009F6F14" w:rsidRPr="006A77ED">
        <w:t xml:space="preserve">he </w:t>
      </w:r>
      <w:r w:rsidR="00B24D6B">
        <w:t>low transparency group (-</w:t>
      </w:r>
      <w:r w:rsidR="009F6F14" w:rsidRPr="006A77ED">
        <w:t>0.009</w:t>
      </w:r>
      <w:r w:rsidR="00B24D6B">
        <w:t>) than for the high transparency group</w:t>
      </w:r>
      <w:r w:rsidR="009F6F14" w:rsidRPr="006A77ED">
        <w:t xml:space="preserve"> </w:t>
      </w:r>
      <w:r w:rsidR="00B24D6B">
        <w:t>(-</w:t>
      </w:r>
      <w:r w:rsidR="009F6F14" w:rsidRPr="006A77ED">
        <w:t>0.002</w:t>
      </w:r>
      <w:r w:rsidR="00B24D6B">
        <w:t>)</w:t>
      </w:r>
      <w:r w:rsidR="009F6F14" w:rsidRPr="006A77ED">
        <w:t xml:space="preserve">. Economically, the low transparency group experiences a 14.5% reduction in </w:t>
      </w:r>
      <w:r w:rsidR="009F6F14" w:rsidRPr="006A77ED">
        <w:rPr>
          <w:i/>
        </w:rPr>
        <w:t>BAS</w:t>
      </w:r>
      <w:r w:rsidR="009F6F14" w:rsidRPr="006A77ED">
        <w:t xml:space="preserve"> (</w:t>
      </w:r>
      <w:r w:rsidR="00B24D6B">
        <w:t>-</w:t>
      </w:r>
      <w:r w:rsidR="009F6F14" w:rsidRPr="006A77ED">
        <w:t xml:space="preserve">0.009/0.062) while the high </w:t>
      </w:r>
      <w:r w:rsidR="002A64B7">
        <w:t>transparency</w:t>
      </w:r>
      <w:r w:rsidR="009F6F14" w:rsidRPr="006A77ED">
        <w:t xml:space="preserve"> group experiences a 3.2% reduction in </w:t>
      </w:r>
      <w:r w:rsidR="009F6F14" w:rsidRPr="006A77ED">
        <w:rPr>
          <w:i/>
        </w:rPr>
        <w:t>BAS</w:t>
      </w:r>
      <w:r w:rsidR="009F6F14" w:rsidRPr="006A77ED">
        <w:t xml:space="preserve"> (</w:t>
      </w:r>
      <w:r w:rsidR="00B24D6B">
        <w:t>-</w:t>
      </w:r>
      <w:r w:rsidR="009F6F14" w:rsidRPr="006A77ED">
        <w:t xml:space="preserve">0.002/0.062). </w:t>
      </w:r>
      <w:r w:rsidR="0011470D" w:rsidRPr="006A77ED">
        <w:t>Th</w:t>
      </w:r>
      <w:r w:rsidR="0011470D">
        <w:t>ese results</w:t>
      </w:r>
      <w:r w:rsidR="0011470D" w:rsidRPr="006A77ED">
        <w:t xml:space="preserve"> confirm our earlier suggestion that f</w:t>
      </w:r>
      <w:r w:rsidR="009F6F14" w:rsidRPr="006A77ED">
        <w:t>irms with high</w:t>
      </w:r>
      <w:r w:rsidR="0011470D" w:rsidRPr="006A77ED">
        <w:t>er</w:t>
      </w:r>
      <w:r w:rsidR="009F6F14" w:rsidRPr="006A77ED">
        <w:t xml:space="preserve"> </w:t>
      </w:r>
      <w:r w:rsidR="009F6F14" w:rsidRPr="006A77ED">
        <w:rPr>
          <w:i/>
        </w:rPr>
        <w:t>BAS</w:t>
      </w:r>
      <w:r w:rsidR="009F6F14" w:rsidRPr="006A77ED">
        <w:t xml:space="preserve"> have more opportunity </w:t>
      </w:r>
      <w:r w:rsidR="0011470D">
        <w:t xml:space="preserve">to </w:t>
      </w:r>
      <w:r w:rsidR="009F6F14" w:rsidRPr="006A77ED">
        <w:t>reduc</w:t>
      </w:r>
      <w:r w:rsidR="0011470D">
        <w:t>e</w:t>
      </w:r>
      <w:r w:rsidR="009F6F14" w:rsidRPr="006A77ED">
        <w:t xml:space="preserve"> </w:t>
      </w:r>
      <w:r w:rsidR="009F6F14" w:rsidRPr="006A77ED">
        <w:rPr>
          <w:i/>
        </w:rPr>
        <w:t>BAS</w:t>
      </w:r>
      <w:r w:rsidR="009F6F14" w:rsidRPr="006A77ED">
        <w:t>.</w:t>
      </w:r>
      <w:r w:rsidR="0011470D">
        <w:t xml:space="preserve"> In the case of negative news, </w:t>
      </w:r>
      <w:r w:rsidR="0011470D" w:rsidRPr="00311B57">
        <w:t>there is more opportunity for the announcement to reduce the high pre-</w:t>
      </w:r>
      <w:r w:rsidR="00311B57" w:rsidRPr="003D6E55">
        <w:t>announcement</w:t>
      </w:r>
      <w:r w:rsidR="0011470D" w:rsidRPr="00311B57">
        <w:t xml:space="preserve"> information asymmetry experienced by </w:t>
      </w:r>
      <w:r w:rsidR="00B24D6B">
        <w:t xml:space="preserve">the </w:t>
      </w:r>
      <w:r w:rsidR="0011470D" w:rsidRPr="00311B57">
        <w:t xml:space="preserve">low transparency </w:t>
      </w:r>
      <w:r w:rsidR="00B24D6B">
        <w:t>group</w:t>
      </w:r>
      <w:r w:rsidR="0011470D" w:rsidRPr="00311B57">
        <w:t xml:space="preserve">. In contrast, </w:t>
      </w:r>
      <w:r w:rsidR="00B24D6B">
        <w:t xml:space="preserve">the </w:t>
      </w:r>
      <w:r w:rsidR="0011470D" w:rsidRPr="00311B57">
        <w:t xml:space="preserve">high transparency </w:t>
      </w:r>
      <w:r w:rsidR="00B24D6B">
        <w:t>group</w:t>
      </w:r>
      <w:r w:rsidR="0011470D" w:rsidRPr="00311B57">
        <w:t xml:space="preserve"> suffer</w:t>
      </w:r>
      <w:r w:rsidR="00402376">
        <w:t>s</w:t>
      </w:r>
      <w:r w:rsidR="0011470D" w:rsidRPr="00311B57">
        <w:t xml:space="preserve"> less from information asymmetry prior to the announcement, so there is less scope for investment transparency to reduce information asymmetry further.</w:t>
      </w:r>
      <w:r w:rsidR="0011470D">
        <w:t xml:space="preserve">  </w:t>
      </w:r>
    </w:p>
    <w:p w14:paraId="439C6D8A" w14:textId="77777777" w:rsidR="00311B57" w:rsidRDefault="00311B57" w:rsidP="0011470D">
      <w:pPr>
        <w:spacing w:line="360" w:lineRule="auto"/>
        <w:jc w:val="both"/>
      </w:pPr>
    </w:p>
    <w:p w14:paraId="71BDDF2D" w14:textId="65E54F8D" w:rsidR="005C6F38" w:rsidRDefault="00125CCE" w:rsidP="0011470D">
      <w:pPr>
        <w:spacing w:line="360" w:lineRule="auto"/>
        <w:jc w:val="both"/>
        <w:rPr>
          <w:b/>
        </w:rPr>
      </w:pPr>
      <w:r w:rsidRPr="003D6E55">
        <w:rPr>
          <w:b/>
        </w:rPr>
        <w:t>5.  Conclusion</w:t>
      </w:r>
    </w:p>
    <w:p w14:paraId="76E71CBD" w14:textId="0509509C" w:rsidR="006A7A3B" w:rsidRDefault="006A7A3B" w:rsidP="0011470D">
      <w:pPr>
        <w:spacing w:line="360" w:lineRule="auto"/>
        <w:jc w:val="both"/>
        <w:rPr>
          <w:b/>
        </w:rPr>
      </w:pPr>
    </w:p>
    <w:p w14:paraId="160CFD36" w14:textId="4C2E65CD" w:rsidR="00CB29B4" w:rsidRDefault="00C13A4D" w:rsidP="006A7A3B">
      <w:pPr>
        <w:spacing w:line="360" w:lineRule="auto"/>
        <w:jc w:val="both"/>
      </w:pPr>
      <w:r>
        <w:t xml:space="preserve">This paper investigates the market reactions to the level of transparency </w:t>
      </w:r>
      <w:r w:rsidR="00B1529D">
        <w:t xml:space="preserve">regarding the cost and forecast profitability </w:t>
      </w:r>
      <w:r w:rsidR="00673C87">
        <w:t>disclosed</w:t>
      </w:r>
      <w:r>
        <w:t xml:space="preserve"> in new capital expenditure announcements. Extant literature considers </w:t>
      </w:r>
      <w:r>
        <w:lastRenderedPageBreak/>
        <w:t xml:space="preserve">average market reactions to capital expenditure announcements, but fails to consider </w:t>
      </w:r>
      <w:r w:rsidR="00CF4579">
        <w:t xml:space="preserve">whether </w:t>
      </w:r>
      <w:r>
        <w:t xml:space="preserve">the </w:t>
      </w:r>
      <w:r w:rsidR="00CF4579">
        <w:t>content of the announcement may be important</w:t>
      </w:r>
      <w:r>
        <w:t xml:space="preserve">. </w:t>
      </w:r>
      <w:r w:rsidR="006006FE">
        <w:t>Using insights from d</w:t>
      </w:r>
      <w:r>
        <w:t>isclosure literature</w:t>
      </w:r>
      <w:r w:rsidR="006006FE">
        <w:t>, we test whether</w:t>
      </w:r>
      <w:r>
        <w:t xml:space="preserve"> greater transparency </w:t>
      </w:r>
      <w:r w:rsidR="006006FE">
        <w:t>positively impacts stock returns and reduces information asymmetry. We document that the sign of the market returns</w:t>
      </w:r>
      <w:r w:rsidR="00754681">
        <w:t xml:space="preserve"> surrounding the announcements</w:t>
      </w:r>
      <w:r w:rsidR="006006FE">
        <w:t xml:space="preserve"> </w:t>
      </w:r>
      <w:r w:rsidR="005E5F47">
        <w:t>is</w:t>
      </w:r>
      <w:r w:rsidR="006006FE">
        <w:t xml:space="preserve"> important in distinguishing factors that influence the stock market reactions to investment transparency. </w:t>
      </w:r>
      <w:r w:rsidR="00754681">
        <w:t xml:space="preserve">When short-window announcement period returns are positive, greater transparency is associated with higher returns, but only when earnings volatility is at or below median levels. In contrast, when announcement period returns are negative, greater transparency tends to reduce </w:t>
      </w:r>
      <w:r w:rsidR="00A75A1C">
        <w:t>returns, more so when earnings volatility is greater.</w:t>
      </w:r>
      <w:r w:rsidR="00754681">
        <w:t xml:space="preserve"> </w:t>
      </w:r>
      <w:r w:rsidR="00CB29B4">
        <w:t xml:space="preserve">We further document that </w:t>
      </w:r>
      <w:r w:rsidR="00CF4579">
        <w:t xml:space="preserve">information asymmetry reduces </w:t>
      </w:r>
      <w:r w:rsidR="00C77279">
        <w:t xml:space="preserve">in the twenty days </w:t>
      </w:r>
      <w:r w:rsidR="00CF4579">
        <w:t>following an</w:t>
      </w:r>
      <w:r w:rsidR="00C77279">
        <w:t xml:space="preserve"> announcement</w:t>
      </w:r>
      <w:r w:rsidR="00CB29B4">
        <w:t xml:space="preserve">, but only for </w:t>
      </w:r>
      <w:r w:rsidR="00C15203">
        <w:t xml:space="preserve">the </w:t>
      </w:r>
      <w:r w:rsidR="00CB29B4">
        <w:t xml:space="preserve">negative </w:t>
      </w:r>
      <w:r w:rsidR="00CB29B4" w:rsidRPr="003D6E55">
        <w:rPr>
          <w:i/>
        </w:rPr>
        <w:t>CAR</w:t>
      </w:r>
      <w:r w:rsidR="00CB29B4">
        <w:t xml:space="preserve"> subsample.</w:t>
      </w:r>
      <w:r w:rsidR="00402376">
        <w:t xml:space="preserve"> </w:t>
      </w:r>
      <w:r w:rsidR="00311B57" w:rsidRPr="003D6E55">
        <w:t>T</w:t>
      </w:r>
      <w:r w:rsidR="00CB29B4" w:rsidRPr="00311B57">
        <w:t>hese firms suffer from greater information asymmetry prior to the announcement,</w:t>
      </w:r>
      <w:r w:rsidR="00CB29B4">
        <w:t xml:space="preserve"> and therefore have more opportunity </w:t>
      </w:r>
      <w:r w:rsidR="00C77279">
        <w:t>to reduce information asymmetry</w:t>
      </w:r>
      <w:r w:rsidR="00402376">
        <w:t xml:space="preserve">. Yet, it is not apparent that greater transparency </w:t>
      </w:r>
      <w:r w:rsidR="00CF4579">
        <w:t xml:space="preserve">is driving the </w:t>
      </w:r>
      <w:r w:rsidR="00402376">
        <w:t>reduc</w:t>
      </w:r>
      <w:r w:rsidR="00CF4579">
        <w:t>tion in</w:t>
      </w:r>
      <w:r w:rsidR="00402376">
        <w:t xml:space="preserve"> information asymmetry for these firms. Rather, </w:t>
      </w:r>
      <w:r w:rsidR="001F3D44">
        <w:t>our evidence suggests that it is firms’ pre-disposition to high disclosure that lowers information asymmetry as opposed to the level of transparency of the announcement.</w:t>
      </w:r>
      <w:r w:rsidR="00402376">
        <w:t xml:space="preserve"> </w:t>
      </w:r>
    </w:p>
    <w:p w14:paraId="32A1C40C" w14:textId="77777777" w:rsidR="00CB29B4" w:rsidRDefault="00CB29B4" w:rsidP="006A7A3B">
      <w:pPr>
        <w:spacing w:line="360" w:lineRule="auto"/>
        <w:jc w:val="both"/>
      </w:pPr>
    </w:p>
    <w:p w14:paraId="7E605649" w14:textId="00743516" w:rsidR="006A7A3B" w:rsidRPr="003D6E55" w:rsidRDefault="00C77279" w:rsidP="0011470D">
      <w:pPr>
        <w:spacing w:line="360" w:lineRule="auto"/>
        <w:jc w:val="both"/>
        <w:rPr>
          <w:b/>
        </w:rPr>
      </w:pPr>
      <w:r>
        <w:t xml:space="preserve">We </w:t>
      </w:r>
      <w:r w:rsidR="00061A66">
        <w:t xml:space="preserve">also test </w:t>
      </w:r>
      <w:r w:rsidR="00311B57">
        <w:t>whether information asymmetry is lower and</w:t>
      </w:r>
      <w:r>
        <w:t xml:space="preserve"> </w:t>
      </w:r>
      <w:r w:rsidR="00061A66">
        <w:t xml:space="preserve">intangible assets are greater </w:t>
      </w:r>
      <w:r>
        <w:t xml:space="preserve">in the positive </w:t>
      </w:r>
      <w:r w:rsidRPr="003D6E55">
        <w:rPr>
          <w:i/>
        </w:rPr>
        <w:t>CAR</w:t>
      </w:r>
      <w:r>
        <w:rPr>
          <w:i/>
        </w:rPr>
        <w:t xml:space="preserve"> </w:t>
      </w:r>
      <w:r w:rsidRPr="003D6E55">
        <w:t>subsample</w:t>
      </w:r>
      <w:r w:rsidR="00061A66">
        <w:t xml:space="preserve">. </w:t>
      </w:r>
      <w:r w:rsidR="00C15203" w:rsidRPr="00311B57">
        <w:t>Our finding</w:t>
      </w:r>
      <w:r w:rsidR="00311B57" w:rsidRPr="00311B57">
        <w:t>s</w:t>
      </w:r>
      <w:r w:rsidR="00C15203" w:rsidRPr="00311B57">
        <w:t xml:space="preserve"> suggest</w:t>
      </w:r>
      <w:r w:rsidR="00061A66" w:rsidRPr="00311B57">
        <w:t xml:space="preserve"> that </w:t>
      </w:r>
      <w:r w:rsidR="006A7A3B" w:rsidRPr="00311B57">
        <w:t xml:space="preserve">the market </w:t>
      </w:r>
      <w:r w:rsidR="00061A66" w:rsidRPr="00311B57">
        <w:t xml:space="preserve">is more likely to </w:t>
      </w:r>
      <w:r w:rsidR="006A7A3B" w:rsidRPr="00311B57">
        <w:t>react positively to investment announcements when firms</w:t>
      </w:r>
      <w:r w:rsidR="00311B57">
        <w:t xml:space="preserve"> </w:t>
      </w:r>
      <w:r w:rsidR="00311B57" w:rsidRPr="00D668B6">
        <w:t>suffer less from information asymmetry</w:t>
      </w:r>
      <w:r w:rsidR="00311B57">
        <w:t xml:space="preserve"> and</w:t>
      </w:r>
      <w:r w:rsidR="006A7A3B" w:rsidRPr="00311B57">
        <w:t xml:space="preserve"> have better real growth options</w:t>
      </w:r>
      <w:r w:rsidR="00061A66" w:rsidRPr="00311B57">
        <w:t>. Taken</w:t>
      </w:r>
      <w:r w:rsidR="00061A66">
        <w:t xml:space="preserve"> together, our evidence implies that</w:t>
      </w:r>
      <w:r w:rsidR="006A7A3B" w:rsidRPr="00D57154">
        <w:t xml:space="preserve"> investment transparency increases announcement period returns as long as predictive earnings persistence is not hampered. </w:t>
      </w:r>
      <w:r w:rsidR="00A03425">
        <w:t>While o</w:t>
      </w:r>
      <w:r w:rsidR="000B4A1A">
        <w:t>ur small sample size</w:t>
      </w:r>
      <w:r w:rsidR="00A03425">
        <w:t xml:space="preserve"> leads us to</w:t>
      </w:r>
      <w:r w:rsidR="000B4A1A">
        <w:t xml:space="preserve"> cautio</w:t>
      </w:r>
      <w:r w:rsidR="00A03425">
        <w:t>n against</w:t>
      </w:r>
      <w:r w:rsidR="000B4A1A">
        <w:t xml:space="preserve"> generalising </w:t>
      </w:r>
      <w:r w:rsidR="006F32CA">
        <w:t>our</w:t>
      </w:r>
      <w:r w:rsidR="00A03425">
        <w:t xml:space="preserve"> </w:t>
      </w:r>
      <w:r w:rsidR="000B4A1A">
        <w:t xml:space="preserve">results to </w:t>
      </w:r>
      <w:r w:rsidR="00A03425">
        <w:t>larger</w:t>
      </w:r>
      <w:r w:rsidR="000B4A1A">
        <w:t xml:space="preserve"> jurisdictions</w:t>
      </w:r>
      <w:r w:rsidR="00A03425">
        <w:t>, the main insights to managers and standard-setters are the conditions under which investment transparency</w:t>
      </w:r>
      <w:r w:rsidR="00CF4579">
        <w:t xml:space="preserve"> may </w:t>
      </w:r>
      <w:r w:rsidR="00A03425">
        <w:t>be beneficial.</w:t>
      </w:r>
    </w:p>
    <w:p w14:paraId="02E8C4D5" w14:textId="77777777" w:rsidR="007849EB" w:rsidRDefault="007849EB" w:rsidP="00C05EFB">
      <w:pPr>
        <w:spacing w:line="360" w:lineRule="auto"/>
        <w:jc w:val="both"/>
      </w:pPr>
    </w:p>
    <w:p w14:paraId="48C36692" w14:textId="77777777" w:rsidR="00C44D82" w:rsidRDefault="00C44D82">
      <w:pPr>
        <w:rPr>
          <w:rFonts w:ascii="Calibri" w:eastAsia="Calibri" w:hAnsi="Calibri" w:cs="Times New Roman"/>
          <w:b/>
        </w:rPr>
      </w:pPr>
      <w:r>
        <w:rPr>
          <w:rFonts w:ascii="Calibri" w:eastAsia="Calibri" w:hAnsi="Calibri" w:cs="Times New Roman"/>
          <w:b/>
        </w:rPr>
        <w:br w:type="page"/>
      </w:r>
    </w:p>
    <w:p w14:paraId="6D938E1A" w14:textId="77777777" w:rsidR="003C28BE" w:rsidRDefault="003C28BE" w:rsidP="003D6E55">
      <w:pPr>
        <w:spacing w:line="360" w:lineRule="auto"/>
        <w:rPr>
          <w:rFonts w:cstheme="minorHAnsi"/>
        </w:rPr>
      </w:pPr>
      <w:r w:rsidRPr="001D421E">
        <w:rPr>
          <w:rFonts w:cstheme="minorHAnsi"/>
        </w:rPr>
        <w:lastRenderedPageBreak/>
        <w:t>Appendix 1</w:t>
      </w:r>
    </w:p>
    <w:p w14:paraId="5A9BBC35" w14:textId="0AB8028F" w:rsidR="003C28BE" w:rsidRPr="00260299" w:rsidRDefault="003C28BE" w:rsidP="003D6E55">
      <w:pPr>
        <w:spacing w:line="360" w:lineRule="auto"/>
        <w:rPr>
          <w:rFonts w:cstheme="minorHAnsi"/>
        </w:rPr>
      </w:pPr>
      <w:r w:rsidRPr="001D421E">
        <w:rPr>
          <w:rFonts w:cstheme="minorHAnsi"/>
        </w:rPr>
        <w:t xml:space="preserve">Examples of </w:t>
      </w:r>
      <w:r w:rsidR="00EE6F06">
        <w:rPr>
          <w:rFonts w:cstheme="minorHAnsi"/>
        </w:rPr>
        <w:t>new project</w:t>
      </w:r>
      <w:r w:rsidRPr="001D421E">
        <w:rPr>
          <w:rFonts w:cstheme="minorHAnsi"/>
        </w:rPr>
        <w:t xml:space="preserve"> announcements </w:t>
      </w:r>
      <w:r w:rsidR="00EE6F06" w:rsidRPr="001D421E">
        <w:rPr>
          <w:rFonts w:cstheme="minorHAnsi"/>
        </w:rPr>
        <w:t>to the ASX</w:t>
      </w:r>
      <w:r w:rsidR="00EE6F06">
        <w:rPr>
          <w:rFonts w:cstheme="minorHAnsi"/>
        </w:rPr>
        <w:t xml:space="preserve"> by listed Australian companies</w:t>
      </w:r>
    </w:p>
    <w:tbl>
      <w:tblPr>
        <w:tblStyle w:val="TableGrid"/>
        <w:tblW w:w="4670" w:type="pct"/>
        <w:tblBorders>
          <w:top w:val="single" w:sz="4" w:space="0" w:color="000000"/>
          <w:left w:val="none" w:sz="0" w:space="0" w:color="auto"/>
          <w:bottom w:val="single" w:sz="4" w:space="0" w:color="000000"/>
          <w:right w:val="none" w:sz="0" w:space="0" w:color="auto"/>
          <w:insideH w:val="single" w:sz="4" w:space="0" w:color="000000"/>
          <w:insideV w:val="none" w:sz="0" w:space="0" w:color="auto"/>
        </w:tblBorders>
        <w:tblLayout w:type="fixed"/>
        <w:tblLook w:val="04A0" w:firstRow="1" w:lastRow="0" w:firstColumn="1" w:lastColumn="0" w:noHBand="0" w:noVBand="1"/>
      </w:tblPr>
      <w:tblGrid>
        <w:gridCol w:w="1330"/>
        <w:gridCol w:w="1467"/>
        <w:gridCol w:w="595"/>
        <w:gridCol w:w="5038"/>
      </w:tblGrid>
      <w:tr w:rsidR="0057420C" w:rsidRPr="00260299" w14:paraId="79A15DAB" w14:textId="77777777" w:rsidTr="003D6E55">
        <w:trPr>
          <w:trHeight w:val="300"/>
        </w:trPr>
        <w:tc>
          <w:tcPr>
            <w:tcW w:w="789" w:type="pct"/>
            <w:tcBorders>
              <w:bottom w:val="single" w:sz="4" w:space="0" w:color="000000"/>
            </w:tcBorders>
            <w:noWrap/>
            <w:hideMark/>
          </w:tcPr>
          <w:p w14:paraId="2390330B" w14:textId="77777777" w:rsidR="0057420C" w:rsidRPr="00260299" w:rsidRDefault="0057420C" w:rsidP="003D6E55">
            <w:pPr>
              <w:rPr>
                <w:rFonts w:cstheme="minorHAnsi"/>
              </w:rPr>
            </w:pPr>
            <w:r w:rsidRPr="00260299">
              <w:rPr>
                <w:rFonts w:cstheme="minorHAnsi"/>
              </w:rPr>
              <w:t>Date</w:t>
            </w:r>
          </w:p>
        </w:tc>
        <w:tc>
          <w:tcPr>
            <w:tcW w:w="870" w:type="pct"/>
            <w:tcBorders>
              <w:bottom w:val="single" w:sz="4" w:space="0" w:color="000000"/>
            </w:tcBorders>
            <w:noWrap/>
            <w:hideMark/>
          </w:tcPr>
          <w:p w14:paraId="6E02F526" w14:textId="77777777" w:rsidR="0057420C" w:rsidRPr="00260299" w:rsidRDefault="0057420C" w:rsidP="00654228">
            <w:pPr>
              <w:rPr>
                <w:rFonts w:cstheme="minorHAnsi"/>
              </w:rPr>
            </w:pPr>
            <w:r w:rsidRPr="00260299">
              <w:rPr>
                <w:rFonts w:cstheme="minorHAnsi"/>
              </w:rPr>
              <w:t>Company</w:t>
            </w:r>
          </w:p>
        </w:tc>
        <w:tc>
          <w:tcPr>
            <w:tcW w:w="353" w:type="pct"/>
            <w:tcBorders>
              <w:bottom w:val="single" w:sz="4" w:space="0" w:color="000000"/>
            </w:tcBorders>
          </w:tcPr>
          <w:p w14:paraId="0283AFF0" w14:textId="77CF0064" w:rsidR="0057420C" w:rsidRPr="00260299" w:rsidRDefault="0057420C" w:rsidP="00654228">
            <w:pPr>
              <w:rPr>
                <w:rFonts w:cstheme="minorHAnsi"/>
              </w:rPr>
            </w:pPr>
            <w:r w:rsidRPr="00546729">
              <w:rPr>
                <w:rFonts w:cstheme="minorHAnsi"/>
                <w:i/>
              </w:rPr>
              <w:t>DQ</w:t>
            </w:r>
          </w:p>
        </w:tc>
        <w:tc>
          <w:tcPr>
            <w:tcW w:w="2988" w:type="pct"/>
            <w:tcBorders>
              <w:bottom w:val="single" w:sz="4" w:space="0" w:color="000000"/>
            </w:tcBorders>
            <w:noWrap/>
            <w:hideMark/>
          </w:tcPr>
          <w:p w14:paraId="11014ADB" w14:textId="5046D7D4" w:rsidR="0057420C" w:rsidRPr="00260299" w:rsidRDefault="0057420C">
            <w:pPr>
              <w:rPr>
                <w:rFonts w:cstheme="minorHAnsi"/>
              </w:rPr>
            </w:pPr>
            <w:r w:rsidRPr="00260299">
              <w:rPr>
                <w:rFonts w:cstheme="minorHAnsi"/>
              </w:rPr>
              <w:t>Ex</w:t>
            </w:r>
            <w:r w:rsidR="00EE6F06">
              <w:rPr>
                <w:rFonts w:cstheme="minorHAnsi"/>
              </w:rPr>
              <w:t>cerpt</w:t>
            </w:r>
            <w:r w:rsidRPr="00260299">
              <w:rPr>
                <w:rFonts w:cstheme="minorHAnsi"/>
              </w:rPr>
              <w:t xml:space="preserve"> from company announcement</w:t>
            </w:r>
          </w:p>
        </w:tc>
      </w:tr>
      <w:tr w:rsidR="00E8751E" w:rsidRPr="00954726" w14:paraId="69848F50" w14:textId="77777777" w:rsidTr="003D6E55">
        <w:trPr>
          <w:trHeight w:val="300"/>
        </w:trPr>
        <w:tc>
          <w:tcPr>
            <w:tcW w:w="789" w:type="pct"/>
            <w:tcBorders>
              <w:bottom w:val="nil"/>
            </w:tcBorders>
            <w:noWrap/>
            <w:hideMark/>
          </w:tcPr>
          <w:p w14:paraId="3E935D1C" w14:textId="48D2BC7A" w:rsidR="00E8751E" w:rsidRPr="003D6E55" w:rsidRDefault="00E8751E" w:rsidP="00E8751E">
            <w:pPr>
              <w:spacing w:after="120"/>
              <w:rPr>
                <w:rFonts w:cstheme="minorHAnsi"/>
                <w:highlight w:val="yellow"/>
              </w:rPr>
            </w:pPr>
            <w:r w:rsidRPr="00954726">
              <w:rPr>
                <w:rFonts w:cstheme="minorHAnsi"/>
              </w:rPr>
              <w:t>2</w:t>
            </w:r>
            <w:r>
              <w:rPr>
                <w:rFonts w:cstheme="minorHAnsi"/>
              </w:rPr>
              <w:t>0</w:t>
            </w:r>
            <w:r w:rsidRPr="00954726">
              <w:rPr>
                <w:rFonts w:cstheme="minorHAnsi"/>
              </w:rPr>
              <w:t>/</w:t>
            </w:r>
            <w:r>
              <w:rPr>
                <w:rFonts w:cstheme="minorHAnsi"/>
              </w:rPr>
              <w:t>2</w:t>
            </w:r>
            <w:r w:rsidRPr="00954726">
              <w:rPr>
                <w:rFonts w:cstheme="minorHAnsi"/>
              </w:rPr>
              <w:t>/201</w:t>
            </w:r>
            <w:r>
              <w:rPr>
                <w:rFonts w:cstheme="minorHAnsi"/>
              </w:rPr>
              <w:t>2</w:t>
            </w:r>
          </w:p>
        </w:tc>
        <w:tc>
          <w:tcPr>
            <w:tcW w:w="870" w:type="pct"/>
            <w:tcBorders>
              <w:bottom w:val="nil"/>
            </w:tcBorders>
            <w:noWrap/>
            <w:hideMark/>
          </w:tcPr>
          <w:p w14:paraId="3667DBE8" w14:textId="579573B4" w:rsidR="00E8751E" w:rsidRPr="003D6E55" w:rsidRDefault="00E8751E" w:rsidP="00E8751E">
            <w:pPr>
              <w:spacing w:after="120"/>
              <w:rPr>
                <w:rFonts w:cstheme="minorHAnsi"/>
                <w:highlight w:val="yellow"/>
              </w:rPr>
            </w:pPr>
            <w:r>
              <w:rPr>
                <w:rFonts w:cstheme="minorHAnsi"/>
              </w:rPr>
              <w:t>Bega Cheese</w:t>
            </w:r>
            <w:r w:rsidRPr="00954726">
              <w:rPr>
                <w:rFonts w:cstheme="minorHAnsi"/>
              </w:rPr>
              <w:t xml:space="preserve"> Limited</w:t>
            </w:r>
          </w:p>
        </w:tc>
        <w:tc>
          <w:tcPr>
            <w:tcW w:w="353" w:type="pct"/>
            <w:tcBorders>
              <w:bottom w:val="nil"/>
            </w:tcBorders>
          </w:tcPr>
          <w:p w14:paraId="496C19DD" w14:textId="7D46C116" w:rsidR="00E8751E" w:rsidRPr="00E8751E" w:rsidRDefault="00E8751E" w:rsidP="00E8751E">
            <w:pPr>
              <w:spacing w:after="120"/>
              <w:ind w:left="-150"/>
              <w:jc w:val="center"/>
              <w:rPr>
                <w:rFonts w:cstheme="minorHAnsi"/>
              </w:rPr>
            </w:pPr>
            <w:r w:rsidRPr="00E8751E">
              <w:rPr>
                <w:rFonts w:cstheme="minorHAnsi"/>
              </w:rPr>
              <w:t>0</w:t>
            </w:r>
          </w:p>
        </w:tc>
        <w:tc>
          <w:tcPr>
            <w:tcW w:w="2988" w:type="pct"/>
            <w:tcBorders>
              <w:bottom w:val="nil"/>
            </w:tcBorders>
            <w:noWrap/>
            <w:hideMark/>
          </w:tcPr>
          <w:p w14:paraId="5329112B" w14:textId="4A6DEBF9" w:rsidR="00E8751E" w:rsidRPr="003D6E55" w:rsidRDefault="00E8751E" w:rsidP="00E8751E">
            <w:pPr>
              <w:spacing w:after="120"/>
              <w:jc w:val="both"/>
              <w:rPr>
                <w:rFonts w:cstheme="minorHAnsi"/>
                <w:highlight w:val="yellow"/>
              </w:rPr>
            </w:pPr>
            <w:r w:rsidRPr="00C24F9F">
              <w:rPr>
                <w:rFonts w:cstheme="minorHAnsi"/>
              </w:rPr>
              <w:t>Victorian Minister for Innovation, Services and Small Business Louise Asher today joined with Bega Cheese in Dubai to</w:t>
            </w:r>
            <w:r>
              <w:rPr>
                <w:rFonts w:cstheme="minorHAnsi"/>
              </w:rPr>
              <w:t xml:space="preserve"> </w:t>
            </w:r>
            <w:r w:rsidRPr="00C24F9F">
              <w:rPr>
                <w:rFonts w:cstheme="minorHAnsi"/>
              </w:rPr>
              <w:t xml:space="preserve">announce a significant </w:t>
            </w:r>
            <w:r w:rsidRPr="00C24F9F">
              <w:rPr>
                <w:rFonts w:cstheme="minorHAnsi"/>
                <w:b/>
              </w:rPr>
              <w:t>$7.8 million expansion</w:t>
            </w:r>
            <w:r w:rsidRPr="00C24F9F">
              <w:rPr>
                <w:rFonts w:cstheme="minorHAnsi"/>
              </w:rPr>
              <w:t xml:space="preserve"> of the company’s Tatura facility in northern Victoria, generating added</w:t>
            </w:r>
            <w:r>
              <w:rPr>
                <w:rFonts w:cstheme="minorHAnsi"/>
              </w:rPr>
              <w:t xml:space="preserve"> </w:t>
            </w:r>
            <w:r w:rsidRPr="00C24F9F">
              <w:rPr>
                <w:rFonts w:cstheme="minorHAnsi"/>
              </w:rPr>
              <w:t>investment and jobs in the dairy industry.</w:t>
            </w:r>
          </w:p>
        </w:tc>
      </w:tr>
      <w:tr w:rsidR="00E8751E" w:rsidRPr="00954726" w14:paraId="5CA99AE1" w14:textId="77777777" w:rsidTr="003D6E55">
        <w:trPr>
          <w:trHeight w:val="600"/>
        </w:trPr>
        <w:tc>
          <w:tcPr>
            <w:tcW w:w="789" w:type="pct"/>
            <w:tcBorders>
              <w:top w:val="nil"/>
              <w:bottom w:val="nil"/>
            </w:tcBorders>
            <w:noWrap/>
            <w:hideMark/>
          </w:tcPr>
          <w:p w14:paraId="1D7AD119" w14:textId="76029967" w:rsidR="00E8751E" w:rsidRPr="003D6E55" w:rsidRDefault="00E8751E" w:rsidP="00E8751E">
            <w:pPr>
              <w:spacing w:after="120"/>
              <w:rPr>
                <w:rFonts w:cstheme="minorHAnsi"/>
                <w:highlight w:val="yellow"/>
              </w:rPr>
            </w:pPr>
            <w:r>
              <w:rPr>
                <w:rFonts w:cstheme="minorHAnsi"/>
              </w:rPr>
              <w:t>10/11/2009</w:t>
            </w:r>
          </w:p>
        </w:tc>
        <w:tc>
          <w:tcPr>
            <w:tcW w:w="870" w:type="pct"/>
            <w:tcBorders>
              <w:top w:val="nil"/>
              <w:bottom w:val="nil"/>
            </w:tcBorders>
            <w:noWrap/>
            <w:hideMark/>
          </w:tcPr>
          <w:p w14:paraId="099C93ED" w14:textId="77777777" w:rsidR="00E8751E" w:rsidRPr="00954726" w:rsidRDefault="00E8751E" w:rsidP="00E8751E">
            <w:pPr>
              <w:spacing w:after="120"/>
              <w:rPr>
                <w:rFonts w:cstheme="minorHAnsi"/>
              </w:rPr>
            </w:pPr>
            <w:r>
              <w:rPr>
                <w:rFonts w:cstheme="minorHAnsi"/>
              </w:rPr>
              <w:t>Ardent Leisure Group</w:t>
            </w:r>
            <w:r w:rsidRPr="00954726">
              <w:rPr>
                <w:rFonts w:cstheme="minorHAnsi"/>
              </w:rPr>
              <w:t xml:space="preserve"> </w:t>
            </w:r>
          </w:p>
          <w:p w14:paraId="230D53C0" w14:textId="77777777" w:rsidR="00E8751E" w:rsidRPr="003D6E55" w:rsidRDefault="00E8751E" w:rsidP="00E8751E">
            <w:pPr>
              <w:spacing w:after="120"/>
              <w:rPr>
                <w:rFonts w:cstheme="minorHAnsi"/>
                <w:highlight w:val="yellow"/>
              </w:rPr>
            </w:pPr>
          </w:p>
        </w:tc>
        <w:tc>
          <w:tcPr>
            <w:tcW w:w="353" w:type="pct"/>
            <w:tcBorders>
              <w:top w:val="nil"/>
              <w:bottom w:val="nil"/>
            </w:tcBorders>
          </w:tcPr>
          <w:p w14:paraId="5152B894" w14:textId="6BCB2698" w:rsidR="00E8751E" w:rsidRPr="00E8751E" w:rsidRDefault="00E8751E" w:rsidP="00E8751E">
            <w:pPr>
              <w:spacing w:after="120"/>
              <w:ind w:left="-150"/>
              <w:jc w:val="center"/>
              <w:rPr>
                <w:rFonts w:cstheme="minorHAnsi"/>
              </w:rPr>
            </w:pPr>
            <w:r w:rsidRPr="00E8751E">
              <w:rPr>
                <w:rFonts w:cstheme="minorHAnsi"/>
              </w:rPr>
              <w:t>1</w:t>
            </w:r>
          </w:p>
        </w:tc>
        <w:tc>
          <w:tcPr>
            <w:tcW w:w="2988" w:type="pct"/>
            <w:tcBorders>
              <w:top w:val="nil"/>
              <w:bottom w:val="nil"/>
            </w:tcBorders>
            <w:noWrap/>
            <w:hideMark/>
          </w:tcPr>
          <w:p w14:paraId="6D7FD8B5" w14:textId="751A21C1" w:rsidR="00E8751E" w:rsidRPr="003D6E55" w:rsidRDefault="00E8751E">
            <w:pPr>
              <w:autoSpaceDE w:val="0"/>
              <w:autoSpaceDN w:val="0"/>
              <w:adjustRightInd w:val="0"/>
              <w:spacing w:after="120"/>
              <w:jc w:val="both"/>
              <w:rPr>
                <w:rFonts w:cstheme="minorHAnsi"/>
                <w:highlight w:val="yellow"/>
              </w:rPr>
            </w:pPr>
            <w:r w:rsidRPr="00CA0567">
              <w:rPr>
                <w:rFonts w:cstheme="minorHAnsi"/>
              </w:rPr>
              <w:t>Ardent Leisure Group (ASX:AAD)</w:t>
            </w:r>
            <w:r w:rsidR="00B630A4">
              <w:rPr>
                <w:rFonts w:cstheme="minorHAnsi"/>
              </w:rPr>
              <w:t xml:space="preserve"> </w:t>
            </w:r>
            <w:r w:rsidRPr="00CA0567">
              <w:rPr>
                <w:rFonts w:cstheme="minorHAnsi"/>
              </w:rPr>
              <w:t xml:space="preserve">(the Group) today advises that it has reached agreement to acquire the real estate and business of Q Deck - Australia’s highest beachside observation tower on levels 77 and 78 of the Q1 building, in Surfers Paradise, Gold Coast for </w:t>
            </w:r>
            <w:r w:rsidRPr="00CA0567">
              <w:rPr>
                <w:rFonts w:cstheme="minorHAnsi"/>
                <w:b/>
              </w:rPr>
              <w:t>$13.3 million</w:t>
            </w:r>
            <w:r>
              <w:rPr>
                <w:rFonts w:cstheme="minorHAnsi"/>
              </w:rPr>
              <w:t xml:space="preserve">. </w:t>
            </w:r>
            <w:r w:rsidRPr="00CA0567">
              <w:rPr>
                <w:rFonts w:cstheme="minorHAnsi"/>
              </w:rPr>
              <w:t xml:space="preserve">Established in 2005, Q deck is forecast to generate </w:t>
            </w:r>
            <w:r w:rsidRPr="00CA0567">
              <w:rPr>
                <w:rFonts w:cstheme="minorHAnsi"/>
                <w:b/>
              </w:rPr>
              <w:t>EBITDA of $2 million</w:t>
            </w:r>
            <w:r w:rsidRPr="00CA0567">
              <w:rPr>
                <w:rFonts w:cstheme="minorHAnsi"/>
              </w:rPr>
              <w:t xml:space="preserve"> in </w:t>
            </w:r>
            <w:r w:rsidRPr="00E8751E">
              <w:rPr>
                <w:rFonts w:cstheme="minorHAnsi"/>
              </w:rPr>
              <w:t xml:space="preserve">the </w:t>
            </w:r>
            <w:r w:rsidRPr="003D6E55">
              <w:rPr>
                <w:rFonts w:cstheme="minorHAnsi"/>
              </w:rPr>
              <w:t>2010 financial year</w:t>
            </w:r>
            <w:r w:rsidRPr="00E8751E">
              <w:rPr>
                <w:rFonts w:cstheme="minorHAnsi"/>
              </w:rPr>
              <w:t xml:space="preserve"> before the benefit of marketing and management</w:t>
            </w:r>
            <w:r w:rsidRPr="00CA0567">
              <w:rPr>
                <w:rFonts w:cstheme="minorHAnsi"/>
              </w:rPr>
              <w:t xml:space="preserve"> synergies delivered by the Group.</w:t>
            </w:r>
          </w:p>
        </w:tc>
      </w:tr>
      <w:tr w:rsidR="00E8751E" w:rsidRPr="00954726" w14:paraId="09B15B7E" w14:textId="77777777" w:rsidTr="003D6E55">
        <w:trPr>
          <w:trHeight w:val="600"/>
        </w:trPr>
        <w:tc>
          <w:tcPr>
            <w:tcW w:w="789" w:type="pct"/>
            <w:tcBorders>
              <w:top w:val="nil"/>
            </w:tcBorders>
            <w:noWrap/>
            <w:hideMark/>
          </w:tcPr>
          <w:p w14:paraId="71A77EC7" w14:textId="068DCFB2" w:rsidR="00E8751E" w:rsidRPr="003D6E55" w:rsidRDefault="00E8751E" w:rsidP="00E8751E">
            <w:pPr>
              <w:rPr>
                <w:rFonts w:cstheme="minorHAnsi"/>
                <w:highlight w:val="yellow"/>
              </w:rPr>
            </w:pPr>
            <w:r>
              <w:rPr>
                <w:rFonts w:cstheme="minorHAnsi"/>
              </w:rPr>
              <w:t>8/2/2011</w:t>
            </w:r>
          </w:p>
        </w:tc>
        <w:tc>
          <w:tcPr>
            <w:tcW w:w="870" w:type="pct"/>
            <w:tcBorders>
              <w:top w:val="nil"/>
            </w:tcBorders>
            <w:noWrap/>
            <w:hideMark/>
          </w:tcPr>
          <w:p w14:paraId="4051D1C8" w14:textId="7E31ECA3" w:rsidR="00E8751E" w:rsidRPr="00954726" w:rsidRDefault="00E8751E" w:rsidP="00E8751E">
            <w:pPr>
              <w:rPr>
                <w:rFonts w:cstheme="minorHAnsi"/>
              </w:rPr>
            </w:pPr>
            <w:r w:rsidRPr="00954726">
              <w:rPr>
                <w:rFonts w:cstheme="minorHAnsi"/>
              </w:rPr>
              <w:t>A</w:t>
            </w:r>
            <w:r>
              <w:rPr>
                <w:rFonts w:cstheme="minorHAnsi"/>
              </w:rPr>
              <w:t>.P. Eagers</w:t>
            </w:r>
            <w:r w:rsidRPr="00954726">
              <w:rPr>
                <w:rFonts w:cstheme="minorHAnsi"/>
              </w:rPr>
              <w:t xml:space="preserve"> Limited</w:t>
            </w:r>
          </w:p>
          <w:p w14:paraId="3C50A73A" w14:textId="77777777" w:rsidR="00E8751E" w:rsidRPr="003D6E55" w:rsidRDefault="00E8751E" w:rsidP="00E8751E">
            <w:pPr>
              <w:rPr>
                <w:rFonts w:cstheme="minorHAnsi"/>
                <w:highlight w:val="yellow"/>
              </w:rPr>
            </w:pPr>
          </w:p>
        </w:tc>
        <w:tc>
          <w:tcPr>
            <w:tcW w:w="353" w:type="pct"/>
            <w:tcBorders>
              <w:top w:val="nil"/>
            </w:tcBorders>
          </w:tcPr>
          <w:p w14:paraId="7D2C2040" w14:textId="6B948576" w:rsidR="00E8751E" w:rsidRPr="00E8751E" w:rsidRDefault="00E8751E" w:rsidP="00E8751E">
            <w:pPr>
              <w:ind w:left="-150"/>
              <w:jc w:val="center"/>
              <w:rPr>
                <w:rFonts w:cstheme="minorHAnsi"/>
              </w:rPr>
            </w:pPr>
            <w:r w:rsidRPr="00E8751E">
              <w:rPr>
                <w:rFonts w:cstheme="minorHAnsi"/>
              </w:rPr>
              <w:t>1</w:t>
            </w:r>
          </w:p>
        </w:tc>
        <w:tc>
          <w:tcPr>
            <w:tcW w:w="2988" w:type="pct"/>
            <w:tcBorders>
              <w:top w:val="nil"/>
            </w:tcBorders>
            <w:noWrap/>
            <w:hideMark/>
          </w:tcPr>
          <w:p w14:paraId="20DE42B2" w14:textId="0C30A73B" w:rsidR="00E8751E" w:rsidRPr="003D6E55" w:rsidRDefault="00E8751E">
            <w:pPr>
              <w:spacing w:after="120"/>
              <w:jc w:val="both"/>
              <w:rPr>
                <w:rFonts w:cstheme="minorHAnsi"/>
                <w:highlight w:val="yellow"/>
              </w:rPr>
            </w:pPr>
            <w:r w:rsidRPr="00D03C1F">
              <w:rPr>
                <w:rFonts w:cstheme="minorHAnsi"/>
              </w:rPr>
              <w:t>A.P. Eagers Limited (ASX:APE) has today agreed, throug</w:t>
            </w:r>
            <w:r>
              <w:rPr>
                <w:rFonts w:cstheme="minorHAnsi"/>
              </w:rPr>
              <w:t xml:space="preserve">h its recently acquired Adtrans </w:t>
            </w:r>
            <w:r w:rsidRPr="00D03C1F">
              <w:rPr>
                <w:rFonts w:cstheme="minorHAnsi"/>
              </w:rPr>
              <w:t>business, to purchase the Eblen Motors dealerships in Adelaide.</w:t>
            </w:r>
            <w:r>
              <w:rPr>
                <w:rFonts w:cstheme="minorHAnsi"/>
              </w:rPr>
              <w:t xml:space="preserve"> </w:t>
            </w:r>
            <w:r w:rsidRPr="003D6E55">
              <w:rPr>
                <w:rFonts w:cstheme="minorHAnsi"/>
              </w:rPr>
              <w:t>Completion is expected to take place on 1 March 2011.</w:t>
            </w:r>
            <w:r>
              <w:rPr>
                <w:rFonts w:cstheme="minorHAnsi"/>
                <w:b/>
              </w:rPr>
              <w:t xml:space="preserve"> </w:t>
            </w:r>
            <w:r w:rsidRPr="00D03C1F">
              <w:rPr>
                <w:rFonts w:cstheme="minorHAnsi"/>
              </w:rPr>
              <w:t xml:space="preserve">The </w:t>
            </w:r>
            <w:r w:rsidRPr="00D03C1F">
              <w:rPr>
                <w:rFonts w:cstheme="minorHAnsi"/>
                <w:b/>
              </w:rPr>
              <w:t>acquisition cost will be approximately $7 million</w:t>
            </w:r>
            <w:r w:rsidRPr="00D03C1F">
              <w:rPr>
                <w:rFonts w:cstheme="minorHAnsi"/>
              </w:rPr>
              <w:t>, including go</w:t>
            </w:r>
            <w:r>
              <w:rPr>
                <w:rFonts w:cstheme="minorHAnsi"/>
              </w:rPr>
              <w:t xml:space="preserve">odwill, net assets and the land </w:t>
            </w:r>
            <w:r w:rsidRPr="00D03C1F">
              <w:rPr>
                <w:rFonts w:cstheme="minorHAnsi"/>
              </w:rPr>
              <w:t>and buildings of the main dealership property at 106-114 Brighton Road, Glenelg</w:t>
            </w:r>
            <w:r w:rsidR="00B630A4">
              <w:rPr>
                <w:rFonts w:cstheme="minorHAnsi"/>
              </w:rPr>
              <w:t xml:space="preserve">. . . . </w:t>
            </w:r>
            <w:r w:rsidRPr="00D03C1F">
              <w:rPr>
                <w:rFonts w:cstheme="minorHAnsi"/>
              </w:rPr>
              <w:t>Eblen Motors</w:t>
            </w:r>
            <w:r w:rsidRPr="00D03C1F">
              <w:rPr>
                <w:rFonts w:cstheme="minorHAnsi"/>
                <w:b/>
              </w:rPr>
              <w:t xml:space="preserve"> sells approximately 1,300 new and used vehicles each year</w:t>
            </w:r>
            <w:r>
              <w:rPr>
                <w:rFonts w:cstheme="minorHAnsi"/>
              </w:rPr>
              <w:t xml:space="preserve"> and </w:t>
            </w:r>
            <w:r w:rsidRPr="00D03C1F">
              <w:rPr>
                <w:rFonts w:cstheme="minorHAnsi"/>
              </w:rPr>
              <w:t>has an</w:t>
            </w:r>
            <w:r w:rsidRPr="00D03C1F">
              <w:rPr>
                <w:rFonts w:cstheme="minorHAnsi"/>
                <w:b/>
              </w:rPr>
              <w:t xml:space="preserve"> annual turnover of approximately $50 million</w:t>
            </w:r>
            <w:r w:rsidRPr="00D03C1F">
              <w:rPr>
                <w:rFonts w:cstheme="minorHAnsi"/>
              </w:rPr>
              <w:t>.</w:t>
            </w:r>
          </w:p>
        </w:tc>
      </w:tr>
    </w:tbl>
    <w:p w14:paraId="740FA66B" w14:textId="77777777" w:rsidR="003C28BE" w:rsidRPr="00954726" w:rsidRDefault="003C28BE" w:rsidP="003C28BE">
      <w:pPr>
        <w:rPr>
          <w:rFonts w:cstheme="minorHAnsi"/>
        </w:rPr>
      </w:pPr>
    </w:p>
    <w:p w14:paraId="69169AC0" w14:textId="3A153E9A" w:rsidR="004726D6" w:rsidRDefault="00F553EB" w:rsidP="003C28BE">
      <w:pPr>
        <w:jc w:val="both"/>
        <w:rPr>
          <w:rFonts w:cstheme="minorHAnsi"/>
        </w:rPr>
      </w:pPr>
      <w:r>
        <w:t xml:space="preserve">Examples of the </w:t>
      </w:r>
      <w:r w:rsidRPr="003D6E55">
        <w:rPr>
          <w:i/>
        </w:rPr>
        <w:t xml:space="preserve">DQ </w:t>
      </w:r>
      <w:r w:rsidR="00D8375B">
        <w:t xml:space="preserve">transparency </w:t>
      </w:r>
      <w:r>
        <w:t xml:space="preserve">measure are presented. </w:t>
      </w:r>
      <w:r>
        <w:rPr>
          <w:i/>
        </w:rPr>
        <w:t>DQ</w:t>
      </w:r>
      <w:r>
        <w:t xml:space="preserve"> is a dummy variable equal to 1 for high transparency and 0 for low transparency. Transparency is classified as high when the total number of discrete </w:t>
      </w:r>
      <w:r w:rsidRPr="008F41FA">
        <w:t>quantitative measures</w:t>
      </w:r>
      <w:r>
        <w:t xml:space="preserve"> (listed in </w:t>
      </w:r>
      <w:r w:rsidRPr="003D6E55">
        <w:rPr>
          <w:b/>
        </w:rPr>
        <w:t>bold</w:t>
      </w:r>
      <w:r w:rsidR="00D8375B">
        <w:rPr>
          <w:b/>
        </w:rPr>
        <w:t xml:space="preserve"> </w:t>
      </w:r>
      <w:r w:rsidR="00D8375B" w:rsidRPr="003D6E55">
        <w:t>in the examples above</w:t>
      </w:r>
      <w:r>
        <w:t>)</w:t>
      </w:r>
      <w:r w:rsidRPr="008F41FA">
        <w:t xml:space="preserve"> regarding the profitability</w:t>
      </w:r>
      <w:r>
        <w:t xml:space="preserve"> and</w:t>
      </w:r>
      <w:r w:rsidRPr="008F41FA">
        <w:t xml:space="preserve"> cost of project </w:t>
      </w:r>
      <w:r w:rsidRPr="00624D91">
        <w:rPr>
          <w:i/>
        </w:rPr>
        <w:t xml:space="preserve">j </w:t>
      </w:r>
      <w:r w:rsidRPr="008F41FA">
        <w:t xml:space="preserve">disclosed in a new capital expenditure announcement for firm </w:t>
      </w:r>
      <w:r w:rsidRPr="00624D91">
        <w:rPr>
          <w:i/>
        </w:rPr>
        <w:t>i</w:t>
      </w:r>
      <w:r w:rsidRPr="008F41FA">
        <w:t xml:space="preserve"> in year </w:t>
      </w:r>
      <w:r w:rsidRPr="00624D91">
        <w:rPr>
          <w:i/>
        </w:rPr>
        <w:t>t</w:t>
      </w:r>
      <w:r>
        <w:t xml:space="preserve"> is greater than 1. Transparency is considered to be low when the total number of profitability and cost measures disclosed is less than or equal to 1. </w:t>
      </w:r>
    </w:p>
    <w:p w14:paraId="5812628F" w14:textId="77777777" w:rsidR="00F553EB" w:rsidRDefault="00F553EB" w:rsidP="003C28BE">
      <w:pPr>
        <w:jc w:val="both"/>
        <w:rPr>
          <w:rFonts w:cstheme="minorHAnsi"/>
        </w:rPr>
      </w:pPr>
    </w:p>
    <w:p w14:paraId="4C19C207" w14:textId="1AF8DBBB" w:rsidR="003C28BE" w:rsidRPr="00954726" w:rsidRDefault="003C28BE" w:rsidP="003C28BE">
      <w:pPr>
        <w:jc w:val="both"/>
        <w:rPr>
          <w:rFonts w:cstheme="minorHAnsi"/>
        </w:rPr>
      </w:pPr>
      <w:r w:rsidRPr="00954726">
        <w:rPr>
          <w:rFonts w:cstheme="minorHAnsi"/>
        </w:rPr>
        <w:t>Source: SIRCA Australian Company Announcements</w:t>
      </w:r>
    </w:p>
    <w:p w14:paraId="5D6ABE77" w14:textId="77777777" w:rsidR="003C28BE" w:rsidRDefault="003C28BE">
      <w:pPr>
        <w:rPr>
          <w:rFonts w:ascii="Calibri" w:eastAsia="Calibri" w:hAnsi="Calibri" w:cs="Times New Roman"/>
          <w:b/>
        </w:rPr>
      </w:pPr>
      <w:r>
        <w:rPr>
          <w:rFonts w:ascii="Calibri" w:eastAsia="Calibri" w:hAnsi="Calibri" w:cs="Times New Roman"/>
          <w:b/>
        </w:rPr>
        <w:br w:type="page"/>
      </w:r>
    </w:p>
    <w:p w14:paraId="38F456CE" w14:textId="17223ABD" w:rsidR="00973144" w:rsidRPr="001C2124" w:rsidRDefault="00973144" w:rsidP="00973144">
      <w:pPr>
        <w:spacing w:line="360" w:lineRule="auto"/>
        <w:rPr>
          <w:rFonts w:ascii="Calibri" w:eastAsia="Calibri" w:hAnsi="Calibri" w:cs="Times New Roman"/>
          <w:color w:val="FF0000"/>
        </w:rPr>
      </w:pPr>
      <w:r w:rsidRPr="00CD7263">
        <w:rPr>
          <w:rFonts w:ascii="Calibri" w:eastAsia="Calibri" w:hAnsi="Calibri" w:cs="Times New Roman"/>
        </w:rPr>
        <w:lastRenderedPageBreak/>
        <w:t>Appendix</w:t>
      </w:r>
      <w:r w:rsidR="003C28BE" w:rsidRPr="00CD7263">
        <w:rPr>
          <w:rFonts w:ascii="Calibri" w:eastAsia="Calibri" w:hAnsi="Calibri" w:cs="Times New Roman"/>
        </w:rPr>
        <w:t xml:space="preserve"> 2</w:t>
      </w:r>
      <w:r w:rsidRPr="00CD7263">
        <w:rPr>
          <w:rFonts w:ascii="Calibri" w:eastAsia="Calibri" w:hAnsi="Calibri" w:cs="Times New Roman"/>
        </w:rPr>
        <w:t>: Variable Definitions</w:t>
      </w:r>
      <w:r w:rsidR="005F2184">
        <w:rPr>
          <w:rFonts w:ascii="Calibri" w:eastAsia="Calibri" w:hAnsi="Calibri" w:cs="Times New Roman"/>
        </w:rPr>
        <w:t xml:space="preserve"> </w:t>
      </w:r>
    </w:p>
    <w:p w14:paraId="10B2DF9A" w14:textId="2B6A44D3" w:rsidR="00973144" w:rsidRDefault="00973144" w:rsidP="00973144">
      <w:pPr>
        <w:spacing w:line="360" w:lineRule="auto"/>
        <w:ind w:left="1985" w:hanging="1985"/>
        <w:rPr>
          <w:rFonts w:ascii="Calibri" w:eastAsia="Calibri" w:hAnsi="Calibri" w:cs="Times New Roman"/>
          <w:i/>
        </w:rPr>
      </w:pPr>
      <w:r>
        <w:rPr>
          <w:rFonts w:ascii="Calibri" w:eastAsia="Calibri" w:hAnsi="Calibri" w:cs="Times New Roman"/>
          <w:i/>
        </w:rPr>
        <w:t>CAR</w:t>
      </w:r>
      <w:r>
        <w:rPr>
          <w:rFonts w:ascii="Calibri" w:eastAsia="Calibri" w:hAnsi="Calibri" w:cs="Times New Roman"/>
          <w:i/>
          <w:vertAlign w:val="subscript"/>
        </w:rPr>
        <w:t>j</w:t>
      </w:r>
      <w:r>
        <w:rPr>
          <w:rFonts w:ascii="Calibri" w:eastAsia="Calibri" w:hAnsi="Calibri" w:cs="Times New Roman"/>
          <w:i/>
        </w:rPr>
        <w:tab/>
      </w:r>
      <w:r>
        <w:rPr>
          <w:rFonts w:ascii="Calibri" w:eastAsia="Calibri" w:hAnsi="Calibri" w:cs="Times New Roman"/>
        </w:rPr>
        <w:t xml:space="preserve">Cumulative abnormal return, being the sum of abnormal returns for each project announcement </w:t>
      </w:r>
      <w:r w:rsidR="00546729" w:rsidRPr="00546729">
        <w:rPr>
          <w:rFonts w:ascii="Calibri" w:eastAsia="Calibri" w:hAnsi="Calibri" w:cs="Times New Roman"/>
          <w:i/>
        </w:rPr>
        <w:t>j</w:t>
      </w:r>
      <w:r>
        <w:rPr>
          <w:rFonts w:ascii="Calibri" w:eastAsia="Calibri" w:hAnsi="Calibri" w:cs="Times New Roman"/>
        </w:rPr>
        <w:t xml:space="preserve">, across event windows (-10,-2), (-2,+2), </w:t>
      </w:r>
      <w:r w:rsidR="00FD53DC">
        <w:rPr>
          <w:rFonts w:ascii="Calibri" w:eastAsia="Calibri" w:hAnsi="Calibri" w:cs="Times New Roman"/>
        </w:rPr>
        <w:t>[0,+2]</w:t>
      </w:r>
      <w:r>
        <w:rPr>
          <w:rFonts w:ascii="Calibri" w:eastAsia="Calibri" w:hAnsi="Calibri" w:cs="Times New Roman"/>
        </w:rPr>
        <w:t>, (</w:t>
      </w:r>
      <w:r w:rsidR="009F2EB3">
        <w:rPr>
          <w:rFonts w:ascii="Calibri" w:eastAsia="Calibri" w:hAnsi="Calibri" w:cs="Times New Roman"/>
        </w:rPr>
        <w:noBreakHyphen/>
        <w:t>10</w:t>
      </w:r>
      <w:r>
        <w:rPr>
          <w:rFonts w:ascii="Calibri" w:eastAsia="Calibri" w:hAnsi="Calibri" w:cs="Times New Roman"/>
        </w:rPr>
        <w:t>,+10)</w:t>
      </w:r>
      <w:r w:rsidR="009F2EB3">
        <w:rPr>
          <w:rFonts w:ascii="Calibri" w:eastAsia="Calibri" w:hAnsi="Calibri" w:cs="Times New Roman"/>
        </w:rPr>
        <w:t>,</w:t>
      </w:r>
      <w:r>
        <w:rPr>
          <w:rFonts w:ascii="Calibri" w:eastAsia="Calibri" w:hAnsi="Calibri" w:cs="Times New Roman"/>
        </w:rPr>
        <w:t xml:space="preserve"> </w:t>
      </w:r>
      <w:r w:rsidR="00134659">
        <w:rPr>
          <w:rFonts w:ascii="Calibri" w:eastAsia="Calibri" w:hAnsi="Calibri" w:cs="Times New Roman"/>
        </w:rPr>
        <w:t>[-10,+20]</w:t>
      </w:r>
      <w:r w:rsidR="009F2EB3">
        <w:rPr>
          <w:rFonts w:ascii="Calibri" w:eastAsia="Calibri" w:hAnsi="Calibri" w:cs="Times New Roman"/>
        </w:rPr>
        <w:t xml:space="preserve"> and </w:t>
      </w:r>
      <w:r w:rsidR="00134659">
        <w:rPr>
          <w:rFonts w:ascii="Calibri" w:eastAsia="Calibri" w:hAnsi="Calibri" w:cs="Times New Roman"/>
        </w:rPr>
        <w:t>[-20,+20]</w:t>
      </w:r>
      <w:r>
        <w:rPr>
          <w:rFonts w:ascii="Calibri" w:eastAsia="Calibri" w:hAnsi="Calibri" w:cs="Times New Roman"/>
        </w:rPr>
        <w:t>. Abnormal returns are measured as market-adjusted returns.</w:t>
      </w:r>
      <w:r w:rsidR="009F2EB3">
        <w:rPr>
          <w:rFonts w:ascii="Calibri" w:eastAsia="Calibri" w:hAnsi="Calibri" w:cs="Times New Roman"/>
        </w:rPr>
        <w:t xml:space="preserve"> </w:t>
      </w:r>
    </w:p>
    <w:p w14:paraId="521F453B" w14:textId="3FF269D5" w:rsidR="009F2EB3" w:rsidRPr="00B91328" w:rsidRDefault="00973144" w:rsidP="009F2EB3">
      <w:pPr>
        <w:spacing w:line="360" w:lineRule="auto"/>
        <w:ind w:left="1985" w:hanging="1985"/>
        <w:rPr>
          <w:rFonts w:ascii="Calibri" w:eastAsia="Calibri" w:hAnsi="Calibri" w:cs="Times New Roman"/>
        </w:rPr>
      </w:pPr>
      <w:r w:rsidRPr="00B91328">
        <w:rPr>
          <w:rFonts w:ascii="Calibri" w:eastAsia="Calibri" w:hAnsi="Calibri" w:cs="Times New Roman"/>
          <w:i/>
        </w:rPr>
        <w:t>DQ</w:t>
      </w:r>
      <w:r w:rsidRPr="00B91328">
        <w:rPr>
          <w:rFonts w:ascii="Calibri" w:eastAsia="Calibri" w:hAnsi="Calibri" w:cs="Times New Roman"/>
          <w:i/>
          <w:vertAlign w:val="subscript"/>
        </w:rPr>
        <w:t>j,i,</w:t>
      </w:r>
      <w:r w:rsidR="006B7274">
        <w:rPr>
          <w:rFonts w:ascii="Calibri" w:eastAsia="Calibri" w:hAnsi="Calibri" w:cs="Times New Roman"/>
          <w:i/>
          <w:vertAlign w:val="subscript"/>
        </w:rPr>
        <w:t>d</w:t>
      </w:r>
      <w:r w:rsidRPr="00B91328">
        <w:rPr>
          <w:rFonts w:ascii="Calibri" w:eastAsia="Calibri" w:hAnsi="Calibri" w:cs="Times New Roman"/>
          <w:i/>
        </w:rPr>
        <w:t xml:space="preserve"> </w:t>
      </w:r>
      <w:r w:rsidRPr="00B91328">
        <w:rPr>
          <w:rFonts w:ascii="Calibri" w:eastAsia="Calibri" w:hAnsi="Calibri" w:cs="Times New Roman"/>
        </w:rPr>
        <w:tab/>
      </w:r>
      <w:r w:rsidR="009F2EB3">
        <w:rPr>
          <w:rFonts w:ascii="Calibri" w:eastAsia="Calibri" w:hAnsi="Calibri" w:cs="Times New Roman"/>
        </w:rPr>
        <w:t xml:space="preserve">Dummy variable = 1 for high </w:t>
      </w:r>
      <w:r w:rsidR="002A64B7">
        <w:rPr>
          <w:rFonts w:ascii="Calibri" w:eastAsia="Calibri" w:hAnsi="Calibri" w:cs="Times New Roman"/>
        </w:rPr>
        <w:t>transparency</w:t>
      </w:r>
      <w:r w:rsidR="002A24F1">
        <w:rPr>
          <w:rFonts w:ascii="Calibri" w:eastAsia="Calibri" w:hAnsi="Calibri" w:cs="Times New Roman"/>
        </w:rPr>
        <w:t xml:space="preserve"> announcements;</w:t>
      </w:r>
      <w:r w:rsidR="009F2EB3">
        <w:rPr>
          <w:rFonts w:ascii="Calibri" w:eastAsia="Calibri" w:hAnsi="Calibri" w:cs="Times New Roman"/>
        </w:rPr>
        <w:t xml:space="preserve"> i.e. when t</w:t>
      </w:r>
      <w:r w:rsidR="009F2EB3" w:rsidRPr="00B91328">
        <w:rPr>
          <w:rFonts w:ascii="Calibri" w:eastAsia="Calibri" w:hAnsi="Calibri" w:cs="Times New Roman"/>
        </w:rPr>
        <w:t>he total number of quantitative measures regarding the profitability</w:t>
      </w:r>
      <w:r w:rsidR="009F2EB3">
        <w:rPr>
          <w:rFonts w:ascii="Calibri" w:eastAsia="Calibri" w:hAnsi="Calibri" w:cs="Times New Roman"/>
        </w:rPr>
        <w:t xml:space="preserve"> and</w:t>
      </w:r>
      <w:r w:rsidR="009F2EB3" w:rsidRPr="00B91328">
        <w:rPr>
          <w:rFonts w:ascii="Calibri" w:eastAsia="Calibri" w:hAnsi="Calibri" w:cs="Times New Roman"/>
        </w:rPr>
        <w:t xml:space="preserve"> cost of project  </w:t>
      </w:r>
      <w:r w:rsidR="009F2EB3" w:rsidRPr="00546729">
        <w:rPr>
          <w:rFonts w:ascii="Calibri" w:eastAsia="Calibri" w:hAnsi="Calibri" w:cs="Times New Roman"/>
          <w:i/>
        </w:rPr>
        <w:t>j</w:t>
      </w:r>
      <w:r w:rsidR="009F2EB3" w:rsidRPr="00B91328">
        <w:rPr>
          <w:rFonts w:ascii="Calibri" w:eastAsia="Calibri" w:hAnsi="Calibri" w:cs="Times New Roman"/>
        </w:rPr>
        <w:t xml:space="preserve"> disclosed in a new </w:t>
      </w:r>
      <w:r w:rsidR="009F2EB3">
        <w:rPr>
          <w:rFonts w:ascii="Calibri" w:eastAsia="Calibri" w:hAnsi="Calibri" w:cs="Times New Roman"/>
        </w:rPr>
        <w:t>project</w:t>
      </w:r>
      <w:r w:rsidR="009F2EB3" w:rsidRPr="00B91328">
        <w:rPr>
          <w:rFonts w:ascii="Calibri" w:eastAsia="Calibri" w:hAnsi="Calibri" w:cs="Times New Roman"/>
        </w:rPr>
        <w:t xml:space="preserve"> announcement for firm </w:t>
      </w:r>
      <w:r w:rsidR="009F2EB3" w:rsidRPr="00546729">
        <w:rPr>
          <w:rFonts w:ascii="Calibri" w:eastAsia="Calibri" w:hAnsi="Calibri" w:cs="Times New Roman"/>
          <w:i/>
        </w:rPr>
        <w:t>i</w:t>
      </w:r>
      <w:r w:rsidR="009F2EB3" w:rsidRPr="00B91328">
        <w:rPr>
          <w:rFonts w:ascii="Calibri" w:eastAsia="Calibri" w:hAnsi="Calibri" w:cs="Times New Roman"/>
        </w:rPr>
        <w:t xml:space="preserve"> </w:t>
      </w:r>
      <w:r w:rsidR="006B7274">
        <w:rPr>
          <w:rFonts w:ascii="Calibri" w:eastAsia="Calibri" w:hAnsi="Calibri" w:cs="Times New Roman"/>
        </w:rPr>
        <w:t xml:space="preserve">on day </w:t>
      </w:r>
      <w:r w:rsidR="006B7274" w:rsidRPr="006A77ED">
        <w:rPr>
          <w:rFonts w:ascii="Calibri" w:eastAsia="Calibri" w:hAnsi="Calibri" w:cs="Times New Roman"/>
          <w:i/>
        </w:rPr>
        <w:t>d</w:t>
      </w:r>
      <w:r w:rsidR="009F2EB3">
        <w:rPr>
          <w:rFonts w:ascii="Calibri" w:eastAsia="Calibri" w:hAnsi="Calibri" w:cs="Times New Roman"/>
          <w:i/>
        </w:rPr>
        <w:t xml:space="preserve"> </w:t>
      </w:r>
      <w:r w:rsidR="009F2EB3">
        <w:rPr>
          <w:rFonts w:ascii="Calibri" w:eastAsia="Calibri" w:hAnsi="Calibri" w:cs="Times New Roman"/>
        </w:rPr>
        <w:t xml:space="preserve">is greater than 1, and 0 otherwise (low </w:t>
      </w:r>
      <w:r w:rsidR="002A64B7">
        <w:rPr>
          <w:rFonts w:ascii="Calibri" w:eastAsia="Calibri" w:hAnsi="Calibri" w:cs="Times New Roman"/>
        </w:rPr>
        <w:t>transparency</w:t>
      </w:r>
      <w:r w:rsidR="009F2EB3">
        <w:rPr>
          <w:rFonts w:ascii="Calibri" w:eastAsia="Calibri" w:hAnsi="Calibri" w:cs="Times New Roman"/>
        </w:rPr>
        <w:t>).</w:t>
      </w:r>
      <w:r w:rsidR="009F2EB3" w:rsidRPr="00B91328">
        <w:rPr>
          <w:rFonts w:ascii="Calibri" w:eastAsia="Calibri" w:hAnsi="Calibri" w:cs="Times New Roman"/>
        </w:rPr>
        <w:t xml:space="preserve"> </w:t>
      </w:r>
    </w:p>
    <w:p w14:paraId="62E842BB" w14:textId="365AE279" w:rsidR="009F2EB3" w:rsidRPr="007801A8" w:rsidRDefault="009F2EB3" w:rsidP="009F2EB3">
      <w:pPr>
        <w:spacing w:line="360" w:lineRule="auto"/>
        <w:ind w:left="1985" w:hanging="1985"/>
        <w:rPr>
          <w:rFonts w:ascii="Calibri" w:eastAsia="Calibri" w:hAnsi="Calibri" w:cs="Times New Roman"/>
          <w:color w:val="FF0000"/>
        </w:rPr>
      </w:pPr>
      <w:r w:rsidRPr="009F2EB3">
        <w:rPr>
          <w:rFonts w:ascii="Calibri" w:eastAsia="Calibri" w:hAnsi="Calibri" w:cs="Times New Roman"/>
          <w:i/>
        </w:rPr>
        <w:t>SDEarn</w:t>
      </w:r>
      <w:r w:rsidRPr="009F2EB3">
        <w:rPr>
          <w:rFonts w:ascii="Calibri" w:eastAsia="Calibri" w:hAnsi="Calibri" w:cs="Times New Roman"/>
          <w:i/>
          <w:vertAlign w:val="subscript"/>
        </w:rPr>
        <w:t>i,t-1</w:t>
      </w:r>
      <w:r w:rsidR="00973144" w:rsidRPr="00B91328">
        <w:rPr>
          <w:rFonts w:ascii="Calibri" w:eastAsia="Calibri" w:hAnsi="Calibri" w:cs="Times New Roman"/>
        </w:rPr>
        <w:tab/>
      </w:r>
      <w:r w:rsidRPr="00463D2B">
        <w:rPr>
          <w:rFonts w:ascii="Calibri" w:eastAsia="Calibri" w:hAnsi="Calibri" w:cs="Times New Roman"/>
        </w:rPr>
        <w:t xml:space="preserve">Standard deviation of </w:t>
      </w:r>
      <w:r>
        <w:rPr>
          <w:rFonts w:ascii="Calibri" w:eastAsia="Calibri" w:hAnsi="Calibri" w:cs="Times New Roman"/>
        </w:rPr>
        <w:t xml:space="preserve">firm i’s earnings before extraordinary items from years t-5 to t-1 divided by average total assets from years t-5 to t-1. </w:t>
      </w:r>
    </w:p>
    <w:p w14:paraId="2E4C2F49" w14:textId="16E69F85" w:rsidR="00973144" w:rsidRPr="00B91328" w:rsidRDefault="00973144" w:rsidP="00973144">
      <w:pPr>
        <w:spacing w:line="360" w:lineRule="auto"/>
        <w:ind w:left="1985" w:hanging="1985"/>
        <w:rPr>
          <w:rFonts w:ascii="Calibri" w:eastAsia="Calibri" w:hAnsi="Calibri" w:cs="Times New Roman"/>
        </w:rPr>
      </w:pPr>
      <w:r>
        <w:rPr>
          <w:rFonts w:ascii="Calibri" w:eastAsia="Calibri" w:hAnsi="Calibri" w:cs="Times New Roman"/>
          <w:i/>
        </w:rPr>
        <w:t>Debt</w:t>
      </w:r>
      <w:r>
        <w:rPr>
          <w:rFonts w:ascii="Calibri" w:eastAsia="Calibri" w:hAnsi="Calibri" w:cs="Times New Roman"/>
          <w:i/>
          <w:vertAlign w:val="subscript"/>
        </w:rPr>
        <w:t>i,t-1</w:t>
      </w:r>
      <w:r>
        <w:rPr>
          <w:rFonts w:ascii="Calibri" w:eastAsia="Calibri" w:hAnsi="Calibri" w:cs="Times New Roman"/>
          <w:i/>
          <w:vertAlign w:val="subscript"/>
        </w:rPr>
        <w:tab/>
      </w:r>
      <w:r w:rsidRPr="00463D2B">
        <w:rPr>
          <w:rFonts w:ascii="Calibri" w:eastAsia="Calibri" w:hAnsi="Calibri" w:cs="Times New Roman"/>
        </w:rPr>
        <w:t>Lagged value of (total debt/total assets)</w:t>
      </w:r>
      <w:r>
        <w:rPr>
          <w:rFonts w:ascii="Calibri" w:eastAsia="Calibri" w:hAnsi="Calibri" w:cs="Times New Roman"/>
        </w:rPr>
        <w:t>.</w:t>
      </w:r>
      <w:r w:rsidR="009F2EB3">
        <w:rPr>
          <w:rFonts w:ascii="Calibri" w:eastAsia="Calibri" w:hAnsi="Calibri" w:cs="Times New Roman"/>
        </w:rPr>
        <w:t xml:space="preserve"> </w:t>
      </w:r>
    </w:p>
    <w:p w14:paraId="68572E86" w14:textId="39DAE19B" w:rsidR="009F2EB3" w:rsidRPr="00A662C0" w:rsidRDefault="002A24F1" w:rsidP="009F2EB3">
      <w:pPr>
        <w:spacing w:line="360" w:lineRule="auto"/>
        <w:ind w:left="1985" w:hanging="1985"/>
        <w:rPr>
          <w:rFonts w:ascii="Calibri" w:eastAsia="Calibri" w:hAnsi="Calibri" w:cs="Times New Roman"/>
          <w:color w:val="FF0000"/>
        </w:rPr>
      </w:pPr>
      <w:r>
        <w:rPr>
          <w:rFonts w:ascii="Calibri" w:eastAsia="Calibri" w:hAnsi="Calibri" w:cs="Calibri"/>
          <w:i/>
        </w:rPr>
        <w:t>CFD</w:t>
      </w:r>
      <w:r>
        <w:rPr>
          <w:rFonts w:ascii="Calibri" w:eastAsia="Calibri" w:hAnsi="Calibri" w:cs="Calibri"/>
          <w:i/>
          <w:vertAlign w:val="subscript"/>
        </w:rPr>
        <w:t>H</w:t>
      </w:r>
      <w:r>
        <w:rPr>
          <w:rFonts w:ascii="Calibri" w:eastAsia="Calibri" w:hAnsi="Calibri" w:cs="Calibri"/>
        </w:rPr>
        <w:tab/>
        <w:t>D</w:t>
      </w:r>
      <w:r w:rsidRPr="004118AA">
        <w:rPr>
          <w:rFonts w:ascii="Calibri" w:eastAsia="Calibri" w:hAnsi="Calibri" w:cs="Calibri"/>
        </w:rPr>
        <w:t xml:space="preserve">ummy variable = 1 when firm </w:t>
      </w:r>
      <w:r w:rsidRPr="00546729">
        <w:rPr>
          <w:rFonts w:ascii="Calibri" w:eastAsia="Calibri" w:hAnsi="Calibri" w:cs="Calibri"/>
          <w:i/>
        </w:rPr>
        <w:t>i</w:t>
      </w:r>
      <w:r w:rsidRPr="004118AA">
        <w:rPr>
          <w:rFonts w:ascii="Calibri" w:eastAsia="Calibri" w:hAnsi="Calibri" w:cs="Calibri"/>
        </w:rPr>
        <w:t xml:space="preserve"> </w:t>
      </w:r>
      <w:r w:rsidRPr="004118AA">
        <w:rPr>
          <w:rFonts w:ascii="Calibri" w:eastAsia="Calibri" w:hAnsi="Calibri" w:cs="Times New Roman"/>
          <w:i/>
        </w:rPr>
        <w:t>CF</w:t>
      </w:r>
      <w:r w:rsidRPr="004118AA">
        <w:rPr>
          <w:rFonts w:ascii="Calibri" w:eastAsia="Calibri" w:hAnsi="Calibri" w:cs="Times New Roman"/>
          <w:i/>
          <w:vertAlign w:val="subscript"/>
        </w:rPr>
        <w:t>i,t-1</w:t>
      </w:r>
      <w:r w:rsidRPr="004118AA">
        <w:rPr>
          <w:rFonts w:ascii="Calibri" w:eastAsia="Calibri" w:hAnsi="Calibri" w:cs="Times New Roman"/>
        </w:rPr>
        <w:t xml:space="preserve"> is high (i.e. above the median </w:t>
      </w:r>
      <w:r w:rsidRPr="004118AA">
        <w:rPr>
          <w:rFonts w:ascii="Calibri" w:eastAsia="Calibri" w:hAnsi="Calibri" w:cs="Times New Roman"/>
          <w:i/>
        </w:rPr>
        <w:t>CF</w:t>
      </w:r>
      <w:r w:rsidRPr="004118AA">
        <w:rPr>
          <w:rFonts w:ascii="Calibri" w:eastAsia="Calibri" w:hAnsi="Calibri" w:cs="Times New Roman"/>
          <w:i/>
          <w:vertAlign w:val="subscript"/>
        </w:rPr>
        <w:t>t-1</w:t>
      </w:r>
      <w:r>
        <w:rPr>
          <w:rFonts w:ascii="Calibri" w:eastAsia="Calibri" w:hAnsi="Calibri" w:cs="Times New Roman"/>
        </w:rPr>
        <w:t xml:space="preserve"> for all firms), where </w:t>
      </w:r>
      <w:r w:rsidR="00973144" w:rsidRPr="004118AA">
        <w:rPr>
          <w:rFonts w:ascii="Calibri" w:eastAsia="Calibri" w:hAnsi="Calibri" w:cs="Times New Roman"/>
          <w:i/>
        </w:rPr>
        <w:t>CF</w:t>
      </w:r>
      <w:r w:rsidR="00973144" w:rsidRPr="004118AA">
        <w:rPr>
          <w:rFonts w:ascii="Calibri" w:eastAsia="Calibri" w:hAnsi="Calibri" w:cs="Times New Roman"/>
          <w:i/>
          <w:vertAlign w:val="subscript"/>
        </w:rPr>
        <w:t>i,t-1</w:t>
      </w:r>
      <w:r>
        <w:rPr>
          <w:rFonts w:ascii="Calibri" w:eastAsia="Calibri" w:hAnsi="Calibri" w:cs="Times New Roman"/>
        </w:rPr>
        <w:t xml:space="preserve"> is the l</w:t>
      </w:r>
      <w:r w:rsidR="00973144" w:rsidRPr="004118AA">
        <w:rPr>
          <w:rFonts w:ascii="Calibri" w:eastAsia="Calibri" w:hAnsi="Calibri" w:cs="Times New Roman"/>
        </w:rPr>
        <w:t xml:space="preserve">agged value of (cash flow/total assets), </w:t>
      </w:r>
      <w:r w:rsidR="007A6C2B">
        <w:rPr>
          <w:rFonts w:ascii="Calibri" w:eastAsia="Calibri" w:hAnsi="Calibri" w:cs="Times New Roman"/>
        </w:rPr>
        <w:t>and</w:t>
      </w:r>
      <w:r w:rsidR="00973144" w:rsidRPr="004118AA">
        <w:rPr>
          <w:rFonts w:ascii="Calibri" w:eastAsia="Calibri" w:hAnsi="Calibri" w:cs="Times New Roman"/>
        </w:rPr>
        <w:t xml:space="preserve"> cash flow = operating income before depreciation and amortisation – interest – taxes – ordinary and preference dividends.</w:t>
      </w:r>
      <w:r w:rsidR="009F2EB3">
        <w:rPr>
          <w:rFonts w:ascii="Calibri" w:eastAsia="Calibri" w:hAnsi="Calibri" w:cs="Times New Roman"/>
        </w:rPr>
        <w:t xml:space="preserve"> </w:t>
      </w:r>
    </w:p>
    <w:p w14:paraId="23E93E84" w14:textId="56E70C12" w:rsidR="009F2EB3" w:rsidRPr="00852EAD" w:rsidRDefault="007A6C2B" w:rsidP="009F2EB3">
      <w:pPr>
        <w:spacing w:line="360" w:lineRule="auto"/>
        <w:ind w:left="1985" w:hanging="1985"/>
        <w:rPr>
          <w:rFonts w:ascii="Calibri" w:eastAsia="Calibri" w:hAnsi="Calibri" w:cs="Times New Roman"/>
          <w:color w:val="FF0000"/>
        </w:rPr>
      </w:pPr>
      <w:r w:rsidRPr="00B91328">
        <w:rPr>
          <w:rFonts w:ascii="Calibri" w:eastAsia="Calibri" w:hAnsi="Calibri" w:cs="Times New Roman"/>
          <w:i/>
        </w:rPr>
        <w:t>MB</w:t>
      </w:r>
      <w:r>
        <w:rPr>
          <w:rFonts w:ascii="Calibri" w:eastAsia="Calibri" w:hAnsi="Calibri" w:cs="Times New Roman"/>
          <w:i/>
        </w:rPr>
        <w:t>D</w:t>
      </w:r>
      <w:r>
        <w:rPr>
          <w:rFonts w:ascii="Calibri" w:eastAsia="Calibri" w:hAnsi="Calibri" w:cs="Times New Roman"/>
          <w:i/>
          <w:vertAlign w:val="subscript"/>
        </w:rPr>
        <w:t>L</w:t>
      </w:r>
      <w:r>
        <w:rPr>
          <w:rFonts w:ascii="Calibri" w:eastAsia="Calibri" w:hAnsi="Calibri" w:cs="Times New Roman"/>
        </w:rPr>
        <w:tab/>
        <w:t>D</w:t>
      </w:r>
      <w:r w:rsidRPr="003E7172">
        <w:rPr>
          <w:rFonts w:ascii="Calibri" w:eastAsia="Calibri" w:hAnsi="Calibri" w:cs="Calibri"/>
        </w:rPr>
        <w:t xml:space="preserve">ummy variable = 1 when firm </w:t>
      </w:r>
      <w:r w:rsidRPr="00546729">
        <w:rPr>
          <w:rFonts w:ascii="Calibri" w:eastAsia="Calibri" w:hAnsi="Calibri" w:cs="Calibri"/>
          <w:i/>
        </w:rPr>
        <w:t>i</w:t>
      </w:r>
      <w:r w:rsidRPr="003E7172">
        <w:rPr>
          <w:rFonts w:ascii="Calibri" w:eastAsia="Calibri" w:hAnsi="Calibri" w:cs="Calibri"/>
        </w:rPr>
        <w:t xml:space="preserve"> </w:t>
      </w:r>
      <w:r w:rsidRPr="00B91328">
        <w:rPr>
          <w:rFonts w:ascii="Calibri" w:eastAsia="Calibri" w:hAnsi="Calibri" w:cs="Times New Roman"/>
          <w:i/>
        </w:rPr>
        <w:t>MB</w:t>
      </w:r>
      <w:r w:rsidRPr="00B91328">
        <w:rPr>
          <w:rFonts w:ascii="Calibri" w:eastAsia="Calibri" w:hAnsi="Calibri" w:cs="Times New Roman"/>
          <w:i/>
          <w:vertAlign w:val="subscript"/>
        </w:rPr>
        <w:t>i,t-1</w:t>
      </w:r>
      <w:r w:rsidRPr="003E7172">
        <w:rPr>
          <w:rFonts w:ascii="Calibri" w:eastAsia="Calibri" w:hAnsi="Calibri" w:cs="Times New Roman"/>
        </w:rPr>
        <w:t xml:space="preserve"> is </w:t>
      </w:r>
      <w:r>
        <w:rPr>
          <w:rFonts w:ascii="Calibri" w:eastAsia="Calibri" w:hAnsi="Calibri" w:cs="Times New Roman"/>
        </w:rPr>
        <w:t xml:space="preserve">low (i.e. </w:t>
      </w:r>
      <w:r w:rsidRPr="004118AA">
        <w:rPr>
          <w:rFonts w:ascii="Calibri" w:eastAsia="Calibri" w:hAnsi="Calibri" w:cs="Times New Roman"/>
        </w:rPr>
        <w:t xml:space="preserve">below the median </w:t>
      </w:r>
      <w:r w:rsidRPr="004118AA">
        <w:rPr>
          <w:rFonts w:ascii="Calibri" w:eastAsia="Calibri" w:hAnsi="Calibri" w:cs="Times New Roman"/>
          <w:i/>
        </w:rPr>
        <w:t>MB</w:t>
      </w:r>
      <w:r w:rsidRPr="004118AA">
        <w:rPr>
          <w:rFonts w:ascii="Calibri" w:eastAsia="Calibri" w:hAnsi="Calibri" w:cs="Times New Roman"/>
          <w:i/>
          <w:vertAlign w:val="subscript"/>
        </w:rPr>
        <w:t>t-1</w:t>
      </w:r>
      <w:r w:rsidRPr="004118AA">
        <w:rPr>
          <w:rFonts w:ascii="Calibri" w:eastAsia="Calibri" w:hAnsi="Calibri" w:cs="Times New Roman"/>
        </w:rPr>
        <w:t xml:space="preserve"> for all firms);</w:t>
      </w:r>
      <w:r>
        <w:rPr>
          <w:rFonts w:ascii="Calibri" w:eastAsia="Calibri" w:hAnsi="Calibri" w:cs="Times New Roman"/>
        </w:rPr>
        <w:t xml:space="preserve"> where </w:t>
      </w:r>
      <w:r w:rsidR="00973144" w:rsidRPr="00B91328">
        <w:rPr>
          <w:rFonts w:ascii="Calibri" w:eastAsia="Calibri" w:hAnsi="Calibri" w:cs="Times New Roman"/>
          <w:i/>
        </w:rPr>
        <w:t>MB</w:t>
      </w:r>
      <w:r w:rsidR="00973144" w:rsidRPr="00B91328">
        <w:rPr>
          <w:rFonts w:ascii="Calibri" w:eastAsia="Calibri" w:hAnsi="Calibri" w:cs="Times New Roman"/>
          <w:i/>
          <w:vertAlign w:val="subscript"/>
        </w:rPr>
        <w:t>i,t-1</w:t>
      </w:r>
      <w:r>
        <w:rPr>
          <w:rFonts w:ascii="Calibri" w:eastAsia="Calibri" w:hAnsi="Calibri" w:cs="Times New Roman"/>
        </w:rPr>
        <w:t xml:space="preserve"> is the l</w:t>
      </w:r>
      <w:r w:rsidR="00973144" w:rsidRPr="00B91328">
        <w:rPr>
          <w:rFonts w:ascii="Calibri" w:eastAsia="Calibri" w:hAnsi="Calibri" w:cs="Times New Roman"/>
        </w:rPr>
        <w:t>agged value of (market value of equity plus total assets – book value of equity)/total assets.</w:t>
      </w:r>
      <w:r w:rsidR="009F2EB3">
        <w:rPr>
          <w:rFonts w:ascii="Calibri" w:eastAsia="Calibri" w:hAnsi="Calibri" w:cs="Times New Roman"/>
        </w:rPr>
        <w:t xml:space="preserve"> </w:t>
      </w:r>
    </w:p>
    <w:p w14:paraId="28F4041C" w14:textId="0D4C0D8F" w:rsidR="009F2EB3" w:rsidRPr="003C1869" w:rsidRDefault="00973144" w:rsidP="009F2EB3">
      <w:pPr>
        <w:spacing w:line="360" w:lineRule="auto"/>
        <w:ind w:left="1985" w:hanging="1985"/>
        <w:rPr>
          <w:rFonts w:ascii="Calibri" w:eastAsia="Calibri" w:hAnsi="Calibri" w:cs="Times New Roman"/>
          <w:color w:val="FF0000"/>
        </w:rPr>
      </w:pPr>
      <w:r>
        <w:rPr>
          <w:rFonts w:ascii="Calibri" w:eastAsia="Calibri" w:hAnsi="Calibri" w:cs="Times New Roman"/>
          <w:i/>
        </w:rPr>
        <w:t xml:space="preserve"> </w:t>
      </w:r>
      <w:r w:rsidRPr="00B91328">
        <w:rPr>
          <w:rFonts w:ascii="Calibri" w:eastAsia="Calibri" w:hAnsi="Calibri" w:cs="Times New Roman"/>
          <w:i/>
        </w:rPr>
        <w:t>MB</w:t>
      </w:r>
      <w:r>
        <w:rPr>
          <w:rFonts w:ascii="Calibri" w:eastAsia="Calibri" w:hAnsi="Calibri" w:cs="Times New Roman"/>
          <w:i/>
        </w:rPr>
        <w:t>D</w:t>
      </w:r>
      <w:r>
        <w:rPr>
          <w:rFonts w:ascii="Calibri" w:eastAsia="Calibri" w:hAnsi="Calibri" w:cs="Times New Roman"/>
          <w:i/>
          <w:vertAlign w:val="subscript"/>
        </w:rPr>
        <w:t xml:space="preserve">L </w:t>
      </w:r>
      <w:r>
        <w:rPr>
          <w:rFonts w:ascii="Calibri" w:eastAsia="Calibri" w:hAnsi="Calibri" w:cs="Calibri"/>
          <w:i/>
        </w:rPr>
        <w:t>× CFD</w:t>
      </w:r>
      <w:r>
        <w:rPr>
          <w:rFonts w:ascii="Calibri" w:eastAsia="Calibri" w:hAnsi="Calibri" w:cs="Calibri"/>
          <w:i/>
          <w:vertAlign w:val="subscript"/>
        </w:rPr>
        <w:t>H</w:t>
      </w:r>
      <w:r>
        <w:rPr>
          <w:rFonts w:ascii="Calibri" w:eastAsia="Calibri" w:hAnsi="Calibri" w:cs="Calibri"/>
          <w:i/>
          <w:vertAlign w:val="subscript"/>
        </w:rPr>
        <w:tab/>
      </w:r>
      <w:r w:rsidRPr="003E7172">
        <w:rPr>
          <w:rFonts w:ascii="Calibri" w:eastAsia="Calibri" w:hAnsi="Calibri" w:cs="Calibri"/>
        </w:rPr>
        <w:t>Interaction term</w:t>
      </w:r>
      <w:r w:rsidR="007A6C2B">
        <w:rPr>
          <w:rFonts w:ascii="Calibri" w:eastAsia="Calibri" w:hAnsi="Calibri" w:cs="Calibri"/>
        </w:rPr>
        <w:t xml:space="preserve"> calculated as </w:t>
      </w:r>
      <w:r w:rsidRPr="003E7172">
        <w:rPr>
          <w:rFonts w:ascii="Calibri" w:eastAsia="Calibri" w:hAnsi="Calibri" w:cs="Times New Roman"/>
          <w:i/>
        </w:rPr>
        <w:t>MBD</w:t>
      </w:r>
      <w:r w:rsidRPr="003E7172">
        <w:rPr>
          <w:rFonts w:ascii="Calibri" w:eastAsia="Calibri" w:hAnsi="Calibri" w:cs="Times New Roman"/>
          <w:i/>
          <w:vertAlign w:val="subscript"/>
        </w:rPr>
        <w:t>L</w:t>
      </w:r>
      <w:r w:rsidRPr="003E7172">
        <w:rPr>
          <w:rFonts w:ascii="Calibri" w:eastAsia="Calibri" w:hAnsi="Calibri" w:cs="Calibri"/>
        </w:rPr>
        <w:t xml:space="preserve"> </w:t>
      </w:r>
      <w:r w:rsidR="007A6C2B">
        <w:rPr>
          <w:rFonts w:ascii="Calibri" w:eastAsia="Calibri" w:hAnsi="Calibri" w:cs="Calibri"/>
        </w:rPr>
        <w:t>×</w:t>
      </w:r>
      <w:r w:rsidRPr="004118AA">
        <w:rPr>
          <w:rFonts w:ascii="Calibri" w:eastAsia="Calibri" w:hAnsi="Calibri" w:cs="Times New Roman"/>
        </w:rPr>
        <w:t xml:space="preserve"> </w:t>
      </w:r>
      <w:r w:rsidRPr="004118AA">
        <w:rPr>
          <w:rFonts w:ascii="Calibri" w:eastAsia="Calibri" w:hAnsi="Calibri" w:cs="Calibri"/>
          <w:i/>
        </w:rPr>
        <w:t>CFD</w:t>
      </w:r>
      <w:r w:rsidRPr="004118AA">
        <w:rPr>
          <w:rFonts w:ascii="Calibri" w:eastAsia="Calibri" w:hAnsi="Calibri" w:cs="Calibri"/>
          <w:i/>
          <w:vertAlign w:val="subscript"/>
        </w:rPr>
        <w:t>H</w:t>
      </w:r>
      <w:r w:rsidR="007A6C2B">
        <w:rPr>
          <w:rFonts w:ascii="Calibri" w:eastAsia="Calibri" w:hAnsi="Calibri" w:cs="Calibri"/>
        </w:rPr>
        <w:t>.</w:t>
      </w:r>
      <w:r w:rsidRPr="004118AA">
        <w:rPr>
          <w:rFonts w:ascii="Calibri" w:eastAsia="Calibri" w:hAnsi="Calibri" w:cs="Times New Roman"/>
        </w:rPr>
        <w:t xml:space="preserve"> </w:t>
      </w:r>
      <w:r w:rsidRPr="004118AA">
        <w:rPr>
          <w:rFonts w:ascii="Calibri" w:eastAsia="Calibri" w:hAnsi="Calibri" w:cs="Calibri"/>
        </w:rPr>
        <w:t xml:space="preserve"> </w:t>
      </w:r>
    </w:p>
    <w:p w14:paraId="69EC6123" w14:textId="3F32ABA4" w:rsidR="000C26E7" w:rsidRDefault="000C26E7" w:rsidP="000C26E7">
      <w:pPr>
        <w:spacing w:line="360" w:lineRule="auto"/>
        <w:ind w:left="1985" w:hanging="1985"/>
        <w:rPr>
          <w:rFonts w:ascii="Calibri" w:eastAsia="Calibri" w:hAnsi="Calibri" w:cs="Times New Roman"/>
        </w:rPr>
      </w:pPr>
      <w:r w:rsidRPr="00B91328">
        <w:rPr>
          <w:rFonts w:ascii="Calibri" w:eastAsia="Calibri" w:hAnsi="Calibri" w:cs="Times New Roman"/>
          <w:i/>
        </w:rPr>
        <w:t>LnAssets</w:t>
      </w:r>
      <w:r w:rsidRPr="00B91328">
        <w:rPr>
          <w:rFonts w:ascii="Calibri" w:eastAsia="Calibri" w:hAnsi="Calibri" w:cs="Times New Roman"/>
          <w:i/>
          <w:vertAlign w:val="subscript"/>
        </w:rPr>
        <w:t>i,t-1</w:t>
      </w:r>
      <w:r>
        <w:rPr>
          <w:rFonts w:ascii="Calibri" w:eastAsia="Calibri" w:hAnsi="Calibri" w:cs="Times New Roman"/>
        </w:rPr>
        <w:tab/>
        <w:t>Log of lagged total assets.</w:t>
      </w:r>
      <w:r w:rsidR="009F2EB3">
        <w:rPr>
          <w:rFonts w:ascii="Calibri" w:eastAsia="Calibri" w:hAnsi="Calibri" w:cs="Times New Roman"/>
        </w:rPr>
        <w:t xml:space="preserve"> </w:t>
      </w:r>
    </w:p>
    <w:p w14:paraId="00298F4B" w14:textId="7B6096C5" w:rsidR="009F2EB3" w:rsidRPr="003C1869" w:rsidRDefault="009F2EB3" w:rsidP="009F2EB3">
      <w:pPr>
        <w:spacing w:line="360" w:lineRule="auto"/>
        <w:ind w:left="1985" w:hanging="1985"/>
        <w:rPr>
          <w:rFonts w:ascii="Calibri" w:eastAsia="Calibri" w:hAnsi="Calibri" w:cs="Times New Roman"/>
          <w:color w:val="FF0000"/>
        </w:rPr>
      </w:pPr>
      <w:r w:rsidRPr="00B91328">
        <w:rPr>
          <w:rFonts w:ascii="Calibri" w:eastAsia="Calibri" w:hAnsi="Calibri" w:cs="Times New Roman"/>
          <w:i/>
        </w:rPr>
        <w:t>DQ</w:t>
      </w:r>
      <w:r>
        <w:rPr>
          <w:rFonts w:ascii="Calibri" w:eastAsia="Calibri" w:hAnsi="Calibri" w:cs="Times New Roman"/>
          <w:i/>
        </w:rPr>
        <w:t xml:space="preserve"> </w:t>
      </w:r>
      <w:r>
        <w:rPr>
          <w:rFonts w:ascii="Calibri" w:eastAsia="Calibri" w:hAnsi="Calibri" w:cs="Calibri"/>
          <w:i/>
        </w:rPr>
        <w:t xml:space="preserve">× SDEarn </w:t>
      </w:r>
      <w:r>
        <w:rPr>
          <w:rFonts w:ascii="Calibri" w:eastAsia="Calibri" w:hAnsi="Calibri" w:cs="Times New Roman"/>
        </w:rPr>
        <w:tab/>
        <w:t xml:space="preserve">Interaction term calculated as </w:t>
      </w:r>
      <w:r w:rsidRPr="00B91328">
        <w:rPr>
          <w:rFonts w:ascii="Calibri" w:eastAsia="Calibri" w:hAnsi="Calibri" w:cs="Times New Roman"/>
          <w:i/>
        </w:rPr>
        <w:t>DQ</w:t>
      </w:r>
      <w:r w:rsidRPr="00B91328">
        <w:rPr>
          <w:rFonts w:ascii="Calibri" w:eastAsia="Calibri" w:hAnsi="Calibri" w:cs="Times New Roman"/>
          <w:i/>
          <w:vertAlign w:val="subscript"/>
        </w:rPr>
        <w:t>j,i,t</w:t>
      </w:r>
      <w:r>
        <w:rPr>
          <w:rFonts w:ascii="Calibri" w:eastAsia="Calibri" w:hAnsi="Calibri" w:cs="Times New Roman"/>
          <w:i/>
        </w:rPr>
        <w:t xml:space="preserve"> </w:t>
      </w:r>
      <w:r>
        <w:rPr>
          <w:rFonts w:ascii="Calibri" w:eastAsia="Calibri" w:hAnsi="Calibri" w:cs="Calibri"/>
          <w:i/>
        </w:rPr>
        <w:t xml:space="preserve">× </w:t>
      </w:r>
      <w:r w:rsidRPr="00B20D65">
        <w:rPr>
          <w:rFonts w:ascii="Calibri" w:eastAsia="Calibri" w:hAnsi="Calibri" w:cs="Times New Roman"/>
          <w:i/>
        </w:rPr>
        <w:t xml:space="preserve"> </w:t>
      </w:r>
      <w:r>
        <w:rPr>
          <w:rFonts w:ascii="Calibri" w:eastAsia="Calibri" w:hAnsi="Calibri" w:cs="Times New Roman"/>
          <w:i/>
        </w:rPr>
        <w:t>SDEarn</w:t>
      </w:r>
      <w:r w:rsidRPr="00B91328">
        <w:rPr>
          <w:rFonts w:ascii="Calibri" w:eastAsia="Calibri" w:hAnsi="Calibri" w:cs="Times New Roman"/>
          <w:i/>
          <w:vertAlign w:val="subscript"/>
        </w:rPr>
        <w:t>i,t-1</w:t>
      </w:r>
      <w:r>
        <w:rPr>
          <w:rFonts w:ascii="Calibri" w:eastAsia="Calibri" w:hAnsi="Calibri" w:cs="Times New Roman"/>
        </w:rPr>
        <w:t xml:space="preserve"> </w:t>
      </w:r>
    </w:p>
    <w:p w14:paraId="5687DBCF" w14:textId="3422DE48" w:rsidR="00973144" w:rsidRPr="007801A8" w:rsidRDefault="00973144" w:rsidP="00973144">
      <w:pPr>
        <w:spacing w:line="360" w:lineRule="auto"/>
        <w:ind w:left="1985" w:hanging="1985"/>
        <w:rPr>
          <w:rFonts w:ascii="Calibri" w:eastAsia="Calibri" w:hAnsi="Calibri" w:cs="Times New Roman"/>
          <w:color w:val="FF0000"/>
        </w:rPr>
      </w:pPr>
      <w:r w:rsidRPr="00E1628D">
        <w:rPr>
          <w:rFonts w:ascii="Calibri" w:eastAsia="Calibri" w:hAnsi="Calibri" w:cs="Times New Roman"/>
          <w:i/>
        </w:rPr>
        <w:t>Cost</w:t>
      </w:r>
      <w:r w:rsidRPr="00E1628D">
        <w:rPr>
          <w:rFonts w:ascii="Calibri" w:eastAsia="Calibri" w:hAnsi="Calibri" w:cs="Times New Roman"/>
          <w:i/>
          <w:vertAlign w:val="subscript"/>
        </w:rPr>
        <w:t>j,i</w:t>
      </w:r>
      <w:r>
        <w:rPr>
          <w:rFonts w:ascii="Calibri" w:eastAsia="Calibri" w:hAnsi="Calibri" w:cs="Times New Roman"/>
        </w:rPr>
        <w:tab/>
        <w:t xml:space="preserve">Dollar value of project </w:t>
      </w:r>
      <w:r w:rsidR="00546729" w:rsidRPr="00546729">
        <w:rPr>
          <w:rFonts w:ascii="Calibri" w:eastAsia="Calibri" w:hAnsi="Calibri" w:cs="Times New Roman"/>
          <w:i/>
        </w:rPr>
        <w:t>j</w:t>
      </w:r>
      <w:r>
        <w:rPr>
          <w:rFonts w:ascii="Calibri" w:eastAsia="Calibri" w:hAnsi="Calibri" w:cs="Times New Roman"/>
        </w:rPr>
        <w:t xml:space="preserve"> divided by lagged total assets.</w:t>
      </w:r>
      <w:r w:rsidR="009F2EB3">
        <w:rPr>
          <w:rFonts w:ascii="Calibri" w:eastAsia="Calibri" w:hAnsi="Calibri" w:cs="Times New Roman"/>
        </w:rPr>
        <w:t xml:space="preserve"> </w:t>
      </w:r>
    </w:p>
    <w:p w14:paraId="42AB9BD5" w14:textId="49B12020" w:rsidR="00F26B89" w:rsidRPr="007740FB" w:rsidRDefault="00F26B89" w:rsidP="00F26B89">
      <w:pPr>
        <w:spacing w:line="360" w:lineRule="auto"/>
        <w:ind w:left="1985" w:hanging="1985"/>
        <w:rPr>
          <w:rFonts w:ascii="Calibri" w:eastAsia="Calibri" w:hAnsi="Calibri" w:cs="Times New Roman"/>
          <w:color w:val="FF0000"/>
        </w:rPr>
      </w:pPr>
      <w:r w:rsidRPr="00EB7B64">
        <w:rPr>
          <w:rFonts w:ascii="Calibri" w:eastAsia="Calibri" w:hAnsi="Calibri" w:cs="Times New Roman"/>
          <w:i/>
        </w:rPr>
        <w:t>Vol</w:t>
      </w:r>
      <w:r>
        <w:rPr>
          <w:rFonts w:ascii="Calibri" w:eastAsia="Calibri" w:hAnsi="Calibri" w:cs="Times New Roman"/>
          <w:i/>
        </w:rPr>
        <w:t>atility</w:t>
      </w:r>
      <w:r w:rsidRPr="00EB7B64">
        <w:rPr>
          <w:rFonts w:ascii="Calibri" w:eastAsia="Calibri" w:hAnsi="Calibri" w:cs="Times New Roman"/>
          <w:i/>
          <w:vertAlign w:val="subscript"/>
        </w:rPr>
        <w:t>i,</w:t>
      </w:r>
      <w:r>
        <w:rPr>
          <w:rFonts w:ascii="Calibri" w:eastAsia="Calibri" w:hAnsi="Calibri" w:cs="Times New Roman"/>
          <w:i/>
          <w:vertAlign w:val="subscript"/>
        </w:rPr>
        <w:t>n</w:t>
      </w:r>
      <w:r w:rsidRPr="00EB7B64">
        <w:rPr>
          <w:rFonts w:ascii="Calibri" w:eastAsia="Calibri" w:hAnsi="Calibri" w:cs="Times New Roman"/>
          <w:i/>
          <w:vertAlign w:val="subscript"/>
        </w:rPr>
        <w:tab/>
      </w:r>
      <w:r w:rsidRPr="007801A8">
        <w:rPr>
          <w:rFonts w:ascii="Calibri" w:eastAsia="Calibri" w:hAnsi="Calibri" w:cs="Times New Roman"/>
        </w:rPr>
        <w:t xml:space="preserve">Standard deviation of firm </w:t>
      </w:r>
      <w:r w:rsidRPr="007801A8">
        <w:rPr>
          <w:rFonts w:ascii="Calibri" w:eastAsia="Calibri" w:hAnsi="Calibri" w:cs="Times New Roman"/>
          <w:i/>
        </w:rPr>
        <w:t>i</w:t>
      </w:r>
      <w:r w:rsidRPr="007801A8">
        <w:rPr>
          <w:rFonts w:ascii="Calibri" w:eastAsia="Calibri" w:hAnsi="Calibri" w:cs="Times New Roman"/>
        </w:rPr>
        <w:t>’s daily stock returns for the 100 days ending 21 days before the announcement.</w:t>
      </w:r>
      <w:r>
        <w:rPr>
          <w:rFonts w:ascii="Calibri" w:eastAsia="Calibri" w:hAnsi="Calibri" w:cs="Times New Roman"/>
        </w:rPr>
        <w:t xml:space="preserve"> </w:t>
      </w:r>
    </w:p>
    <w:p w14:paraId="7E92F1B4" w14:textId="7EF74B28" w:rsidR="009F2EB3" w:rsidRDefault="00973144" w:rsidP="009F2EB3">
      <w:pPr>
        <w:spacing w:line="360" w:lineRule="auto"/>
        <w:ind w:left="1985" w:hanging="1985"/>
        <w:rPr>
          <w:rFonts w:ascii="Calibri" w:eastAsia="Calibri" w:hAnsi="Calibri" w:cs="Times New Roman"/>
        </w:rPr>
      </w:pPr>
      <w:r>
        <w:rPr>
          <w:rFonts w:ascii="Calibri" w:eastAsia="Calibri" w:hAnsi="Calibri" w:cs="Times New Roman"/>
          <w:i/>
        </w:rPr>
        <w:t>DCP</w:t>
      </w:r>
      <w:r w:rsidRPr="00B91328">
        <w:rPr>
          <w:rFonts w:ascii="Calibri" w:eastAsia="Calibri" w:hAnsi="Calibri" w:cs="Times New Roman"/>
          <w:i/>
          <w:vertAlign w:val="subscript"/>
        </w:rPr>
        <w:t>j,i,t</w:t>
      </w:r>
      <w:r>
        <w:rPr>
          <w:rFonts w:ascii="Calibri" w:eastAsia="Calibri" w:hAnsi="Calibri" w:cs="Times New Roman"/>
          <w:i/>
          <w:vertAlign w:val="subscript"/>
        </w:rPr>
        <w:tab/>
      </w:r>
      <w:r>
        <w:rPr>
          <w:rFonts w:ascii="Calibri" w:eastAsia="Calibri" w:hAnsi="Calibri" w:cs="Times New Roman"/>
        </w:rPr>
        <w:t xml:space="preserve">Dummy variable = 1 when both cost and profitability information are disclosed in project </w:t>
      </w:r>
      <w:r w:rsidR="00546729" w:rsidRPr="00546729">
        <w:rPr>
          <w:rFonts w:ascii="Calibri" w:eastAsia="Calibri" w:hAnsi="Calibri" w:cs="Times New Roman"/>
          <w:i/>
        </w:rPr>
        <w:t>j</w:t>
      </w:r>
      <w:r>
        <w:rPr>
          <w:rFonts w:ascii="Calibri" w:eastAsia="Calibri" w:hAnsi="Calibri" w:cs="Times New Roman"/>
        </w:rPr>
        <w:t xml:space="preserve"> announcement by firm </w:t>
      </w:r>
      <w:r w:rsidR="00546729" w:rsidRPr="00546729">
        <w:rPr>
          <w:rFonts w:ascii="Calibri" w:eastAsia="Calibri" w:hAnsi="Calibri" w:cs="Times New Roman"/>
          <w:i/>
        </w:rPr>
        <w:t>i</w:t>
      </w:r>
      <w:r>
        <w:rPr>
          <w:rFonts w:ascii="Calibri" w:eastAsia="Calibri" w:hAnsi="Calibri" w:cs="Times New Roman"/>
        </w:rPr>
        <w:t xml:space="preserve"> in year </w:t>
      </w:r>
      <w:r w:rsidR="00546729" w:rsidRPr="00546729">
        <w:rPr>
          <w:rFonts w:ascii="Calibri" w:eastAsia="Calibri" w:hAnsi="Calibri" w:cs="Times New Roman"/>
          <w:i/>
        </w:rPr>
        <w:t>t</w:t>
      </w:r>
      <w:r>
        <w:rPr>
          <w:rFonts w:ascii="Calibri" w:eastAsia="Calibri" w:hAnsi="Calibri" w:cs="Times New Roman"/>
        </w:rPr>
        <w:t xml:space="preserve">. </w:t>
      </w:r>
    </w:p>
    <w:p w14:paraId="65DF3CFF" w14:textId="13DFF7A4" w:rsidR="003F32D6" w:rsidRPr="00CD7263" w:rsidRDefault="003F32D6" w:rsidP="003F32D6">
      <w:pPr>
        <w:spacing w:line="360" w:lineRule="auto"/>
        <w:ind w:left="1985" w:hanging="1985"/>
        <w:rPr>
          <w:rFonts w:ascii="Calibri" w:eastAsia="Calibri" w:hAnsi="Calibri" w:cs="Times New Roman"/>
          <w:color w:val="FF0000"/>
        </w:rPr>
      </w:pPr>
      <w:r w:rsidRPr="00B376A1">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vertAlign w:val="subscript"/>
          <w:lang w:eastAsia="en-NZ"/>
        </w:rPr>
        <w:tab/>
      </w:r>
      <w:r>
        <w:rPr>
          <w:rFonts w:ascii="Calibri" w:eastAsia="Times New Roman" w:hAnsi="Calibri" w:cs="Times New Roman"/>
          <w:color w:val="000000"/>
          <w:lang w:eastAsia="en-NZ"/>
        </w:rPr>
        <w:t>D</w:t>
      </w:r>
      <w:r>
        <w:rPr>
          <w:rFonts w:ascii="Calibri" w:eastAsia="Calibri" w:hAnsi="Calibri" w:cs="Times New Roman"/>
        </w:rPr>
        <w:t xml:space="preserve">ummy variable = 1 when investment transparency is low = (1 - </w:t>
      </w:r>
      <w:r w:rsidRPr="00B91328">
        <w:rPr>
          <w:rFonts w:ascii="Calibri" w:eastAsia="Calibri" w:hAnsi="Calibri" w:cs="Times New Roman"/>
          <w:i/>
        </w:rPr>
        <w:t>DQ</w:t>
      </w:r>
      <w:r w:rsidRPr="00B91328">
        <w:rPr>
          <w:rFonts w:ascii="Calibri" w:eastAsia="Calibri" w:hAnsi="Calibri" w:cs="Times New Roman"/>
          <w:i/>
          <w:vertAlign w:val="subscript"/>
        </w:rPr>
        <w:t>j,i,</w:t>
      </w:r>
      <w:r>
        <w:rPr>
          <w:rFonts w:ascii="Calibri" w:eastAsia="Calibri" w:hAnsi="Calibri" w:cs="Times New Roman"/>
          <w:i/>
          <w:vertAlign w:val="subscript"/>
        </w:rPr>
        <w:t>d</w:t>
      </w:r>
      <w:r>
        <w:rPr>
          <w:rFonts w:ascii="Calibri" w:eastAsia="Calibri" w:hAnsi="Calibri" w:cs="Times New Roman"/>
        </w:rPr>
        <w:t xml:space="preserve">). </w:t>
      </w:r>
    </w:p>
    <w:p w14:paraId="47D52749" w14:textId="34F30872" w:rsidR="009F2EB3" w:rsidRPr="00852EAD" w:rsidRDefault="00973144" w:rsidP="009F2EB3">
      <w:pPr>
        <w:spacing w:line="360" w:lineRule="auto"/>
        <w:ind w:left="1985" w:hanging="1985"/>
        <w:rPr>
          <w:rFonts w:ascii="Calibri" w:eastAsia="Calibri" w:hAnsi="Calibri" w:cs="Times New Roman"/>
          <w:color w:val="FF0000"/>
        </w:rPr>
      </w:pPr>
      <w:r>
        <w:rPr>
          <w:rFonts w:ascii="Calibri" w:eastAsia="Calibri" w:hAnsi="Calibri" w:cs="Times New Roman"/>
          <w:i/>
        </w:rPr>
        <w:t>BAS</w:t>
      </w:r>
      <w:r>
        <w:rPr>
          <w:rFonts w:ascii="Calibri" w:eastAsia="Calibri" w:hAnsi="Calibri" w:cs="Times New Roman"/>
          <w:i/>
          <w:vertAlign w:val="subscript"/>
        </w:rPr>
        <w:t>i,d</w:t>
      </w:r>
      <w:r>
        <w:rPr>
          <w:rFonts w:ascii="Calibri" w:eastAsia="Calibri" w:hAnsi="Calibri" w:cs="Times New Roman"/>
          <w:i/>
          <w:vertAlign w:val="subscript"/>
        </w:rPr>
        <w:tab/>
      </w:r>
      <w:r>
        <w:rPr>
          <w:rFonts w:ascii="Calibri" w:eastAsia="Calibri" w:hAnsi="Calibri" w:cs="Times New Roman"/>
        </w:rPr>
        <w:t xml:space="preserve">The closing percent quoted spread for firm </w:t>
      </w:r>
      <w:r w:rsidR="00546729" w:rsidRPr="00546729">
        <w:rPr>
          <w:rFonts w:ascii="Calibri" w:eastAsia="Calibri" w:hAnsi="Calibri" w:cs="Times New Roman"/>
          <w:i/>
        </w:rPr>
        <w:t>i</w:t>
      </w:r>
      <w:r>
        <w:rPr>
          <w:rFonts w:ascii="Calibri" w:eastAsia="Calibri" w:hAnsi="Calibri" w:cs="Times New Roman"/>
        </w:rPr>
        <w:t xml:space="preserve"> on day </w:t>
      </w:r>
      <w:r w:rsidR="00546729" w:rsidRPr="00546729">
        <w:rPr>
          <w:rFonts w:ascii="Calibri" w:eastAsia="Calibri" w:hAnsi="Calibri" w:cs="Times New Roman"/>
          <w:i/>
        </w:rPr>
        <w:t>d</w:t>
      </w:r>
      <w:r>
        <w:rPr>
          <w:rFonts w:ascii="Calibri" w:eastAsia="Calibri" w:hAnsi="Calibri" w:cs="Times New Roman"/>
        </w:rPr>
        <w:t>, measured as:</w:t>
      </w:r>
      <w:r w:rsidR="009F2EB3">
        <w:rPr>
          <w:rFonts w:ascii="Calibri" w:eastAsia="Calibri" w:hAnsi="Calibri" w:cs="Times New Roman"/>
        </w:rPr>
        <w:t xml:space="preserve"> </w:t>
      </w:r>
    </w:p>
    <w:p w14:paraId="11E5EC02" w14:textId="77777777" w:rsidR="00973144" w:rsidRPr="00624525" w:rsidRDefault="00973144" w:rsidP="00973144">
      <w:pPr>
        <w:spacing w:line="360" w:lineRule="auto"/>
        <w:ind w:left="1985" w:hanging="1985"/>
        <w:rPr>
          <w:rFonts w:ascii="Calibri" w:eastAsia="Calibri" w:hAnsi="Calibri" w:cs="Times New Roman"/>
        </w:rPr>
      </w:pPr>
      <w:r>
        <w:rPr>
          <w:rFonts w:ascii="Calibri" w:eastAsia="Calibri" w:hAnsi="Calibri" w:cs="Times New Roman"/>
          <w:i/>
        </w:rPr>
        <w:tab/>
      </w:r>
      <m:oMath>
        <m:f>
          <m:fPr>
            <m:ctrlPr>
              <w:rPr>
                <w:rFonts w:ascii="Cambria Math" w:eastAsia="Calibri" w:hAnsi="Cambria Math" w:cs="Times New Roman"/>
                <w:i/>
              </w:rPr>
            </m:ctrlPr>
          </m:fPr>
          <m:num>
            <m:sSub>
              <m:sSubPr>
                <m:ctrlPr>
                  <w:rPr>
                    <w:rFonts w:ascii="Cambria Math" w:eastAsia="Calibri" w:hAnsi="Cambria Math" w:cs="Times New Roman"/>
                    <w:i/>
                  </w:rPr>
                </m:ctrlPr>
              </m:sSubPr>
              <m:e>
                <m:r>
                  <w:rPr>
                    <w:rFonts w:ascii="Cambria Math" w:eastAsia="Calibri" w:hAnsi="Cambria Math" w:cs="Times New Roman"/>
                  </w:rPr>
                  <m:t>Closing ask</m:t>
                </m:r>
              </m:e>
              <m:sub>
                <m:r>
                  <w:rPr>
                    <w:rFonts w:ascii="Cambria Math" w:eastAsia="Calibri" w:hAnsi="Cambria Math" w:cs="Times New Roman"/>
                  </w:rPr>
                  <m:t>d</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Closing bid</m:t>
                </m:r>
              </m:e>
              <m:sub>
                <m:r>
                  <w:rPr>
                    <w:rFonts w:ascii="Cambria Math" w:eastAsia="Calibri" w:hAnsi="Cambria Math" w:cs="Times New Roman"/>
                  </w:rPr>
                  <m:t>d</m:t>
                </m:r>
              </m:sub>
            </m:sSub>
          </m:num>
          <m:den>
            <m:f>
              <m:fPr>
                <m:type m:val="lin"/>
                <m:ctrlPr>
                  <w:rPr>
                    <w:rFonts w:ascii="Cambria Math" w:eastAsia="Calibri" w:hAnsi="Cambria Math" w:cs="Times New Roman"/>
                    <w:i/>
                  </w:rPr>
                </m:ctrlPr>
              </m:fPr>
              <m:num>
                <m:sSub>
                  <m:sSubPr>
                    <m:ctrlPr>
                      <w:rPr>
                        <w:rFonts w:ascii="Cambria Math" w:eastAsia="Calibri" w:hAnsi="Cambria Math" w:cs="Times New Roman"/>
                        <w:i/>
                      </w:rPr>
                    </m:ctrlPr>
                  </m:sSubPr>
                  <m:e>
                    <m:r>
                      <w:rPr>
                        <w:rFonts w:ascii="Cambria Math" w:eastAsia="Calibri" w:hAnsi="Cambria Math" w:cs="Times New Roman"/>
                      </w:rPr>
                      <m:t>Closing ask</m:t>
                    </m:r>
                  </m:e>
                  <m:sub>
                    <m:r>
                      <w:rPr>
                        <w:rFonts w:ascii="Cambria Math" w:eastAsia="Calibri" w:hAnsi="Cambria Math" w:cs="Times New Roman"/>
                      </w:rPr>
                      <m:t>d</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Closing bid</m:t>
                    </m:r>
                  </m:e>
                  <m:sub>
                    <m:r>
                      <w:rPr>
                        <w:rFonts w:ascii="Cambria Math" w:eastAsia="Calibri" w:hAnsi="Cambria Math" w:cs="Times New Roman"/>
                      </w:rPr>
                      <m:t>d</m:t>
                    </m:r>
                  </m:sub>
                </m:sSub>
              </m:num>
              <m:den>
                <m:r>
                  <w:rPr>
                    <w:rFonts w:ascii="Cambria Math" w:eastAsia="Calibri" w:hAnsi="Cambria Math" w:cs="Times New Roman"/>
                  </w:rPr>
                  <m:t>2</m:t>
                </m:r>
              </m:den>
            </m:f>
          </m:den>
        </m:f>
      </m:oMath>
    </w:p>
    <w:p w14:paraId="37F810BF" w14:textId="62607A18" w:rsidR="00542B1D" w:rsidRPr="00CD7263" w:rsidRDefault="00542B1D" w:rsidP="009F2EB3">
      <w:pPr>
        <w:spacing w:line="360" w:lineRule="auto"/>
        <w:ind w:left="1985" w:hanging="1985"/>
        <w:rPr>
          <w:rFonts w:ascii="Calibri" w:eastAsia="Calibri" w:hAnsi="Calibri" w:cs="Times New Roman"/>
          <w:color w:val="FF0000"/>
        </w:rPr>
      </w:pPr>
      <w:r w:rsidRPr="00B376A1">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w:t>
      </w:r>
      <w:r>
        <w:rPr>
          <w:rFonts w:ascii="Calibri" w:eastAsia="Times New Roman" w:hAnsi="Calibri" w:cs="Times New Roman"/>
          <w:i/>
          <w:color w:val="000000"/>
          <w:vertAlign w:val="subscript"/>
          <w:lang w:eastAsia="en-NZ"/>
        </w:rPr>
        <w:tab/>
      </w:r>
      <w:r w:rsidRPr="003E7172">
        <w:rPr>
          <w:rFonts w:ascii="Calibri" w:eastAsia="Calibri" w:hAnsi="Calibri" w:cs="Calibri"/>
        </w:rPr>
        <w:t>Interaction term</w:t>
      </w:r>
      <w:r>
        <w:rPr>
          <w:rFonts w:ascii="Calibri" w:eastAsia="Calibri" w:hAnsi="Calibri" w:cs="Calibri"/>
        </w:rPr>
        <w:t xml:space="preserve">:  </w:t>
      </w:r>
      <w:r w:rsidRPr="00B91328">
        <w:rPr>
          <w:rFonts w:ascii="Calibri" w:eastAsia="Calibri" w:hAnsi="Calibri" w:cs="Times New Roman"/>
          <w:i/>
        </w:rPr>
        <w:t>DQ</w:t>
      </w:r>
      <w:r w:rsidRPr="00CD7263">
        <w:rPr>
          <w:rFonts w:ascii="Calibri" w:eastAsia="Calibri" w:hAnsi="Calibri" w:cs="Times New Roman"/>
          <w:i/>
          <w:vertAlign w:val="subscript"/>
        </w:rPr>
        <w:t>LOW</w:t>
      </w:r>
      <w:r>
        <w:rPr>
          <w:rFonts w:ascii="Calibri" w:eastAsia="Calibri" w:hAnsi="Calibri" w:cs="Times New Roman"/>
          <w:i/>
          <w:vertAlign w:val="subscript"/>
        </w:rPr>
        <w:t xml:space="preserve"> </w:t>
      </w:r>
      <w:r>
        <w:rPr>
          <w:rFonts w:ascii="Calibri" w:eastAsia="Calibri" w:hAnsi="Calibri" w:cs="Times New Roman"/>
        </w:rPr>
        <w:t xml:space="preserve">is a dummy variable </w:t>
      </w:r>
      <w:r w:rsidR="00F26B89">
        <w:rPr>
          <w:rFonts w:ascii="Calibri" w:eastAsia="Calibri" w:hAnsi="Calibri" w:cs="Times New Roman"/>
        </w:rPr>
        <w:t xml:space="preserve">=1 when investment transparency is low </w:t>
      </w:r>
      <w:r>
        <w:rPr>
          <w:rFonts w:ascii="Calibri" w:eastAsia="Calibri" w:hAnsi="Calibri" w:cs="Times New Roman"/>
        </w:rPr>
        <w:t xml:space="preserve">= </w:t>
      </w:r>
      <w:r w:rsidR="00F26B89">
        <w:rPr>
          <w:rFonts w:ascii="Calibri" w:eastAsia="Calibri" w:hAnsi="Calibri" w:cs="Times New Roman"/>
        </w:rPr>
        <w:t>(</w:t>
      </w:r>
      <w:r>
        <w:rPr>
          <w:rFonts w:ascii="Calibri" w:eastAsia="Calibri" w:hAnsi="Calibri" w:cs="Times New Roman"/>
        </w:rPr>
        <w:t>1</w:t>
      </w:r>
      <w:r w:rsidR="00F26B89">
        <w:rPr>
          <w:rFonts w:ascii="Calibri" w:eastAsia="Calibri" w:hAnsi="Calibri" w:cs="Times New Roman"/>
        </w:rPr>
        <w:t xml:space="preserve"> - </w:t>
      </w:r>
      <w:r w:rsidR="00F26B89" w:rsidRPr="00B91328">
        <w:rPr>
          <w:rFonts w:ascii="Calibri" w:eastAsia="Calibri" w:hAnsi="Calibri" w:cs="Times New Roman"/>
          <w:i/>
        </w:rPr>
        <w:t>DQ</w:t>
      </w:r>
      <w:r w:rsidR="00F26B89" w:rsidRPr="00B91328">
        <w:rPr>
          <w:rFonts w:ascii="Calibri" w:eastAsia="Calibri" w:hAnsi="Calibri" w:cs="Times New Roman"/>
          <w:i/>
          <w:vertAlign w:val="subscript"/>
        </w:rPr>
        <w:t>j,i,</w:t>
      </w:r>
      <w:r w:rsidR="00F26B89">
        <w:rPr>
          <w:rFonts w:ascii="Calibri" w:eastAsia="Calibri" w:hAnsi="Calibri" w:cs="Times New Roman"/>
          <w:i/>
          <w:vertAlign w:val="subscript"/>
        </w:rPr>
        <w:t>d</w:t>
      </w:r>
      <w:r w:rsidR="00F26B89">
        <w:rPr>
          <w:rFonts w:ascii="Calibri" w:eastAsia="Calibri" w:hAnsi="Calibri" w:cs="Times New Roman"/>
        </w:rPr>
        <w:t xml:space="preserve">); </w:t>
      </w:r>
      <w:r w:rsidR="00F26B89">
        <w:rPr>
          <w:rFonts w:ascii="Calibri" w:eastAsia="Times New Roman" w:hAnsi="Calibri" w:cs="Times New Roman"/>
          <w:i/>
          <w:color w:val="000000"/>
          <w:lang w:eastAsia="en-NZ"/>
        </w:rPr>
        <w:t>BAS</w:t>
      </w:r>
      <w:r w:rsidR="00F26B89">
        <w:rPr>
          <w:rFonts w:ascii="Calibri" w:eastAsia="Times New Roman" w:hAnsi="Calibri" w:cs="Times New Roman"/>
          <w:color w:val="000000"/>
          <w:lang w:eastAsia="en-NZ"/>
        </w:rPr>
        <w:t xml:space="preserve"> is </w:t>
      </w:r>
      <w:r w:rsidR="00F26B89">
        <w:rPr>
          <w:rFonts w:ascii="Calibri" w:eastAsia="Calibri" w:hAnsi="Calibri" w:cs="Times New Roman"/>
        </w:rPr>
        <w:t xml:space="preserve">closing percent quoted spread for firm </w:t>
      </w:r>
      <w:r w:rsidR="00F26B89" w:rsidRPr="00546729">
        <w:rPr>
          <w:rFonts w:ascii="Calibri" w:eastAsia="Calibri" w:hAnsi="Calibri" w:cs="Times New Roman"/>
          <w:i/>
        </w:rPr>
        <w:t>i</w:t>
      </w:r>
      <w:r w:rsidR="00F26B89">
        <w:rPr>
          <w:rFonts w:ascii="Calibri" w:eastAsia="Calibri" w:hAnsi="Calibri" w:cs="Times New Roman"/>
        </w:rPr>
        <w:t xml:space="preserve"> on day </w:t>
      </w:r>
      <w:r w:rsidR="00F26B89" w:rsidRPr="00546729">
        <w:rPr>
          <w:rFonts w:ascii="Calibri" w:eastAsia="Calibri" w:hAnsi="Calibri" w:cs="Times New Roman"/>
          <w:i/>
        </w:rPr>
        <w:t>d</w:t>
      </w:r>
      <w:r w:rsidR="00427158">
        <w:rPr>
          <w:rFonts w:ascii="Calibri" w:eastAsia="Calibri" w:hAnsi="Calibri" w:cs="Times New Roman"/>
          <w:i/>
        </w:rPr>
        <w:t xml:space="preserve"> </w:t>
      </w:r>
      <w:r w:rsidR="00427158" w:rsidRPr="00AA549F">
        <w:rPr>
          <w:rFonts w:ascii="Calibri" w:eastAsia="Times New Roman" w:hAnsi="Calibri" w:cs="Times New Roman"/>
          <w:color w:val="000000"/>
          <w:lang w:eastAsia="en-NZ"/>
        </w:rPr>
        <w:t xml:space="preserve">over the </w:t>
      </w:r>
      <w:r w:rsidR="00427158">
        <w:rPr>
          <w:rFonts w:ascii="Calibri" w:eastAsia="Times New Roman" w:hAnsi="Calibri" w:cs="Times New Roman"/>
          <w:color w:val="000000"/>
          <w:lang w:eastAsia="en-NZ"/>
        </w:rPr>
        <w:t xml:space="preserve">pre-announcement </w:t>
      </w:r>
      <w:r w:rsidR="00427158" w:rsidRPr="00AA549F">
        <w:rPr>
          <w:rFonts w:ascii="Calibri" w:eastAsia="Times New Roman" w:hAnsi="Calibri" w:cs="Times New Roman"/>
          <w:color w:val="000000"/>
          <w:lang w:eastAsia="en-NZ"/>
        </w:rPr>
        <w:t>window [-20,-1]</w:t>
      </w:r>
      <w:r w:rsidR="00427158">
        <w:rPr>
          <w:rFonts w:ascii="Calibri" w:eastAsia="Times New Roman" w:hAnsi="Calibri" w:cs="Times New Roman"/>
          <w:color w:val="000000"/>
          <w:lang w:eastAsia="en-NZ"/>
        </w:rPr>
        <w:t>.</w:t>
      </w:r>
      <w:r>
        <w:rPr>
          <w:rFonts w:ascii="Calibri" w:eastAsia="Calibri" w:hAnsi="Calibri" w:cs="Times New Roman"/>
        </w:rPr>
        <w:t xml:space="preserve"> </w:t>
      </w:r>
    </w:p>
    <w:p w14:paraId="6C0FC1A9" w14:textId="289DBDBB" w:rsidR="003F32D6" w:rsidRPr="00CD7263" w:rsidRDefault="003F32D6" w:rsidP="003F32D6">
      <w:pPr>
        <w:spacing w:line="360" w:lineRule="auto"/>
        <w:ind w:left="1985" w:hanging="1985"/>
        <w:rPr>
          <w:rFonts w:ascii="Calibri" w:eastAsia="Calibri" w:hAnsi="Calibri" w:cs="Times New Roman"/>
          <w:color w:val="FF0000"/>
        </w:rPr>
      </w:pPr>
      <w:r>
        <w:rPr>
          <w:rFonts w:ascii="Calibri" w:eastAsia="Times New Roman" w:hAnsi="Calibri" w:cs="Times New Roman"/>
          <w:i/>
          <w:color w:val="000000"/>
          <w:lang w:eastAsia="en-NZ"/>
        </w:rPr>
        <w:lastRenderedPageBreak/>
        <w:t>BASDev</w:t>
      </w:r>
      <w:r>
        <w:rPr>
          <w:rFonts w:ascii="Calibri" w:eastAsia="Times New Roman" w:hAnsi="Calibri" w:cs="Times New Roman"/>
          <w:i/>
          <w:color w:val="000000"/>
          <w:vertAlign w:val="subscript"/>
          <w:lang w:eastAsia="en-NZ"/>
        </w:rPr>
        <w:t>i,d</w:t>
      </w:r>
      <w:r>
        <w:rPr>
          <w:rFonts w:ascii="Calibri" w:eastAsia="Times New Roman" w:hAnsi="Calibri" w:cs="Times New Roman"/>
          <w:color w:val="000000"/>
          <w:lang w:eastAsia="en-NZ"/>
        </w:rPr>
        <w:tab/>
      </w:r>
      <w:r w:rsidRPr="003F32D6">
        <w:rPr>
          <w:rFonts w:ascii="Calibri" w:eastAsia="Times New Roman" w:hAnsi="Calibri" w:cs="Times New Roman"/>
          <w:color w:val="000000"/>
          <w:lang w:eastAsia="en-NZ"/>
        </w:rPr>
        <w:t>T</w:t>
      </w:r>
      <w:r w:rsidRPr="00CD7263">
        <w:rPr>
          <w:rFonts w:ascii="Calibri" w:eastAsia="Times New Roman" w:hAnsi="Calibri" w:cs="Times New Roman"/>
          <w:color w:val="000000"/>
          <w:lang w:eastAsia="en-NZ"/>
        </w:rPr>
        <w:t xml:space="preserve">he </w:t>
      </w:r>
      <w:r w:rsidR="006122B4" w:rsidRPr="003866A5">
        <w:rPr>
          <w:rFonts w:ascii="Calibri" w:eastAsia="Times New Roman" w:hAnsi="Calibri" w:cs="Times New Roman"/>
          <w:color w:val="000000"/>
          <w:lang w:eastAsia="en-NZ"/>
        </w:rPr>
        <w:t xml:space="preserve">absolute value of the deviation of the day </w:t>
      </w:r>
      <w:r w:rsidR="006122B4" w:rsidRPr="003866A5">
        <w:rPr>
          <w:rFonts w:ascii="Calibri" w:eastAsia="Times New Roman" w:hAnsi="Calibri" w:cs="Times New Roman"/>
          <w:i/>
          <w:color w:val="000000"/>
          <w:lang w:eastAsia="en-NZ"/>
        </w:rPr>
        <w:t>t</w:t>
      </w:r>
      <w:r w:rsidR="006122B4" w:rsidRPr="003866A5">
        <w:rPr>
          <w:rFonts w:ascii="Calibri" w:eastAsia="Times New Roman" w:hAnsi="Calibri" w:cs="Times New Roman"/>
          <w:color w:val="000000"/>
          <w:lang w:eastAsia="en-NZ"/>
        </w:rPr>
        <w:t xml:space="preserve"> </w:t>
      </w:r>
      <w:r w:rsidR="006122B4" w:rsidRPr="003866A5">
        <w:rPr>
          <w:rFonts w:ascii="Calibri" w:eastAsia="Times New Roman" w:hAnsi="Calibri" w:cs="Times New Roman"/>
          <w:i/>
          <w:color w:val="000000"/>
          <w:lang w:eastAsia="en-NZ"/>
        </w:rPr>
        <w:t>BAS</w:t>
      </w:r>
      <w:r w:rsidR="006122B4" w:rsidRPr="003866A5">
        <w:rPr>
          <w:rFonts w:ascii="Calibri" w:eastAsia="Times New Roman" w:hAnsi="Calibri" w:cs="Times New Roman"/>
          <w:color w:val="000000"/>
          <w:lang w:eastAsia="en-NZ"/>
        </w:rPr>
        <w:t xml:space="preserve"> for firm </w:t>
      </w:r>
      <w:r w:rsidR="006122B4" w:rsidRPr="003866A5">
        <w:rPr>
          <w:rFonts w:ascii="Calibri" w:eastAsia="Times New Roman" w:hAnsi="Calibri" w:cs="Times New Roman"/>
          <w:i/>
          <w:color w:val="000000"/>
          <w:lang w:eastAsia="en-NZ"/>
        </w:rPr>
        <w:t xml:space="preserve">i </w:t>
      </w:r>
      <w:r w:rsidR="006122B4" w:rsidRPr="003866A5">
        <w:rPr>
          <w:rFonts w:ascii="Calibri" w:eastAsia="Times New Roman" w:hAnsi="Calibri" w:cs="Times New Roman"/>
          <w:color w:val="000000"/>
          <w:lang w:eastAsia="en-NZ"/>
        </w:rPr>
        <w:t xml:space="preserve">around the mean day </w:t>
      </w:r>
      <w:r w:rsidR="006122B4" w:rsidRPr="003866A5">
        <w:rPr>
          <w:rFonts w:ascii="Calibri" w:eastAsia="Times New Roman" w:hAnsi="Calibri" w:cs="Times New Roman"/>
          <w:i/>
          <w:color w:val="000000"/>
          <w:lang w:eastAsia="en-NZ"/>
        </w:rPr>
        <w:t>t</w:t>
      </w:r>
      <w:r w:rsidR="006122B4" w:rsidRPr="003866A5">
        <w:rPr>
          <w:rFonts w:ascii="Calibri" w:eastAsia="Times New Roman" w:hAnsi="Calibri" w:cs="Times New Roman"/>
          <w:color w:val="000000"/>
          <w:lang w:eastAsia="en-NZ"/>
        </w:rPr>
        <w:t xml:space="preserve"> </w:t>
      </w:r>
      <w:r w:rsidR="006122B4" w:rsidRPr="003866A5">
        <w:rPr>
          <w:rFonts w:ascii="Calibri" w:eastAsia="Times New Roman" w:hAnsi="Calibri" w:cs="Times New Roman"/>
          <w:i/>
          <w:color w:val="000000"/>
          <w:lang w:eastAsia="en-NZ"/>
        </w:rPr>
        <w:t>BAS</w:t>
      </w:r>
      <w:r w:rsidR="006122B4" w:rsidRPr="003866A5">
        <w:rPr>
          <w:rFonts w:ascii="Calibri" w:eastAsia="Times New Roman" w:hAnsi="Calibri" w:cs="Times New Roman"/>
          <w:color w:val="000000"/>
          <w:lang w:eastAsia="en-NZ"/>
        </w:rPr>
        <w:t xml:space="preserve"> for all sample firms.</w:t>
      </w:r>
      <w:r>
        <w:rPr>
          <w:rFonts w:ascii="Calibri" w:eastAsia="Times New Roman" w:hAnsi="Calibri" w:cs="Times New Roman"/>
          <w:color w:val="000000"/>
          <w:lang w:eastAsia="en-NZ"/>
        </w:rPr>
        <w:t xml:space="preserve"> </w:t>
      </w:r>
      <w:r w:rsidR="00071D6B">
        <w:rPr>
          <w:rFonts w:ascii="Calibri" w:eastAsia="Times New Roman" w:hAnsi="Calibri" w:cs="Times New Roman"/>
          <w:color w:val="FF0000"/>
          <w:lang w:eastAsia="en-NZ"/>
        </w:rPr>
        <w:tab/>
      </w:r>
      <w:r>
        <w:rPr>
          <w:rFonts w:ascii="Calibri" w:eastAsia="Times New Roman" w:hAnsi="Calibri" w:cs="Times New Roman"/>
          <w:color w:val="FF0000"/>
          <w:lang w:eastAsia="en-NZ"/>
        </w:rPr>
        <w:t xml:space="preserve"> </w:t>
      </w:r>
    </w:p>
    <w:p w14:paraId="613AE3DF" w14:textId="098EEAE3" w:rsidR="003F32D6" w:rsidRPr="00CD7263" w:rsidRDefault="003F32D6" w:rsidP="003F32D6">
      <w:pPr>
        <w:spacing w:line="360" w:lineRule="auto"/>
        <w:ind w:left="1985" w:hanging="1985"/>
        <w:rPr>
          <w:rFonts w:ascii="Calibri" w:eastAsia="Calibri" w:hAnsi="Calibri" w:cs="Times New Roman"/>
          <w:color w:val="FF0000"/>
        </w:rPr>
      </w:pPr>
      <w:r>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BASDev</w:t>
      </w:r>
      <w:r>
        <w:rPr>
          <w:rFonts w:ascii="Calibri" w:eastAsia="Times New Roman" w:hAnsi="Calibri" w:cs="Times New Roman"/>
          <w:color w:val="000000"/>
          <w:lang w:eastAsia="en-NZ"/>
        </w:rPr>
        <w:tab/>
      </w:r>
      <w:r>
        <w:rPr>
          <w:rFonts w:ascii="Calibri" w:eastAsia="Calibri" w:hAnsi="Calibri" w:cs="Times New Roman"/>
        </w:rPr>
        <w:t xml:space="preserve">Interaction term calculated as </w:t>
      </w:r>
      <w:r>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BASDev</w:t>
      </w:r>
      <w:r>
        <w:rPr>
          <w:rFonts w:ascii="Calibri" w:eastAsia="Times New Roman" w:hAnsi="Calibri" w:cs="Times New Roman"/>
          <w:i/>
          <w:color w:val="000000"/>
          <w:vertAlign w:val="subscript"/>
          <w:lang w:eastAsia="en-NZ"/>
        </w:rPr>
        <w:t>i,d</w:t>
      </w:r>
      <w:r>
        <w:rPr>
          <w:rFonts w:ascii="Calibri" w:eastAsia="Times New Roman" w:hAnsi="Calibri" w:cs="Times New Roman"/>
          <w:i/>
          <w:color w:val="000000"/>
          <w:lang w:eastAsia="en-NZ"/>
        </w:rPr>
        <w:t>.</w:t>
      </w:r>
      <w:r w:rsidR="009F3887">
        <w:rPr>
          <w:rFonts w:ascii="Calibri" w:eastAsia="Times New Roman" w:hAnsi="Calibri" w:cs="Times New Roman"/>
          <w:color w:val="000000"/>
          <w:lang w:eastAsia="en-NZ"/>
        </w:rPr>
        <w:t xml:space="preserve"> </w:t>
      </w:r>
    </w:p>
    <w:p w14:paraId="339A2C01" w14:textId="77777777" w:rsidR="002A24F1" w:rsidRDefault="002A24F1" w:rsidP="002A24F1">
      <w:pPr>
        <w:spacing w:line="360" w:lineRule="auto"/>
        <w:ind w:left="1985" w:hanging="1985"/>
        <w:rPr>
          <w:rFonts w:ascii="Calibri" w:eastAsia="Calibri" w:hAnsi="Calibri" w:cs="Times New Roman"/>
          <w:i/>
        </w:rPr>
      </w:pPr>
      <w:r>
        <w:rPr>
          <w:rFonts w:ascii="Calibri" w:eastAsia="Calibri" w:hAnsi="Calibri" w:cs="Times New Roman"/>
          <w:i/>
        </w:rPr>
        <w:t>Intangibles</w:t>
      </w:r>
      <w:r>
        <w:rPr>
          <w:rFonts w:ascii="Calibri" w:eastAsia="Calibri" w:hAnsi="Calibri" w:cs="Times New Roman"/>
          <w:i/>
          <w:vertAlign w:val="subscript"/>
        </w:rPr>
        <w:t>i,t</w:t>
      </w:r>
      <w:r>
        <w:rPr>
          <w:rFonts w:ascii="Calibri" w:eastAsia="Calibri" w:hAnsi="Calibri" w:cs="Times New Roman"/>
          <w:i/>
        </w:rPr>
        <w:tab/>
      </w:r>
      <w:r w:rsidRPr="00BC1909">
        <w:rPr>
          <w:rFonts w:ascii="Calibri" w:eastAsia="Calibri" w:hAnsi="Calibri" w:cs="Times New Roman"/>
        </w:rPr>
        <w:t>T</w:t>
      </w:r>
      <w:r w:rsidRPr="00EC672F">
        <w:t>he</w:t>
      </w:r>
      <w:r>
        <w:t xml:space="preserve"> value of firm </w:t>
      </w:r>
      <w:r w:rsidRPr="00BC1909">
        <w:rPr>
          <w:i/>
        </w:rPr>
        <w:t>i</w:t>
      </w:r>
      <w:r>
        <w:t xml:space="preserve">’s intangible assets excluding goodwill, divided by total assets at time </w:t>
      </w:r>
      <w:r w:rsidRPr="00BC1909">
        <w:rPr>
          <w:i/>
        </w:rPr>
        <w:t>t.</w:t>
      </w:r>
    </w:p>
    <w:p w14:paraId="0078D923" w14:textId="46ED88A7" w:rsidR="009F2EB3" w:rsidRPr="00EB7B64" w:rsidRDefault="00973144" w:rsidP="009F2EB3">
      <w:pPr>
        <w:spacing w:line="360" w:lineRule="auto"/>
        <w:ind w:left="1985" w:hanging="1985"/>
        <w:rPr>
          <w:rFonts w:ascii="Calibri" w:eastAsia="Calibri" w:hAnsi="Calibri" w:cs="Times New Roman"/>
        </w:rPr>
      </w:pPr>
      <w:r w:rsidRPr="00EB7B64">
        <w:rPr>
          <w:rFonts w:ascii="Calibri" w:eastAsia="Calibri" w:hAnsi="Calibri" w:cs="Times New Roman"/>
          <w:i/>
        </w:rPr>
        <w:t>Price</w:t>
      </w:r>
      <w:r w:rsidRPr="00EB7B64">
        <w:rPr>
          <w:rFonts w:ascii="Calibri" w:eastAsia="Calibri" w:hAnsi="Calibri" w:cs="Times New Roman"/>
          <w:i/>
          <w:vertAlign w:val="subscript"/>
        </w:rPr>
        <w:t>i,d</w:t>
      </w:r>
      <w:r w:rsidRPr="00EB7B64">
        <w:rPr>
          <w:rFonts w:ascii="Calibri" w:eastAsia="Calibri" w:hAnsi="Calibri" w:cs="Times New Roman"/>
        </w:rPr>
        <w:tab/>
        <w:t xml:space="preserve">The closing stock price for firm </w:t>
      </w:r>
      <w:r w:rsidR="00546729" w:rsidRPr="00546729">
        <w:rPr>
          <w:rFonts w:ascii="Calibri" w:eastAsia="Calibri" w:hAnsi="Calibri" w:cs="Times New Roman"/>
          <w:i/>
        </w:rPr>
        <w:t>i</w:t>
      </w:r>
      <w:r w:rsidRPr="00EB7B64">
        <w:rPr>
          <w:rFonts w:ascii="Calibri" w:eastAsia="Calibri" w:hAnsi="Calibri" w:cs="Times New Roman"/>
        </w:rPr>
        <w:t xml:space="preserve"> on day </w:t>
      </w:r>
      <w:r w:rsidR="00546729" w:rsidRPr="00546729">
        <w:rPr>
          <w:rFonts w:ascii="Calibri" w:eastAsia="Calibri" w:hAnsi="Calibri" w:cs="Times New Roman"/>
          <w:i/>
        </w:rPr>
        <w:t>d</w:t>
      </w:r>
      <w:r w:rsidRPr="00EB7B64">
        <w:rPr>
          <w:rFonts w:ascii="Calibri" w:eastAsia="Calibri" w:hAnsi="Calibri" w:cs="Times New Roman"/>
        </w:rPr>
        <w:t>.</w:t>
      </w:r>
      <w:r w:rsidR="009F2EB3">
        <w:rPr>
          <w:rFonts w:ascii="Calibri" w:eastAsia="Calibri" w:hAnsi="Calibri" w:cs="Times New Roman"/>
        </w:rPr>
        <w:t xml:space="preserve"> </w:t>
      </w:r>
    </w:p>
    <w:p w14:paraId="62439CD6" w14:textId="45A36E8B" w:rsidR="002A24F1" w:rsidRDefault="002A24F1" w:rsidP="002A24F1">
      <w:pPr>
        <w:spacing w:line="360" w:lineRule="auto"/>
        <w:ind w:left="1985" w:hanging="1985"/>
        <w:rPr>
          <w:rFonts w:ascii="Calibri" w:eastAsia="Calibri" w:hAnsi="Calibri" w:cs="Times New Roman"/>
          <w:color w:val="FF0000"/>
        </w:rPr>
      </w:pPr>
      <w:r w:rsidRPr="004F3632">
        <w:rPr>
          <w:rFonts w:ascii="Calibri" w:eastAsia="Calibri" w:hAnsi="Calibri" w:cs="Times New Roman"/>
          <w:i/>
        </w:rPr>
        <w:t>Volume</w:t>
      </w:r>
      <w:r w:rsidRPr="004F3632">
        <w:rPr>
          <w:rFonts w:ascii="Calibri" w:eastAsia="Calibri" w:hAnsi="Calibri" w:cs="Times New Roman"/>
          <w:i/>
          <w:vertAlign w:val="subscript"/>
        </w:rPr>
        <w:t>i,d</w:t>
      </w:r>
      <w:r w:rsidRPr="004F3632">
        <w:rPr>
          <w:rFonts w:ascii="Calibri" w:eastAsia="Calibri" w:hAnsi="Calibri" w:cs="Times New Roman"/>
        </w:rPr>
        <w:tab/>
        <w:t xml:space="preserve">100 *(share trading volume for firm </w:t>
      </w:r>
      <w:r w:rsidRPr="00546729">
        <w:rPr>
          <w:rFonts w:ascii="Calibri" w:eastAsia="Calibri" w:hAnsi="Calibri" w:cs="Times New Roman"/>
          <w:i/>
        </w:rPr>
        <w:t>i</w:t>
      </w:r>
      <w:r w:rsidRPr="004F3632">
        <w:rPr>
          <w:rFonts w:ascii="Calibri" w:eastAsia="Calibri" w:hAnsi="Calibri" w:cs="Times New Roman"/>
        </w:rPr>
        <w:t xml:space="preserve"> on day </w:t>
      </w:r>
      <w:r w:rsidRPr="00546729">
        <w:rPr>
          <w:rFonts w:ascii="Calibri" w:eastAsia="Calibri" w:hAnsi="Calibri" w:cs="Times New Roman"/>
          <w:i/>
        </w:rPr>
        <w:t>d</w:t>
      </w:r>
      <w:r w:rsidRPr="004F3632">
        <w:rPr>
          <w:rFonts w:ascii="Calibri" w:eastAsia="Calibri" w:hAnsi="Calibri" w:cs="Times New Roman"/>
        </w:rPr>
        <w:t xml:space="preserve"> divided by number of ordinary shares outstanding for firm </w:t>
      </w:r>
      <w:r w:rsidRPr="00546729">
        <w:rPr>
          <w:rFonts w:ascii="Calibri" w:eastAsia="Calibri" w:hAnsi="Calibri" w:cs="Times New Roman"/>
          <w:i/>
        </w:rPr>
        <w:t>i</w:t>
      </w:r>
      <w:r w:rsidRPr="004F3632">
        <w:rPr>
          <w:rFonts w:ascii="Calibri" w:eastAsia="Calibri" w:hAnsi="Calibri" w:cs="Times New Roman"/>
        </w:rPr>
        <w:t xml:space="preserve"> on day </w:t>
      </w:r>
      <w:r w:rsidRPr="00546729">
        <w:rPr>
          <w:rFonts w:ascii="Calibri" w:eastAsia="Calibri" w:hAnsi="Calibri" w:cs="Times New Roman"/>
          <w:i/>
        </w:rPr>
        <w:t>d</w:t>
      </w:r>
      <w:r w:rsidRPr="004F3632">
        <w:rPr>
          <w:rFonts w:ascii="Calibri" w:eastAsia="Calibri" w:hAnsi="Calibri" w:cs="Times New Roman"/>
        </w:rPr>
        <w:t>).</w:t>
      </w:r>
      <w:r>
        <w:rPr>
          <w:rFonts w:ascii="Calibri" w:eastAsia="Calibri" w:hAnsi="Calibri" w:cs="Times New Roman"/>
        </w:rPr>
        <w:t xml:space="preserve"> </w:t>
      </w:r>
    </w:p>
    <w:p w14:paraId="53415C0E" w14:textId="413194FE" w:rsidR="009F2EB3" w:rsidRPr="00852EAD" w:rsidRDefault="00973144" w:rsidP="009F2EB3">
      <w:pPr>
        <w:spacing w:line="360" w:lineRule="auto"/>
        <w:ind w:left="1985" w:hanging="1985"/>
        <w:rPr>
          <w:rFonts w:ascii="Calibri" w:eastAsia="Calibri" w:hAnsi="Calibri" w:cs="Times New Roman"/>
          <w:color w:val="FF0000"/>
        </w:rPr>
      </w:pPr>
      <w:r w:rsidRPr="00EB7B64">
        <w:rPr>
          <w:rFonts w:ascii="Calibri" w:eastAsia="Calibri" w:hAnsi="Calibri" w:cs="Times New Roman"/>
          <w:i/>
        </w:rPr>
        <w:t>Size</w:t>
      </w:r>
      <w:r w:rsidRPr="00EB7B64">
        <w:rPr>
          <w:rFonts w:ascii="Calibri" w:eastAsia="Calibri" w:hAnsi="Calibri" w:cs="Times New Roman"/>
          <w:i/>
          <w:vertAlign w:val="subscript"/>
        </w:rPr>
        <w:t>i,</w:t>
      </w:r>
      <w:r w:rsidR="00977EFC">
        <w:rPr>
          <w:rFonts w:ascii="Calibri" w:eastAsia="Calibri" w:hAnsi="Calibri" w:cs="Times New Roman"/>
          <w:i/>
          <w:vertAlign w:val="subscript"/>
        </w:rPr>
        <w:t>n</w:t>
      </w:r>
      <w:r w:rsidRPr="00EB7B64">
        <w:rPr>
          <w:rFonts w:ascii="Calibri" w:eastAsia="Calibri" w:hAnsi="Calibri" w:cs="Times New Roman"/>
          <w:i/>
          <w:vertAlign w:val="subscript"/>
        </w:rPr>
        <w:tab/>
      </w:r>
      <w:r w:rsidRPr="00EB7B64">
        <w:rPr>
          <w:rFonts w:ascii="Calibri" w:eastAsia="Calibri" w:hAnsi="Calibri" w:cs="Times New Roman"/>
        </w:rPr>
        <w:t xml:space="preserve">Log of firm </w:t>
      </w:r>
      <w:r w:rsidR="00546729" w:rsidRPr="00546729">
        <w:rPr>
          <w:rFonts w:ascii="Calibri" w:eastAsia="Calibri" w:hAnsi="Calibri" w:cs="Times New Roman"/>
          <w:i/>
        </w:rPr>
        <w:t>i</w:t>
      </w:r>
      <w:r w:rsidRPr="00EB7B64">
        <w:rPr>
          <w:rFonts w:ascii="Calibri" w:eastAsia="Calibri" w:hAnsi="Calibri" w:cs="Times New Roman"/>
        </w:rPr>
        <w:t xml:space="preserve">’s average market value of equity for the </w:t>
      </w:r>
      <w:r w:rsidR="00EB7B64" w:rsidRPr="00EB7B64">
        <w:rPr>
          <w:rFonts w:ascii="Calibri" w:eastAsia="Calibri" w:hAnsi="Calibri" w:cs="Times New Roman"/>
        </w:rPr>
        <w:t>100</w:t>
      </w:r>
      <w:r w:rsidRPr="00EB7B64">
        <w:rPr>
          <w:rFonts w:ascii="Calibri" w:eastAsia="Calibri" w:hAnsi="Calibri" w:cs="Times New Roman"/>
        </w:rPr>
        <w:t xml:space="preserve"> days ending 2</w:t>
      </w:r>
      <w:r w:rsidR="00EB7B64" w:rsidRPr="00EB7B64">
        <w:rPr>
          <w:rFonts w:ascii="Calibri" w:eastAsia="Calibri" w:hAnsi="Calibri" w:cs="Times New Roman"/>
        </w:rPr>
        <w:t>1</w:t>
      </w:r>
      <w:r w:rsidRPr="00EB7B64">
        <w:rPr>
          <w:rFonts w:ascii="Calibri" w:eastAsia="Calibri" w:hAnsi="Calibri" w:cs="Times New Roman"/>
        </w:rPr>
        <w:t xml:space="preserve"> days before the announcement.</w:t>
      </w:r>
      <w:r w:rsidR="009F2EB3">
        <w:rPr>
          <w:rFonts w:ascii="Calibri" w:eastAsia="Calibri" w:hAnsi="Calibri" w:cs="Times New Roman"/>
        </w:rPr>
        <w:t xml:space="preserve"> </w:t>
      </w:r>
    </w:p>
    <w:p w14:paraId="20C0069C" w14:textId="382CB8B2" w:rsidR="00973144" w:rsidRPr="004F3632" w:rsidRDefault="00973144" w:rsidP="00973144">
      <w:pPr>
        <w:spacing w:line="360" w:lineRule="auto"/>
        <w:ind w:left="1985" w:hanging="1985"/>
        <w:rPr>
          <w:rFonts w:ascii="Calibri" w:eastAsia="Calibri" w:hAnsi="Calibri" w:cs="Times New Roman"/>
        </w:rPr>
      </w:pPr>
      <w:r w:rsidRPr="004F3632">
        <w:rPr>
          <w:rFonts w:ascii="Calibri" w:eastAsia="Calibri" w:hAnsi="Calibri" w:cs="Times New Roman"/>
          <w:i/>
        </w:rPr>
        <w:t>Turnover</w:t>
      </w:r>
      <w:r w:rsidRPr="004F3632">
        <w:rPr>
          <w:rFonts w:ascii="Calibri" w:eastAsia="Calibri" w:hAnsi="Calibri" w:cs="Times New Roman"/>
          <w:i/>
          <w:vertAlign w:val="subscript"/>
        </w:rPr>
        <w:t>i,</w:t>
      </w:r>
      <w:r w:rsidR="00977EFC">
        <w:rPr>
          <w:rFonts w:ascii="Calibri" w:eastAsia="Calibri" w:hAnsi="Calibri" w:cs="Times New Roman"/>
          <w:i/>
          <w:vertAlign w:val="subscript"/>
        </w:rPr>
        <w:t>n</w:t>
      </w:r>
      <w:r w:rsidRPr="004F3632">
        <w:rPr>
          <w:rFonts w:ascii="Calibri" w:eastAsia="Calibri" w:hAnsi="Calibri" w:cs="Times New Roman"/>
          <w:i/>
          <w:vertAlign w:val="subscript"/>
        </w:rPr>
        <w:tab/>
      </w:r>
      <w:r w:rsidRPr="004F3632">
        <w:rPr>
          <w:rFonts w:ascii="Calibri" w:eastAsia="Calibri" w:hAnsi="Calibri" w:cs="Times New Roman"/>
        </w:rPr>
        <w:t>Average daily s</w:t>
      </w:r>
      <w:r w:rsidR="005569C1">
        <w:rPr>
          <w:rFonts w:ascii="Calibri" w:eastAsia="Calibri" w:hAnsi="Calibri" w:cs="Times New Roman"/>
        </w:rPr>
        <w:t>hare trading volume</w:t>
      </w:r>
      <w:r w:rsidRPr="004F3632">
        <w:rPr>
          <w:rFonts w:ascii="Calibri" w:eastAsia="Calibri" w:hAnsi="Calibri" w:cs="Times New Roman"/>
        </w:rPr>
        <w:t xml:space="preserve"> for firm </w:t>
      </w:r>
      <w:r w:rsidR="00546729" w:rsidRPr="00546729">
        <w:rPr>
          <w:rFonts w:ascii="Calibri" w:eastAsia="Calibri" w:hAnsi="Calibri" w:cs="Times New Roman"/>
          <w:i/>
        </w:rPr>
        <w:t>i</w:t>
      </w:r>
      <w:r w:rsidRPr="004F3632">
        <w:rPr>
          <w:rFonts w:ascii="Calibri" w:eastAsia="Calibri" w:hAnsi="Calibri" w:cs="Times New Roman"/>
        </w:rPr>
        <w:t xml:space="preserve"> for the </w:t>
      </w:r>
      <w:r w:rsidR="00EB7B64" w:rsidRPr="004F3632">
        <w:rPr>
          <w:rFonts w:ascii="Calibri" w:eastAsia="Calibri" w:hAnsi="Calibri" w:cs="Times New Roman"/>
        </w:rPr>
        <w:t>100</w:t>
      </w:r>
      <w:r w:rsidRPr="004F3632">
        <w:rPr>
          <w:rFonts w:ascii="Calibri" w:eastAsia="Calibri" w:hAnsi="Calibri" w:cs="Times New Roman"/>
        </w:rPr>
        <w:t xml:space="preserve"> days ending 2</w:t>
      </w:r>
      <w:r w:rsidR="00EB7B64" w:rsidRPr="004F3632">
        <w:rPr>
          <w:rFonts w:ascii="Calibri" w:eastAsia="Calibri" w:hAnsi="Calibri" w:cs="Times New Roman"/>
        </w:rPr>
        <w:t>1</w:t>
      </w:r>
      <w:r w:rsidRPr="004F3632">
        <w:rPr>
          <w:rFonts w:ascii="Calibri" w:eastAsia="Calibri" w:hAnsi="Calibri" w:cs="Times New Roman"/>
        </w:rPr>
        <w:t xml:space="preserve"> days before the announcement.</w:t>
      </w:r>
      <w:r w:rsidR="00723E92">
        <w:rPr>
          <w:rFonts w:ascii="Calibri" w:eastAsia="Calibri" w:hAnsi="Calibri" w:cs="Times New Roman"/>
        </w:rPr>
        <w:t xml:space="preserve"> </w:t>
      </w:r>
    </w:p>
    <w:p w14:paraId="4B047330" w14:textId="72A7F4C6" w:rsidR="00973144" w:rsidRDefault="00973144" w:rsidP="00973144">
      <w:pPr>
        <w:spacing w:line="360" w:lineRule="auto"/>
        <w:ind w:left="1985" w:hanging="1985"/>
        <w:rPr>
          <w:rFonts w:ascii="Calibri" w:eastAsia="Calibri" w:hAnsi="Calibri" w:cs="Times New Roman"/>
        </w:rPr>
      </w:pPr>
      <w:r w:rsidRPr="004F3632">
        <w:rPr>
          <w:rFonts w:ascii="Calibri" w:eastAsia="Calibri" w:hAnsi="Calibri" w:cs="Times New Roman"/>
          <w:i/>
        </w:rPr>
        <w:t>After</w:t>
      </w:r>
      <w:r w:rsidRPr="004F3632">
        <w:rPr>
          <w:rFonts w:ascii="Calibri" w:eastAsia="Calibri" w:hAnsi="Calibri" w:cs="Times New Roman"/>
          <w:i/>
        </w:rPr>
        <w:tab/>
      </w:r>
      <w:r w:rsidRPr="004F3632">
        <w:rPr>
          <w:rFonts w:ascii="Calibri" w:eastAsia="Calibri" w:hAnsi="Calibri" w:cs="Times New Roman"/>
        </w:rPr>
        <w:t xml:space="preserve">Dummy variable = 1 for the period </w:t>
      </w:r>
      <w:r w:rsidR="004F3632" w:rsidRPr="004F3632">
        <w:rPr>
          <w:rFonts w:ascii="Calibri" w:eastAsia="Calibri" w:hAnsi="Calibri" w:cs="Times New Roman"/>
        </w:rPr>
        <w:t>(</w:t>
      </w:r>
      <w:r w:rsidR="00582C63">
        <w:rPr>
          <w:rFonts w:ascii="Calibri" w:eastAsia="Calibri" w:hAnsi="Calibri" w:cs="Times New Roman"/>
        </w:rPr>
        <w:t>+1</w:t>
      </w:r>
      <w:r w:rsidR="004F3632" w:rsidRPr="004F3632">
        <w:rPr>
          <w:rFonts w:ascii="Calibri" w:eastAsia="Calibri" w:hAnsi="Calibri" w:cs="Times New Roman"/>
        </w:rPr>
        <w:t>,+20)</w:t>
      </w:r>
      <w:r w:rsidR="00582C63">
        <w:rPr>
          <w:rFonts w:ascii="Calibri" w:eastAsia="Calibri" w:hAnsi="Calibri" w:cs="Times New Roman"/>
        </w:rPr>
        <w:t>, and 0 otherwise</w:t>
      </w:r>
      <w:r w:rsidR="004F3632" w:rsidRPr="004F3632">
        <w:rPr>
          <w:rFonts w:ascii="Calibri" w:eastAsia="Calibri" w:hAnsi="Calibri" w:cs="Times New Roman"/>
        </w:rPr>
        <w:t>.</w:t>
      </w:r>
      <w:r w:rsidR="009F2EB3">
        <w:rPr>
          <w:rFonts w:ascii="Calibri" w:eastAsia="Calibri" w:hAnsi="Calibri" w:cs="Times New Roman"/>
        </w:rPr>
        <w:t xml:space="preserve"> </w:t>
      </w:r>
    </w:p>
    <w:p w14:paraId="04C3CCF7" w14:textId="77777777" w:rsidR="00973144" w:rsidRDefault="00973144" w:rsidP="00973144">
      <w:pPr>
        <w:spacing w:line="360" w:lineRule="auto"/>
        <w:ind w:left="1985" w:hanging="1985"/>
        <w:rPr>
          <w:rFonts w:ascii="Calibri" w:eastAsia="Calibri" w:hAnsi="Calibri" w:cs="Times New Roman"/>
        </w:rPr>
      </w:pPr>
      <w:r>
        <w:rPr>
          <w:rFonts w:ascii="Calibri" w:eastAsia="Calibri" w:hAnsi="Calibri" w:cs="Times New Roman"/>
          <w:i/>
          <w:vertAlign w:val="subscript"/>
        </w:rPr>
        <w:tab/>
      </w:r>
    </w:p>
    <w:p w14:paraId="669ABFA6" w14:textId="77777777" w:rsidR="00973144" w:rsidRDefault="00973144" w:rsidP="00973144">
      <w:pPr>
        <w:spacing w:line="360" w:lineRule="auto"/>
        <w:ind w:left="1985" w:hanging="1985"/>
        <w:rPr>
          <w:rFonts w:ascii="Calibri" w:eastAsia="Calibri" w:hAnsi="Calibri" w:cs="Times New Roman"/>
        </w:rPr>
      </w:pPr>
    </w:p>
    <w:p w14:paraId="59B72BAE" w14:textId="77777777" w:rsidR="00973144" w:rsidRPr="007566A9" w:rsidRDefault="00973144" w:rsidP="00973144">
      <w:pPr>
        <w:spacing w:line="360" w:lineRule="auto"/>
        <w:ind w:left="1985" w:hanging="1985"/>
        <w:rPr>
          <w:rFonts w:ascii="Calibri" w:eastAsia="Calibri" w:hAnsi="Calibri" w:cs="Times New Roman"/>
        </w:rPr>
      </w:pPr>
    </w:p>
    <w:p w14:paraId="63138D06" w14:textId="77777777" w:rsidR="00973144" w:rsidRPr="007566A9" w:rsidRDefault="00973144" w:rsidP="00973144">
      <w:pPr>
        <w:spacing w:line="360" w:lineRule="auto"/>
        <w:ind w:left="1985" w:hanging="1985"/>
        <w:rPr>
          <w:rFonts w:ascii="Calibri" w:eastAsia="Calibri" w:hAnsi="Calibri" w:cs="Times New Roman"/>
        </w:rPr>
      </w:pPr>
    </w:p>
    <w:p w14:paraId="0015FEB8" w14:textId="77777777" w:rsidR="00973144" w:rsidRPr="00B91328" w:rsidRDefault="00973144" w:rsidP="00973144">
      <w:pPr>
        <w:spacing w:line="360" w:lineRule="auto"/>
        <w:ind w:left="1985" w:hanging="1985"/>
        <w:rPr>
          <w:rFonts w:ascii="Calibri" w:eastAsia="Calibri" w:hAnsi="Calibri" w:cs="Times New Roman"/>
        </w:rPr>
      </w:pPr>
    </w:p>
    <w:p w14:paraId="66D97CA8" w14:textId="77777777" w:rsidR="00973144" w:rsidRDefault="00973144" w:rsidP="00973144">
      <w:pPr>
        <w:ind w:left="1985" w:hanging="1985"/>
      </w:pPr>
    </w:p>
    <w:p w14:paraId="0FC01904" w14:textId="77777777" w:rsidR="00837700" w:rsidRPr="00C35785" w:rsidRDefault="00837700" w:rsidP="00C05EFB">
      <w:pPr>
        <w:tabs>
          <w:tab w:val="left" w:pos="1418"/>
        </w:tabs>
        <w:spacing w:line="360" w:lineRule="auto"/>
        <w:ind w:left="1418" w:hanging="1418"/>
        <w:jc w:val="both"/>
        <w:rPr>
          <w:highlight w:val="yellow"/>
        </w:rPr>
      </w:pPr>
    </w:p>
    <w:p w14:paraId="09BD4886" w14:textId="77777777" w:rsidR="00D07BBB" w:rsidRPr="00C35785" w:rsidRDefault="00D07BBB" w:rsidP="00D35156">
      <w:pPr>
        <w:tabs>
          <w:tab w:val="left" w:pos="1418"/>
        </w:tabs>
        <w:spacing w:line="360" w:lineRule="auto"/>
        <w:ind w:left="1418" w:hanging="1418"/>
        <w:rPr>
          <w:highlight w:val="yellow"/>
        </w:rPr>
      </w:pPr>
    </w:p>
    <w:p w14:paraId="3D93EC2F" w14:textId="77777777" w:rsidR="00D07BBB" w:rsidRPr="00C35785" w:rsidRDefault="00D07BBB" w:rsidP="00D35156">
      <w:pPr>
        <w:tabs>
          <w:tab w:val="left" w:pos="1418"/>
        </w:tabs>
        <w:spacing w:line="360" w:lineRule="auto"/>
        <w:ind w:left="1418" w:hanging="1418"/>
        <w:rPr>
          <w:highlight w:val="yellow"/>
        </w:rPr>
      </w:pPr>
    </w:p>
    <w:p w14:paraId="6ED8A70E" w14:textId="77777777" w:rsidR="0072071C" w:rsidRPr="00C35785" w:rsidRDefault="0072071C" w:rsidP="00D35156">
      <w:pPr>
        <w:tabs>
          <w:tab w:val="left" w:pos="1418"/>
        </w:tabs>
        <w:spacing w:line="360" w:lineRule="auto"/>
        <w:ind w:left="1418" w:hanging="1418"/>
        <w:rPr>
          <w:highlight w:val="yellow"/>
        </w:rPr>
      </w:pPr>
      <w:r w:rsidRPr="00C35785">
        <w:rPr>
          <w:highlight w:val="yellow"/>
        </w:rPr>
        <w:t xml:space="preserve"> </w:t>
      </w:r>
    </w:p>
    <w:p w14:paraId="088DB814" w14:textId="77777777" w:rsidR="00D35156" w:rsidRPr="00C35785" w:rsidRDefault="00D35156" w:rsidP="00797270">
      <w:pPr>
        <w:spacing w:line="360" w:lineRule="auto"/>
        <w:rPr>
          <w:highlight w:val="yellow"/>
        </w:rPr>
      </w:pPr>
    </w:p>
    <w:p w14:paraId="3FDB91A3" w14:textId="77777777" w:rsidR="00325A31" w:rsidRPr="00C35785" w:rsidRDefault="00325A31" w:rsidP="00797270">
      <w:pPr>
        <w:spacing w:line="360" w:lineRule="auto"/>
        <w:rPr>
          <w:highlight w:val="yellow"/>
        </w:rPr>
      </w:pPr>
    </w:p>
    <w:p w14:paraId="656EE0CC" w14:textId="77777777" w:rsidR="00261F9A" w:rsidRPr="00C35785" w:rsidRDefault="00261F9A" w:rsidP="00797270">
      <w:pPr>
        <w:spacing w:line="360" w:lineRule="auto"/>
        <w:ind w:left="1440"/>
        <w:rPr>
          <w:highlight w:val="yellow"/>
        </w:rPr>
      </w:pPr>
    </w:p>
    <w:p w14:paraId="69B2CFFE" w14:textId="77777777" w:rsidR="00261F9A" w:rsidRPr="00C35785" w:rsidRDefault="00261F9A" w:rsidP="00797270">
      <w:pPr>
        <w:spacing w:line="360" w:lineRule="auto"/>
        <w:ind w:left="1440"/>
        <w:rPr>
          <w:highlight w:val="yellow"/>
        </w:rPr>
      </w:pPr>
    </w:p>
    <w:p w14:paraId="0BE233F8" w14:textId="77777777" w:rsidR="00D66BF6" w:rsidRPr="00C35785" w:rsidRDefault="00D66BF6" w:rsidP="00797270">
      <w:pPr>
        <w:spacing w:line="360" w:lineRule="auto"/>
        <w:rPr>
          <w:highlight w:val="yellow"/>
        </w:rPr>
      </w:pPr>
    </w:p>
    <w:p w14:paraId="7FF06BC2" w14:textId="77777777" w:rsidR="00325A31" w:rsidRPr="00C35785" w:rsidRDefault="00325A31">
      <w:pPr>
        <w:rPr>
          <w:highlight w:val="yellow"/>
        </w:rPr>
      </w:pPr>
      <w:r w:rsidRPr="00C35785">
        <w:rPr>
          <w:highlight w:val="yellow"/>
        </w:rPr>
        <w:br w:type="page"/>
      </w:r>
    </w:p>
    <w:p w14:paraId="4562FA4C" w14:textId="18B4E5F6" w:rsidR="00D66BF6" w:rsidRPr="003D6E55" w:rsidRDefault="005510A0" w:rsidP="00797270">
      <w:pPr>
        <w:spacing w:line="360" w:lineRule="auto"/>
        <w:rPr>
          <w:b/>
        </w:rPr>
      </w:pPr>
      <w:r w:rsidRPr="003D6E55">
        <w:rPr>
          <w:b/>
        </w:rPr>
        <w:lastRenderedPageBreak/>
        <w:t>References</w:t>
      </w:r>
    </w:p>
    <w:p w14:paraId="6EE6C92F" w14:textId="77777777" w:rsidR="005510A0" w:rsidRPr="00C35785" w:rsidRDefault="005510A0" w:rsidP="00797270">
      <w:pPr>
        <w:spacing w:line="360" w:lineRule="auto"/>
        <w:rPr>
          <w:highlight w:val="yellow"/>
        </w:rPr>
      </w:pPr>
    </w:p>
    <w:p w14:paraId="2F043C1B" w14:textId="77777777" w:rsidR="006C57ED" w:rsidRPr="006C57ED" w:rsidRDefault="00D66BF6" w:rsidP="006C57ED">
      <w:pPr>
        <w:pStyle w:val="EndNoteBibliography"/>
        <w:ind w:left="720" w:hanging="720"/>
      </w:pPr>
      <w:r w:rsidRPr="00C35785">
        <w:rPr>
          <w:highlight w:val="yellow"/>
        </w:rPr>
        <w:fldChar w:fldCharType="begin"/>
      </w:r>
      <w:r w:rsidRPr="00C35785">
        <w:rPr>
          <w:highlight w:val="yellow"/>
        </w:rPr>
        <w:instrText xml:space="preserve"> ADDIN EN.REFLIST </w:instrText>
      </w:r>
      <w:r w:rsidRPr="00C35785">
        <w:rPr>
          <w:highlight w:val="yellow"/>
        </w:rPr>
        <w:fldChar w:fldCharType="separate"/>
      </w:r>
      <w:bookmarkStart w:id="1" w:name="_ENREF_1"/>
      <w:r w:rsidR="006C57ED" w:rsidRPr="006C57ED">
        <w:t xml:space="preserve">Amiram, D., Owens, E., &amp; Rozenbaum, O. (2016). Do information releases increase or decrease information asymmetry? New evidence from analyst forecast announcements. </w:t>
      </w:r>
      <w:r w:rsidR="006C57ED" w:rsidRPr="006C57ED">
        <w:rPr>
          <w:i/>
        </w:rPr>
        <w:t>Journal of Accounting and Economics, 62</w:t>
      </w:r>
      <w:r w:rsidR="006C57ED" w:rsidRPr="006C57ED">
        <w:t>(1), 121-138. doi:10.1016/j.jacceco.2016.06.001</w:t>
      </w:r>
      <w:bookmarkEnd w:id="1"/>
    </w:p>
    <w:p w14:paraId="15AB43A1" w14:textId="77777777" w:rsidR="006C57ED" w:rsidRPr="006C57ED" w:rsidRDefault="006C57ED" w:rsidP="006C57ED">
      <w:pPr>
        <w:pStyle w:val="EndNoteBibliography"/>
        <w:ind w:left="720" w:hanging="720"/>
      </w:pPr>
      <w:bookmarkStart w:id="2" w:name="_ENREF_2"/>
      <w:r w:rsidRPr="006C57ED">
        <w:t>ASX Listing Rules Guidance Note 8,  (2013).</w:t>
      </w:r>
      <w:bookmarkEnd w:id="2"/>
    </w:p>
    <w:p w14:paraId="61AA8231" w14:textId="77777777" w:rsidR="006C57ED" w:rsidRPr="006C57ED" w:rsidRDefault="006C57ED" w:rsidP="006C57ED">
      <w:pPr>
        <w:pStyle w:val="EndNoteBibliography"/>
        <w:ind w:left="720" w:hanging="720"/>
      </w:pPr>
      <w:bookmarkStart w:id="3" w:name="_ENREF_3"/>
      <w:r w:rsidRPr="006C57ED">
        <w:t xml:space="preserve">Atiase, R. K. (1985). Predisclosure information, firm capitalization, and security price behavior around earnings announcements. </w:t>
      </w:r>
      <w:r w:rsidRPr="006C57ED">
        <w:rPr>
          <w:i/>
        </w:rPr>
        <w:t>Journal of Accounting Research, 23</w:t>
      </w:r>
      <w:r w:rsidRPr="006C57ED">
        <w:t xml:space="preserve">(1), 21-36. </w:t>
      </w:r>
      <w:bookmarkEnd w:id="3"/>
    </w:p>
    <w:p w14:paraId="5AD8BBDD" w14:textId="253529D2" w:rsidR="006C57ED" w:rsidRPr="006C57ED" w:rsidRDefault="006C57ED" w:rsidP="006C57ED">
      <w:pPr>
        <w:pStyle w:val="EndNoteBibliography"/>
        <w:ind w:left="720" w:hanging="720"/>
      </w:pPr>
      <w:bookmarkStart w:id="4" w:name="_ENREF_4"/>
      <w:r w:rsidRPr="006C57ED">
        <w:t xml:space="preserve">Bae, J., Biddle, G. C., &amp; Park, C. W. (2017). </w:t>
      </w:r>
      <w:r w:rsidRPr="006C57ED">
        <w:rPr>
          <w:i/>
        </w:rPr>
        <w:t>Voluntary capex guidance, analyst feedback and capital investment efficiency</w:t>
      </w:r>
      <w:r w:rsidRPr="006C57ED">
        <w:t xml:space="preserve">  Available at SSRN:  </w:t>
      </w:r>
      <w:hyperlink r:id="rId9" w:history="1">
        <w:r w:rsidRPr="006C57ED">
          <w:rPr>
            <w:rStyle w:val="Hyperlink"/>
          </w:rPr>
          <w:t>https://papers.ssrn.com/sol3/papers.cfm?abstract_id=2788381</w:t>
        </w:r>
        <w:bookmarkEnd w:id="4"/>
      </w:hyperlink>
    </w:p>
    <w:p w14:paraId="01992C5C" w14:textId="77777777" w:rsidR="006C57ED" w:rsidRPr="006C57ED" w:rsidRDefault="006C57ED" w:rsidP="006C57ED">
      <w:pPr>
        <w:pStyle w:val="EndNoteBibliography"/>
        <w:ind w:left="720" w:hanging="720"/>
      </w:pPr>
      <w:bookmarkStart w:id="5" w:name="_ENREF_5"/>
      <w:r w:rsidRPr="006C57ED">
        <w:t xml:space="preserve">Baginski, S. P., Conrad, E. J., &amp; Hassell, J. M. (1993). The effects of management forecast precision on equity pricing and on the assessment of earnings uncertainty. </w:t>
      </w:r>
      <w:r w:rsidRPr="006C57ED">
        <w:rPr>
          <w:i/>
        </w:rPr>
        <w:t>Accounting Review, 68</w:t>
      </w:r>
      <w:r w:rsidRPr="006C57ED">
        <w:t xml:space="preserve">(4), 913-927. </w:t>
      </w:r>
      <w:bookmarkEnd w:id="5"/>
    </w:p>
    <w:p w14:paraId="28EAB60D" w14:textId="48980BA2" w:rsidR="006C57ED" w:rsidRPr="006C57ED" w:rsidRDefault="006C57ED" w:rsidP="006C57ED">
      <w:pPr>
        <w:pStyle w:val="EndNoteBibliography"/>
        <w:ind w:left="720" w:hanging="720"/>
      </w:pPr>
      <w:bookmarkStart w:id="6" w:name="_ENREF_6"/>
      <w:r w:rsidRPr="006C57ED">
        <w:t xml:space="preserve">Beyer, B., Herrmann, D., &amp; Rapley, E. T. (2015). </w:t>
      </w:r>
      <w:r w:rsidRPr="006C57ED">
        <w:rPr>
          <w:i/>
        </w:rPr>
        <w:t>Disaggregated capital expenditures</w:t>
      </w:r>
      <w:r w:rsidRPr="006C57ED">
        <w:t xml:space="preserve">  Available at SSRN:  </w:t>
      </w:r>
      <w:hyperlink r:id="rId10" w:history="1">
        <w:r w:rsidRPr="006C57ED">
          <w:rPr>
            <w:rStyle w:val="Hyperlink"/>
          </w:rPr>
          <w:t>http://ssrn.com/abstract=2587124</w:t>
        </w:r>
      </w:hyperlink>
      <w:r w:rsidRPr="006C57ED">
        <w:t xml:space="preserve"> or </w:t>
      </w:r>
      <w:hyperlink r:id="rId11" w:history="1">
        <w:r w:rsidRPr="006C57ED">
          <w:rPr>
            <w:rStyle w:val="Hyperlink"/>
          </w:rPr>
          <w:t>http://dx.doi.org/10.2139/ssrn.2587124</w:t>
        </w:r>
      </w:hyperlink>
      <w:r w:rsidRPr="006C57ED">
        <w:t xml:space="preserve"> </w:t>
      </w:r>
      <w:bookmarkEnd w:id="6"/>
    </w:p>
    <w:p w14:paraId="5035B8BD" w14:textId="77777777" w:rsidR="006C57ED" w:rsidRPr="006C57ED" w:rsidRDefault="006C57ED" w:rsidP="006C57ED">
      <w:pPr>
        <w:pStyle w:val="EndNoteBibliography"/>
        <w:ind w:left="720" w:hanging="720"/>
      </w:pPr>
      <w:bookmarkStart w:id="7" w:name="_ENREF_7"/>
      <w:r w:rsidRPr="006C57ED">
        <w:t xml:space="preserve">Boehmer, E., Musumeci, J., &amp; Poulsen, A. B. (1991). Event study methodology under conditions of event-induced variance. </w:t>
      </w:r>
      <w:r w:rsidRPr="006C57ED">
        <w:rPr>
          <w:i/>
        </w:rPr>
        <w:t>Journal of Financial Economics, 30</w:t>
      </w:r>
      <w:r w:rsidRPr="006C57ED">
        <w:t xml:space="preserve">(2), 253-272. </w:t>
      </w:r>
      <w:bookmarkEnd w:id="7"/>
    </w:p>
    <w:p w14:paraId="35CC9426" w14:textId="77777777" w:rsidR="006C57ED" w:rsidRPr="006C57ED" w:rsidRDefault="006C57ED" w:rsidP="006C57ED">
      <w:pPr>
        <w:pStyle w:val="EndNoteBibliography"/>
        <w:ind w:left="720" w:hanging="720"/>
      </w:pPr>
      <w:bookmarkStart w:id="8" w:name="_ENREF_8"/>
      <w:r w:rsidRPr="006C57ED">
        <w:t xml:space="preserve">Brailsford, T. J., &amp; Yeoh, D. (2004). Agency problems and capital expenditure announcements. </w:t>
      </w:r>
      <w:r w:rsidRPr="006C57ED">
        <w:rPr>
          <w:i/>
        </w:rPr>
        <w:t>Journal of Business, 77</w:t>
      </w:r>
      <w:r w:rsidRPr="006C57ED">
        <w:t xml:space="preserve">(2), 223-256. </w:t>
      </w:r>
      <w:bookmarkEnd w:id="8"/>
    </w:p>
    <w:p w14:paraId="7C5E3334" w14:textId="77777777" w:rsidR="006C57ED" w:rsidRPr="006C57ED" w:rsidRDefault="006C57ED" w:rsidP="006C57ED">
      <w:pPr>
        <w:pStyle w:val="EndNoteBibliography"/>
        <w:ind w:left="720" w:hanging="720"/>
      </w:pPr>
      <w:bookmarkStart w:id="9" w:name="_ENREF_9"/>
      <w:r w:rsidRPr="006C57ED">
        <w:t xml:space="preserve">Cannizzaro, A. P., &amp; Weiner, R. J. (2015). Multinational investment and voluntary disclosure: Project-level evidence from the petroleum industry. </w:t>
      </w:r>
      <w:r w:rsidRPr="006C57ED">
        <w:rPr>
          <w:i/>
        </w:rPr>
        <w:t>Accounting, Organizations and Society, 42</w:t>
      </w:r>
      <w:r w:rsidRPr="006C57ED">
        <w:t>, 32-47. doi:10.1016/j.aos.2015.01.002</w:t>
      </w:r>
      <w:bookmarkEnd w:id="9"/>
    </w:p>
    <w:p w14:paraId="48543DE9" w14:textId="77777777" w:rsidR="006C57ED" w:rsidRPr="006C57ED" w:rsidRDefault="006C57ED" w:rsidP="006C57ED">
      <w:pPr>
        <w:pStyle w:val="EndNoteBibliography"/>
        <w:ind w:left="720" w:hanging="720"/>
      </w:pPr>
      <w:bookmarkStart w:id="10" w:name="_ENREF_10"/>
      <w:r w:rsidRPr="006C57ED">
        <w:t xml:space="preserve">Carlson, M., Fisher, A., &amp; Giammarino, R. (2010). SEO risk dynamics. </w:t>
      </w:r>
      <w:r w:rsidRPr="006C57ED">
        <w:rPr>
          <w:i/>
        </w:rPr>
        <w:t>Review of Financial Studies, 23</w:t>
      </w:r>
      <w:r w:rsidRPr="006C57ED">
        <w:t>(11), 4026-4077. doi:10.1093/rfs/hhq083</w:t>
      </w:r>
      <w:bookmarkEnd w:id="10"/>
    </w:p>
    <w:p w14:paraId="5239D645" w14:textId="7B715101" w:rsidR="006C57ED" w:rsidRPr="006C57ED" w:rsidRDefault="006C57ED" w:rsidP="006C57ED">
      <w:pPr>
        <w:pStyle w:val="EndNoteBibliography"/>
        <w:ind w:left="720" w:hanging="720"/>
      </w:pPr>
      <w:bookmarkStart w:id="11" w:name="_ENREF_11"/>
      <w:r w:rsidRPr="006C57ED">
        <w:t xml:space="preserve">Chen, J. G., Smith, D. J., &amp; Wirth, C. G. (2017). </w:t>
      </w:r>
      <w:r w:rsidRPr="006C57ED">
        <w:rPr>
          <w:i/>
        </w:rPr>
        <w:t>How is investment efficiency related to investment transparency?</w:t>
      </w:r>
      <w:r w:rsidRPr="006C57ED">
        <w:t xml:space="preserve"> 30th Australasian Finance &amp; Banking Conference, Available at SSRN:  </w:t>
      </w:r>
      <w:hyperlink r:id="rId12" w:history="1">
        <w:r w:rsidRPr="006C57ED">
          <w:rPr>
            <w:rStyle w:val="Hyperlink"/>
          </w:rPr>
          <w:t>https://papers.ssrn.com/sol3/papers.cfm?abstract_id=3005686</w:t>
        </w:r>
        <w:bookmarkEnd w:id="11"/>
      </w:hyperlink>
    </w:p>
    <w:p w14:paraId="1478073B" w14:textId="77777777" w:rsidR="006C57ED" w:rsidRPr="006C57ED" w:rsidRDefault="006C57ED" w:rsidP="006C57ED">
      <w:pPr>
        <w:pStyle w:val="EndNoteBibliography"/>
        <w:ind w:left="720" w:hanging="720"/>
      </w:pPr>
      <w:bookmarkStart w:id="12" w:name="_ENREF_12"/>
      <w:r w:rsidRPr="006C57ED">
        <w:t xml:space="preserve">Chen, S. S. (2006). The economic impact of corporate capital expenditures: Focused firms versus diversified firms. </w:t>
      </w:r>
      <w:r w:rsidRPr="006C57ED">
        <w:rPr>
          <w:i/>
        </w:rPr>
        <w:t>Journal of Financial &amp; Quantitative Analysis, 41</w:t>
      </w:r>
      <w:r w:rsidRPr="006C57ED">
        <w:t xml:space="preserve">(2), 341-355. </w:t>
      </w:r>
      <w:bookmarkEnd w:id="12"/>
    </w:p>
    <w:p w14:paraId="113A2FB6" w14:textId="77777777" w:rsidR="006C57ED" w:rsidRPr="006C57ED" w:rsidRDefault="006C57ED" w:rsidP="006C57ED">
      <w:pPr>
        <w:pStyle w:val="EndNoteBibliography"/>
        <w:ind w:left="720" w:hanging="720"/>
      </w:pPr>
      <w:bookmarkStart w:id="13" w:name="_ENREF_13"/>
      <w:r w:rsidRPr="006C57ED">
        <w:t xml:space="preserve">Chen, S. S., &amp; Chen, I. J. (2011). Inefficient investment and the diversification discount: Evidence from corporate asset purchases. </w:t>
      </w:r>
      <w:r w:rsidRPr="006C57ED">
        <w:rPr>
          <w:i/>
        </w:rPr>
        <w:t>Journal of Business Finance &amp; Accounting, 38</w:t>
      </w:r>
      <w:r w:rsidRPr="006C57ED">
        <w:t>(7), 887-914. doi:10.1111/j.1468-5957.2011.02251.x</w:t>
      </w:r>
      <w:bookmarkEnd w:id="13"/>
    </w:p>
    <w:p w14:paraId="467D9C9F" w14:textId="77777777" w:rsidR="006C57ED" w:rsidRPr="006C57ED" w:rsidRDefault="006C57ED" w:rsidP="006C57ED">
      <w:pPr>
        <w:pStyle w:val="EndNoteBibliography"/>
        <w:ind w:left="720" w:hanging="720"/>
      </w:pPr>
      <w:bookmarkStart w:id="14" w:name="_ENREF_14"/>
      <w:r w:rsidRPr="006C57ED">
        <w:t xml:space="preserve">Chung, K. H., Wright, P., &amp; Charoenwong, C. (1998). Investment opportunities and market reaction to capital expenditure decisions. </w:t>
      </w:r>
      <w:r w:rsidRPr="006C57ED">
        <w:rPr>
          <w:i/>
        </w:rPr>
        <w:t>Journal of Banking &amp; Finance, 22</w:t>
      </w:r>
      <w:r w:rsidRPr="006C57ED">
        <w:t xml:space="preserve">(1), 41-60. </w:t>
      </w:r>
      <w:bookmarkEnd w:id="14"/>
    </w:p>
    <w:p w14:paraId="5FB1547B" w14:textId="77777777" w:rsidR="006C57ED" w:rsidRPr="006C57ED" w:rsidRDefault="006C57ED" w:rsidP="006C57ED">
      <w:pPr>
        <w:pStyle w:val="EndNoteBibliography"/>
        <w:ind w:left="720" w:hanging="720"/>
      </w:pPr>
      <w:bookmarkStart w:id="15" w:name="_ENREF_15"/>
      <w:r w:rsidRPr="006C57ED">
        <w:t xml:space="preserve">Coller, M., &amp; Yohn, T. L. (1997). Management forecasts and information asymmetry: An examination of bid-ask spreads. </w:t>
      </w:r>
      <w:r w:rsidRPr="006C57ED">
        <w:rPr>
          <w:i/>
        </w:rPr>
        <w:t>Journal of Accounting Research, 35</w:t>
      </w:r>
      <w:r w:rsidRPr="006C57ED">
        <w:t>(2), 181-191. doi:10.2307/2491359</w:t>
      </w:r>
      <w:bookmarkEnd w:id="15"/>
    </w:p>
    <w:p w14:paraId="569029A0" w14:textId="77777777" w:rsidR="006C57ED" w:rsidRPr="006C57ED" w:rsidRDefault="006C57ED" w:rsidP="006C57ED">
      <w:pPr>
        <w:pStyle w:val="EndNoteBibliography"/>
        <w:ind w:left="720" w:hanging="720"/>
      </w:pPr>
      <w:bookmarkStart w:id="16" w:name="_ENREF_16"/>
      <w:r w:rsidRPr="006C57ED">
        <w:t xml:space="preserve">Core, J. E. (2001). A review of the empirical disclosure literature: discussion. </w:t>
      </w:r>
      <w:r w:rsidRPr="006C57ED">
        <w:rPr>
          <w:i/>
        </w:rPr>
        <w:t>Journal of Accounting &amp; Economics, 31</w:t>
      </w:r>
      <w:r w:rsidRPr="006C57ED">
        <w:t xml:space="preserve">(1-3), 441-456. </w:t>
      </w:r>
      <w:bookmarkEnd w:id="16"/>
    </w:p>
    <w:p w14:paraId="6BB2C964" w14:textId="77777777" w:rsidR="006C57ED" w:rsidRPr="006C57ED" w:rsidRDefault="006C57ED" w:rsidP="006C57ED">
      <w:pPr>
        <w:pStyle w:val="EndNoteBibliography"/>
        <w:ind w:left="720" w:hanging="720"/>
      </w:pPr>
      <w:bookmarkStart w:id="17" w:name="_ENREF_17"/>
      <w:r w:rsidRPr="006C57ED">
        <w:t xml:space="preserve">Diamond, D. W., &amp; Verrecchia, R. E. (1991). Disclosure, liquidity, and the cost of capital. </w:t>
      </w:r>
      <w:r w:rsidRPr="006C57ED">
        <w:rPr>
          <w:i/>
        </w:rPr>
        <w:t>Journal of Finance, 46</w:t>
      </w:r>
      <w:r w:rsidRPr="006C57ED">
        <w:t xml:space="preserve">(4), 1325-1359. </w:t>
      </w:r>
      <w:bookmarkEnd w:id="17"/>
    </w:p>
    <w:p w14:paraId="58630F8D" w14:textId="77777777" w:rsidR="006C57ED" w:rsidRPr="006C57ED" w:rsidRDefault="006C57ED" w:rsidP="006C57ED">
      <w:pPr>
        <w:pStyle w:val="EndNoteBibliography"/>
        <w:ind w:left="720" w:hanging="720"/>
      </w:pPr>
      <w:bookmarkStart w:id="18" w:name="_ENREF_18"/>
      <w:r w:rsidRPr="006C57ED">
        <w:t xml:space="preserve">Dichev, I. D., &amp; Tang, V. W. (2009). Earnings volatility and earnings predictability. </w:t>
      </w:r>
      <w:r w:rsidRPr="006C57ED">
        <w:rPr>
          <w:i/>
        </w:rPr>
        <w:t>Journal of Accounting and Economics, 47</w:t>
      </w:r>
      <w:r w:rsidRPr="006C57ED">
        <w:t>(1-2), 160-181. doi:10.1016/j.jacceco.2008.09.005</w:t>
      </w:r>
      <w:bookmarkEnd w:id="18"/>
    </w:p>
    <w:p w14:paraId="360D9DB6" w14:textId="77777777" w:rsidR="006C57ED" w:rsidRPr="006C57ED" w:rsidRDefault="006C57ED" w:rsidP="006C57ED">
      <w:pPr>
        <w:pStyle w:val="EndNoteBibliography"/>
        <w:ind w:left="720" w:hanging="720"/>
      </w:pPr>
      <w:bookmarkStart w:id="19" w:name="_ENREF_19"/>
      <w:r w:rsidRPr="006C57ED">
        <w:t xml:space="preserve">Epstein, L. G., &amp; Schneider, M. (2008). Ambiguity, information quality, and asset pricing. </w:t>
      </w:r>
      <w:r w:rsidRPr="006C57ED">
        <w:rPr>
          <w:i/>
        </w:rPr>
        <w:t>Journal of Finance, 63</w:t>
      </w:r>
      <w:r w:rsidRPr="006C57ED">
        <w:t>(1), 197-228. doi:10.1111/j.1540-6261.2008.01314.x</w:t>
      </w:r>
      <w:bookmarkEnd w:id="19"/>
    </w:p>
    <w:p w14:paraId="0B2C50E2" w14:textId="77777777" w:rsidR="006C57ED" w:rsidRPr="006C57ED" w:rsidRDefault="006C57ED" w:rsidP="006C57ED">
      <w:pPr>
        <w:pStyle w:val="EndNoteBibliography"/>
        <w:ind w:left="720" w:hanging="720"/>
      </w:pPr>
      <w:bookmarkStart w:id="20" w:name="_ENREF_20"/>
      <w:r w:rsidRPr="006C57ED">
        <w:t xml:space="preserve">Erickson, T., &amp; Whited, T. M. (2006). On the accuracy of different measures of q. </w:t>
      </w:r>
      <w:r w:rsidRPr="006C57ED">
        <w:rPr>
          <w:i/>
        </w:rPr>
        <w:t>Financial Management, 35</w:t>
      </w:r>
      <w:r w:rsidRPr="006C57ED">
        <w:t xml:space="preserve">(3), 5-33. </w:t>
      </w:r>
      <w:bookmarkEnd w:id="20"/>
    </w:p>
    <w:p w14:paraId="2F86D6D7" w14:textId="77777777" w:rsidR="006C57ED" w:rsidRPr="006C57ED" w:rsidRDefault="006C57ED" w:rsidP="006C57ED">
      <w:pPr>
        <w:pStyle w:val="EndNoteBibliography"/>
        <w:ind w:left="720" w:hanging="720"/>
      </w:pPr>
      <w:bookmarkStart w:id="21" w:name="_ENREF_21"/>
      <w:r w:rsidRPr="006C57ED">
        <w:t xml:space="preserve">Fong, K. Y. L., Holden, C. W., &amp; Trzcinka, C. A. (2017). What are the best liquidity proxies for global research? </w:t>
      </w:r>
      <w:r w:rsidRPr="006C57ED">
        <w:rPr>
          <w:i/>
        </w:rPr>
        <w:t>Review of Finance, 21</w:t>
      </w:r>
      <w:r w:rsidRPr="006C57ED">
        <w:t>(4), 1355-1401. doi:10.1093/rof/rfx003</w:t>
      </w:r>
      <w:bookmarkEnd w:id="21"/>
    </w:p>
    <w:p w14:paraId="2E6031B7" w14:textId="77777777" w:rsidR="006C57ED" w:rsidRPr="006C57ED" w:rsidRDefault="006C57ED" w:rsidP="006C57ED">
      <w:pPr>
        <w:pStyle w:val="EndNoteBibliography"/>
        <w:ind w:left="720" w:hanging="720"/>
      </w:pPr>
      <w:bookmarkStart w:id="22" w:name="_ENREF_22"/>
      <w:r w:rsidRPr="006C57ED">
        <w:lastRenderedPageBreak/>
        <w:t xml:space="preserve">Frank, M. Z., &amp; Sanati, A. (2018). How does the stock market absorb shocks? </w:t>
      </w:r>
      <w:r w:rsidRPr="006C57ED">
        <w:rPr>
          <w:i/>
        </w:rPr>
        <w:t>Journal of Financial Economics, 129</w:t>
      </w:r>
      <w:r w:rsidRPr="006C57ED">
        <w:t>(1), 136-153. doi:10.1016/j.jfineco.2018.04.002</w:t>
      </w:r>
      <w:bookmarkEnd w:id="22"/>
    </w:p>
    <w:p w14:paraId="16C8E9EE" w14:textId="77777777" w:rsidR="006C57ED" w:rsidRPr="006C57ED" w:rsidRDefault="006C57ED" w:rsidP="006C57ED">
      <w:pPr>
        <w:pStyle w:val="EndNoteBibliography"/>
        <w:ind w:left="720" w:hanging="720"/>
      </w:pPr>
      <w:bookmarkStart w:id="23" w:name="_ENREF_23"/>
      <w:r w:rsidRPr="006C57ED">
        <w:t xml:space="preserve">Grullon, G., Lyandres, E., &amp; Zhdanov, A. (2012). Real Options, Volatility, and Stock Returns. </w:t>
      </w:r>
      <w:r w:rsidRPr="006C57ED">
        <w:rPr>
          <w:i/>
        </w:rPr>
        <w:t>Journal of Finance, 67</w:t>
      </w:r>
      <w:r w:rsidRPr="006C57ED">
        <w:t>(4), 1499-1537. doi:10.1111/j.1540-6261.2012.01754.x</w:t>
      </w:r>
      <w:bookmarkEnd w:id="23"/>
    </w:p>
    <w:p w14:paraId="77568699" w14:textId="77777777" w:rsidR="006C57ED" w:rsidRPr="006C57ED" w:rsidRDefault="006C57ED" w:rsidP="006C57ED">
      <w:pPr>
        <w:pStyle w:val="EndNoteBibliography"/>
        <w:ind w:left="720" w:hanging="720"/>
      </w:pPr>
      <w:bookmarkStart w:id="24" w:name="_ENREF_24"/>
      <w:r w:rsidRPr="006C57ED">
        <w:t xml:space="preserve">Gu, F., &amp; Li, J. Q. (2007). The credibility of voluntary disclosure and insider stock transactions. </w:t>
      </w:r>
      <w:r w:rsidRPr="006C57ED">
        <w:rPr>
          <w:i/>
        </w:rPr>
        <w:t>Journal of Accounting Research, 45</w:t>
      </w:r>
      <w:r w:rsidRPr="006C57ED">
        <w:t>(4), 771-810. doi:10.1111/j.1475-679X.2007.00250.x</w:t>
      </w:r>
      <w:bookmarkEnd w:id="24"/>
    </w:p>
    <w:p w14:paraId="59B6662D" w14:textId="77777777" w:rsidR="006C57ED" w:rsidRPr="006C57ED" w:rsidRDefault="006C57ED" w:rsidP="006C57ED">
      <w:pPr>
        <w:pStyle w:val="EndNoteBibliography"/>
        <w:ind w:left="720" w:hanging="720"/>
      </w:pPr>
      <w:bookmarkStart w:id="25" w:name="_ENREF_25"/>
      <w:r w:rsidRPr="006C57ED">
        <w:t xml:space="preserve">Guo, R.-J., Lev, B., &amp; Zhou, N. (2004). Competitive costs of disclosure by Biotech IPOs. </w:t>
      </w:r>
      <w:r w:rsidRPr="006C57ED">
        <w:rPr>
          <w:i/>
        </w:rPr>
        <w:t>Journal of Accounting Research, 42</w:t>
      </w:r>
      <w:r w:rsidRPr="006C57ED">
        <w:t xml:space="preserve">(2), 319-355. </w:t>
      </w:r>
      <w:bookmarkEnd w:id="25"/>
    </w:p>
    <w:p w14:paraId="0E46C420" w14:textId="77777777" w:rsidR="006C57ED" w:rsidRPr="006C57ED" w:rsidRDefault="006C57ED" w:rsidP="006C57ED">
      <w:pPr>
        <w:pStyle w:val="EndNoteBibliography"/>
        <w:ind w:left="720" w:hanging="720"/>
      </w:pPr>
      <w:bookmarkStart w:id="26" w:name="_ENREF_26"/>
      <w:r w:rsidRPr="006C57ED">
        <w:t xml:space="preserve">Hanley, K. W., &amp; Hoberg, G. (2010). The information content of IPO prospectuses. </w:t>
      </w:r>
      <w:r w:rsidRPr="006C57ED">
        <w:rPr>
          <w:i/>
        </w:rPr>
        <w:t>Review of Financial Studies, 23</w:t>
      </w:r>
      <w:r w:rsidRPr="006C57ED">
        <w:t>(7), 2821-2864. doi:10.1093/rfs/hhq024</w:t>
      </w:r>
      <w:bookmarkEnd w:id="26"/>
    </w:p>
    <w:p w14:paraId="7C6762F8" w14:textId="77777777" w:rsidR="006C57ED" w:rsidRPr="006C57ED" w:rsidRDefault="006C57ED" w:rsidP="006C57ED">
      <w:pPr>
        <w:pStyle w:val="EndNoteBibliography"/>
        <w:ind w:left="720" w:hanging="720"/>
      </w:pPr>
      <w:bookmarkStart w:id="27" w:name="_ENREF_27"/>
      <w:r w:rsidRPr="006C57ED">
        <w:t xml:space="preserve">He, W. P., Lepone, A., &amp; Leung, H. (2013). Information asymmetry and the cost of equity capital. </w:t>
      </w:r>
      <w:r w:rsidRPr="006C57ED">
        <w:rPr>
          <w:i/>
        </w:rPr>
        <w:t>International Review of Economics &amp; Finance, 27</w:t>
      </w:r>
      <w:r w:rsidRPr="006C57ED">
        <w:t>, 611-620. doi:10.1016/j.iref.2013.03.001</w:t>
      </w:r>
      <w:bookmarkEnd w:id="27"/>
    </w:p>
    <w:p w14:paraId="0A926620" w14:textId="77777777" w:rsidR="006C57ED" w:rsidRPr="006C57ED" w:rsidRDefault="006C57ED" w:rsidP="006C57ED">
      <w:pPr>
        <w:pStyle w:val="EndNoteBibliography"/>
        <w:ind w:left="720" w:hanging="720"/>
      </w:pPr>
      <w:bookmarkStart w:id="28" w:name="_ENREF_28"/>
      <w:r w:rsidRPr="006C57ED">
        <w:t xml:space="preserve">Healy, P. M., Hutton, A. P., &amp; Palepu, K. G. (1999). Stock Performance and Intermediation Changes Surrounding Sustained Increases in Disclosure. </w:t>
      </w:r>
      <w:r w:rsidRPr="006C57ED">
        <w:rPr>
          <w:i/>
        </w:rPr>
        <w:t>Contemporary Accounting Research, 16</w:t>
      </w:r>
      <w:r w:rsidRPr="006C57ED">
        <w:t xml:space="preserve">(3), 485-520. </w:t>
      </w:r>
      <w:bookmarkEnd w:id="28"/>
    </w:p>
    <w:p w14:paraId="005F8976" w14:textId="77777777" w:rsidR="006C57ED" w:rsidRPr="006C57ED" w:rsidRDefault="006C57ED" w:rsidP="006C57ED">
      <w:pPr>
        <w:pStyle w:val="EndNoteBibliography"/>
        <w:ind w:left="720" w:hanging="720"/>
      </w:pPr>
      <w:bookmarkStart w:id="29" w:name="_ENREF_29"/>
      <w:r w:rsidRPr="006C57ED">
        <w:t xml:space="preserve">Healy, P. M., &amp; Palepu, K. G. (2001). Information asymmetry, corporate disclosure, and the capital markets: A review of the empirical disclosure literature. </w:t>
      </w:r>
      <w:r w:rsidRPr="006C57ED">
        <w:rPr>
          <w:i/>
        </w:rPr>
        <w:t>Journal of Accounting &amp; Economics, 31</w:t>
      </w:r>
      <w:r w:rsidRPr="006C57ED">
        <w:t xml:space="preserve">(1-3), 405-440. </w:t>
      </w:r>
      <w:bookmarkEnd w:id="29"/>
    </w:p>
    <w:p w14:paraId="0928282E" w14:textId="77777777" w:rsidR="006C57ED" w:rsidRPr="006C57ED" w:rsidRDefault="006C57ED" w:rsidP="006C57ED">
      <w:pPr>
        <w:pStyle w:val="EndNoteBibliography"/>
        <w:ind w:left="720" w:hanging="720"/>
      </w:pPr>
      <w:bookmarkStart w:id="30" w:name="_ENREF_30"/>
      <w:r w:rsidRPr="006C57ED">
        <w:t xml:space="preserve">Hribar, P., &amp; Yang, H. (2016). CEO Overconfidence and Management Forecasting. </w:t>
      </w:r>
      <w:r w:rsidRPr="006C57ED">
        <w:rPr>
          <w:i/>
        </w:rPr>
        <w:t>Contemporary Accounting Research, 33</w:t>
      </w:r>
      <w:r w:rsidRPr="006C57ED">
        <w:t>(1), 204-227. doi:10.1111/1911-3846.12144</w:t>
      </w:r>
      <w:bookmarkEnd w:id="30"/>
    </w:p>
    <w:p w14:paraId="3C159092" w14:textId="77777777" w:rsidR="006C57ED" w:rsidRPr="006C57ED" w:rsidRDefault="006C57ED" w:rsidP="006C57ED">
      <w:pPr>
        <w:pStyle w:val="EndNoteBibliography"/>
        <w:ind w:left="720" w:hanging="720"/>
      </w:pPr>
      <w:bookmarkStart w:id="31" w:name="_ENREF_31"/>
      <w:r w:rsidRPr="006C57ED">
        <w:t xml:space="preserve">Huang, P., &amp; Zhang, Y. (2012). Does enhanced disclosure really reduce agency costs? Evidence from the diversion of corporate resources. </w:t>
      </w:r>
      <w:r w:rsidRPr="006C57ED">
        <w:rPr>
          <w:i/>
        </w:rPr>
        <w:t>Accounting Review, 87</w:t>
      </w:r>
      <w:r w:rsidRPr="006C57ED">
        <w:t>(1), 199-229. doi:10.2308/accr-10160</w:t>
      </w:r>
      <w:bookmarkEnd w:id="31"/>
    </w:p>
    <w:p w14:paraId="2621F15C" w14:textId="77777777" w:rsidR="006C57ED" w:rsidRPr="006C57ED" w:rsidRDefault="006C57ED" w:rsidP="006C57ED">
      <w:pPr>
        <w:pStyle w:val="EndNoteBibliography"/>
        <w:ind w:left="720" w:hanging="720"/>
      </w:pPr>
      <w:bookmarkStart w:id="32" w:name="_ENREF_32"/>
      <w:r w:rsidRPr="006C57ED">
        <w:t xml:space="preserve">Jensen, M. C. (1986). Agency costs of free cash flow, corporate finance, and takeovers. </w:t>
      </w:r>
      <w:r w:rsidRPr="006C57ED">
        <w:rPr>
          <w:i/>
        </w:rPr>
        <w:t>American Economic Review, 76</w:t>
      </w:r>
      <w:r w:rsidRPr="006C57ED">
        <w:t xml:space="preserve">(2), 323-329. </w:t>
      </w:r>
      <w:bookmarkEnd w:id="32"/>
    </w:p>
    <w:p w14:paraId="4A4F0491" w14:textId="77777777" w:rsidR="006C57ED" w:rsidRPr="006C57ED" w:rsidRDefault="006C57ED" w:rsidP="006C57ED">
      <w:pPr>
        <w:pStyle w:val="EndNoteBibliography"/>
        <w:ind w:left="720" w:hanging="720"/>
      </w:pPr>
      <w:bookmarkStart w:id="33" w:name="_ENREF_33"/>
      <w:r w:rsidRPr="006C57ED">
        <w:t xml:space="preserve">Jiang, G. J., &amp; Zhu, K. X. (2017). Information Shocks and Short-Term Market Underreaction. </w:t>
      </w:r>
      <w:r w:rsidRPr="006C57ED">
        <w:rPr>
          <w:i/>
        </w:rPr>
        <w:t>Journal of Financial Economics, 124</w:t>
      </w:r>
      <w:r w:rsidRPr="006C57ED">
        <w:t>(1), 43-64. doi:10.1016/j.jfineco.2016.06.006</w:t>
      </w:r>
      <w:bookmarkEnd w:id="33"/>
    </w:p>
    <w:p w14:paraId="40FA34E5" w14:textId="77777777" w:rsidR="006C57ED" w:rsidRPr="006C57ED" w:rsidRDefault="006C57ED" w:rsidP="006C57ED">
      <w:pPr>
        <w:pStyle w:val="EndNoteBibliography"/>
        <w:ind w:left="720" w:hanging="720"/>
      </w:pPr>
      <w:bookmarkStart w:id="34" w:name="_ENREF_34"/>
      <w:r w:rsidRPr="006C57ED">
        <w:t xml:space="preserve">Jones, E., Danbolt, J., &amp; Hirst, I. (2004). Company investment announcements and the market value of the firm. </w:t>
      </w:r>
      <w:r w:rsidRPr="006C57ED">
        <w:rPr>
          <w:i/>
        </w:rPr>
        <w:t>European Journal of Finance, 10</w:t>
      </w:r>
      <w:r w:rsidRPr="006C57ED">
        <w:t xml:space="preserve">(5), 437-452. </w:t>
      </w:r>
      <w:bookmarkEnd w:id="34"/>
    </w:p>
    <w:p w14:paraId="124A047C" w14:textId="77777777" w:rsidR="006C57ED" w:rsidRPr="006C57ED" w:rsidRDefault="006C57ED" w:rsidP="006C57ED">
      <w:pPr>
        <w:pStyle w:val="EndNoteBibliography"/>
        <w:ind w:left="720" w:hanging="720"/>
      </w:pPr>
      <w:bookmarkStart w:id="35" w:name="_ENREF_35"/>
      <w:r w:rsidRPr="006C57ED">
        <w:t xml:space="preserve">Kent, P., &amp; Ung, K. (2003). Voluntary disclosure of forward-looking earnings information in Australia. </w:t>
      </w:r>
      <w:r w:rsidRPr="006C57ED">
        <w:rPr>
          <w:i/>
        </w:rPr>
        <w:t>Australian Journal of Management (University of New South Wales), 28</w:t>
      </w:r>
      <w:r w:rsidRPr="006C57ED">
        <w:t xml:space="preserve">(3), 273-285. </w:t>
      </w:r>
      <w:bookmarkEnd w:id="35"/>
    </w:p>
    <w:p w14:paraId="408CF6B1" w14:textId="77777777" w:rsidR="006C57ED" w:rsidRPr="006C57ED" w:rsidRDefault="006C57ED" w:rsidP="006C57ED">
      <w:pPr>
        <w:pStyle w:val="EndNoteBibliography"/>
        <w:ind w:left="720" w:hanging="720"/>
      </w:pPr>
      <w:bookmarkStart w:id="36" w:name="_ENREF_36"/>
      <w:r w:rsidRPr="006C57ED">
        <w:t xml:space="preserve">Kim, O., &amp; Verrecchia, R. E. (1991). Trading volume and price reactions to public announcements. </w:t>
      </w:r>
      <w:r w:rsidRPr="006C57ED">
        <w:rPr>
          <w:i/>
        </w:rPr>
        <w:t>Journal of Accounting Research, 29</w:t>
      </w:r>
      <w:r w:rsidRPr="006C57ED">
        <w:t xml:space="preserve">(2), 302-321. </w:t>
      </w:r>
      <w:bookmarkEnd w:id="36"/>
    </w:p>
    <w:p w14:paraId="1B21DA4C" w14:textId="77777777" w:rsidR="006C57ED" w:rsidRPr="006C57ED" w:rsidRDefault="006C57ED" w:rsidP="006C57ED">
      <w:pPr>
        <w:pStyle w:val="EndNoteBibliography"/>
        <w:ind w:left="720" w:hanging="720"/>
      </w:pPr>
      <w:bookmarkStart w:id="37" w:name="_ENREF_37"/>
      <w:r w:rsidRPr="006C57ED">
        <w:t xml:space="preserve">Lang, L. H. P., Stulz, R. M., &amp; Walkling, R. A. (1989). Managerial performance, Tobin's q, and the gains from successful tender offers. </w:t>
      </w:r>
      <w:r w:rsidRPr="006C57ED">
        <w:rPr>
          <w:i/>
        </w:rPr>
        <w:t>Journal of Financial Economics, 24</w:t>
      </w:r>
      <w:r w:rsidRPr="006C57ED">
        <w:t xml:space="preserve">(1), 137-154. </w:t>
      </w:r>
      <w:bookmarkEnd w:id="37"/>
    </w:p>
    <w:p w14:paraId="01066BFF" w14:textId="77777777" w:rsidR="006C57ED" w:rsidRPr="006C57ED" w:rsidRDefault="006C57ED" w:rsidP="006C57ED">
      <w:pPr>
        <w:pStyle w:val="EndNoteBibliography"/>
        <w:ind w:left="720" w:hanging="720"/>
      </w:pPr>
      <w:bookmarkStart w:id="38" w:name="_ENREF_38"/>
      <w:r w:rsidRPr="006C57ED">
        <w:t xml:space="preserve">Leuz, C., &amp; Verrecchia, R. E. (2000). The economic consequences of increased disclosure. </w:t>
      </w:r>
      <w:r w:rsidRPr="006C57ED">
        <w:rPr>
          <w:i/>
        </w:rPr>
        <w:t>Journal of Accounting Research, 38</w:t>
      </w:r>
      <w:r w:rsidRPr="006C57ED">
        <w:t xml:space="preserve">(SUPPL.), 91-124. </w:t>
      </w:r>
      <w:bookmarkEnd w:id="38"/>
    </w:p>
    <w:p w14:paraId="67E3703B" w14:textId="77777777" w:rsidR="006C57ED" w:rsidRPr="006C57ED" w:rsidRDefault="006C57ED" w:rsidP="006C57ED">
      <w:pPr>
        <w:pStyle w:val="EndNoteBibliography"/>
        <w:ind w:left="720" w:hanging="720"/>
      </w:pPr>
      <w:bookmarkStart w:id="39" w:name="_ENREF_39"/>
      <w:r w:rsidRPr="006C57ED">
        <w:t xml:space="preserve">Luo, J. (2016). </w:t>
      </w:r>
      <w:r w:rsidRPr="006C57ED">
        <w:rPr>
          <w:i/>
        </w:rPr>
        <w:t>The stock price reaction to investment news: New evidence from modeling optimal capex and capex guidance.</w:t>
      </w:r>
      <w:r w:rsidRPr="006C57ED">
        <w:t xml:space="preserve"> Working Paper, New York University.</w:t>
      </w:r>
      <w:bookmarkEnd w:id="39"/>
    </w:p>
    <w:p w14:paraId="3AA8F0BE" w14:textId="77777777" w:rsidR="006C57ED" w:rsidRPr="006C57ED" w:rsidRDefault="006C57ED" w:rsidP="006C57ED">
      <w:pPr>
        <w:pStyle w:val="EndNoteBibliography"/>
        <w:ind w:left="720" w:hanging="720"/>
      </w:pPr>
      <w:bookmarkStart w:id="40" w:name="_ENREF_40"/>
      <w:r w:rsidRPr="006C57ED">
        <w:t xml:space="preserve">Miller, M. H., &amp; Modigliani, F. (1961). Dividend policy, growth, and the valuation of shares. </w:t>
      </w:r>
      <w:r w:rsidRPr="006C57ED">
        <w:rPr>
          <w:i/>
        </w:rPr>
        <w:t>Journal of Business, 34</w:t>
      </w:r>
      <w:r w:rsidRPr="006C57ED">
        <w:t xml:space="preserve">(4), 411-433. </w:t>
      </w:r>
      <w:bookmarkEnd w:id="40"/>
    </w:p>
    <w:p w14:paraId="094E094B" w14:textId="77777777" w:rsidR="006C57ED" w:rsidRPr="006C57ED" w:rsidRDefault="006C57ED" w:rsidP="006C57ED">
      <w:pPr>
        <w:pStyle w:val="EndNoteBibliography"/>
        <w:ind w:left="720" w:hanging="720"/>
      </w:pPr>
      <w:bookmarkStart w:id="41" w:name="_ENREF_41"/>
      <w:r w:rsidRPr="006C57ED">
        <w:t xml:space="preserve">Mohamed, A., &amp; Schwienbacher, A. (2016). Voluntary disclosure of corporate venture capital investments. </w:t>
      </w:r>
      <w:r w:rsidRPr="006C57ED">
        <w:rPr>
          <w:i/>
        </w:rPr>
        <w:t>Journal of Banking &amp; Finance, 68</w:t>
      </w:r>
      <w:r w:rsidRPr="006C57ED">
        <w:t>, 69-83. doi:10.1016/j.jbankfin.2016.03.001</w:t>
      </w:r>
      <w:bookmarkEnd w:id="41"/>
    </w:p>
    <w:p w14:paraId="240E38BE" w14:textId="77777777" w:rsidR="006C57ED" w:rsidRPr="006C57ED" w:rsidRDefault="006C57ED" w:rsidP="006C57ED">
      <w:pPr>
        <w:pStyle w:val="EndNoteBibliography"/>
        <w:ind w:left="720" w:hanging="720"/>
      </w:pPr>
      <w:bookmarkStart w:id="42" w:name="_ENREF_42"/>
      <w:r w:rsidRPr="006C57ED">
        <w:t xml:space="preserve">Ng, J., Tuna, I., &amp; Verdi, R. (2013). Management forecast credibility and underreaction to news. </w:t>
      </w:r>
      <w:r w:rsidRPr="006C57ED">
        <w:rPr>
          <w:i/>
        </w:rPr>
        <w:t>Review of Accounting Studies, 18</w:t>
      </w:r>
      <w:r w:rsidRPr="006C57ED">
        <w:t>(4), 956-986. doi:10.1007/s11142-012-9217-4</w:t>
      </w:r>
      <w:bookmarkEnd w:id="42"/>
    </w:p>
    <w:p w14:paraId="0B311C59" w14:textId="43564543" w:rsidR="006C57ED" w:rsidRPr="006C57ED" w:rsidRDefault="006C57ED" w:rsidP="006C57ED">
      <w:pPr>
        <w:pStyle w:val="EndNoteBibliography"/>
        <w:ind w:left="720" w:hanging="720"/>
      </w:pPr>
      <w:bookmarkStart w:id="43" w:name="_ENREF_43"/>
      <w:r w:rsidRPr="006C57ED">
        <w:t xml:space="preserve">Powell, R. G., Moltchanski, K., &amp; Nagm, F. (2012). </w:t>
      </w:r>
      <w:r w:rsidRPr="006C57ED">
        <w:rPr>
          <w:i/>
        </w:rPr>
        <w:t>Are Managers  Perceptions that Investors are Myopic Justified? - A Comparison of the Market's Assessment of the Returns to Expenditures on R&amp;D, IT and CAPEX</w:t>
      </w:r>
      <w:r w:rsidRPr="006C57ED">
        <w:t xml:space="preserve"> FEN Working Paper, Available at SSRN:  </w:t>
      </w:r>
      <w:hyperlink r:id="rId13" w:history="1">
        <w:r w:rsidRPr="006C57ED">
          <w:rPr>
            <w:rStyle w:val="Hyperlink"/>
          </w:rPr>
          <w:t>http://ssrn.com/paper=2020127</w:t>
        </w:r>
      </w:hyperlink>
      <w:r w:rsidRPr="006C57ED">
        <w:t xml:space="preserve"> </w:t>
      </w:r>
      <w:bookmarkEnd w:id="43"/>
    </w:p>
    <w:p w14:paraId="4109AE2C" w14:textId="77777777" w:rsidR="006C57ED" w:rsidRPr="006C57ED" w:rsidRDefault="006C57ED" w:rsidP="006C57ED">
      <w:pPr>
        <w:pStyle w:val="EndNoteBibliography"/>
        <w:ind w:left="720" w:hanging="720"/>
      </w:pPr>
      <w:bookmarkStart w:id="44" w:name="_ENREF_44"/>
      <w:r w:rsidRPr="006C57ED">
        <w:t xml:space="preserve">Rogers, J. L., &amp; Stocken, P. C. (2005). Credibility of management forecasts. </w:t>
      </w:r>
      <w:r w:rsidRPr="006C57ED">
        <w:rPr>
          <w:i/>
        </w:rPr>
        <w:t>Accounting Review, 80</w:t>
      </w:r>
      <w:r w:rsidRPr="006C57ED">
        <w:t xml:space="preserve">(4), 1233-1260. </w:t>
      </w:r>
      <w:bookmarkEnd w:id="44"/>
    </w:p>
    <w:p w14:paraId="18550843" w14:textId="77777777" w:rsidR="006C57ED" w:rsidRPr="006C57ED" w:rsidRDefault="006C57ED" w:rsidP="006C57ED">
      <w:pPr>
        <w:pStyle w:val="EndNoteBibliography"/>
        <w:ind w:left="720" w:hanging="720"/>
      </w:pPr>
      <w:bookmarkStart w:id="45" w:name="_ENREF_45"/>
      <w:r w:rsidRPr="006C57ED">
        <w:lastRenderedPageBreak/>
        <w:t xml:space="preserve">Titman, S., Wei, K. C. J., &amp; Xie, F. (2004). Capital investments and stock returns. </w:t>
      </w:r>
      <w:r w:rsidRPr="006C57ED">
        <w:rPr>
          <w:i/>
        </w:rPr>
        <w:t>Journal of Financial and Quantitative Analysis, 39</w:t>
      </w:r>
      <w:r w:rsidRPr="006C57ED">
        <w:t xml:space="preserve">(4), 677-700. </w:t>
      </w:r>
      <w:bookmarkEnd w:id="45"/>
    </w:p>
    <w:p w14:paraId="2E419C6A" w14:textId="77777777" w:rsidR="006C57ED" w:rsidRPr="006C57ED" w:rsidRDefault="006C57ED" w:rsidP="006C57ED">
      <w:pPr>
        <w:pStyle w:val="EndNoteBibliography"/>
        <w:ind w:left="720" w:hanging="720"/>
      </w:pPr>
      <w:bookmarkStart w:id="46" w:name="_ENREF_46"/>
      <w:r w:rsidRPr="006C57ED">
        <w:t xml:space="preserve">Verrecchia, R. E. (2001). Essays on disclosure. </w:t>
      </w:r>
      <w:r w:rsidRPr="006C57ED">
        <w:rPr>
          <w:i/>
        </w:rPr>
        <w:t>Journal of Accounting &amp; Economics, 32</w:t>
      </w:r>
      <w:r w:rsidRPr="006C57ED">
        <w:t xml:space="preserve">(1-3), 97-180. </w:t>
      </w:r>
      <w:bookmarkEnd w:id="46"/>
    </w:p>
    <w:p w14:paraId="5EFA1754" w14:textId="77777777" w:rsidR="006C57ED" w:rsidRPr="006C57ED" w:rsidRDefault="006C57ED" w:rsidP="006C57ED">
      <w:pPr>
        <w:pStyle w:val="EndNoteBibliography"/>
        <w:ind w:left="720" w:hanging="720"/>
      </w:pPr>
      <w:bookmarkStart w:id="47" w:name="_ENREF_47"/>
      <w:r w:rsidRPr="006C57ED">
        <w:t xml:space="preserve">Waymire, G. (1985). Earnings volatility and voluntary management forecast disclosure. </w:t>
      </w:r>
      <w:r w:rsidRPr="006C57ED">
        <w:rPr>
          <w:i/>
        </w:rPr>
        <w:t>Journal of Accounting Research, 23</w:t>
      </w:r>
      <w:r w:rsidRPr="006C57ED">
        <w:t>(1), 268-295. doi:10.2307/2490919</w:t>
      </w:r>
      <w:bookmarkEnd w:id="47"/>
    </w:p>
    <w:p w14:paraId="218E972C" w14:textId="77777777" w:rsidR="006C57ED" w:rsidRPr="006C57ED" w:rsidRDefault="006C57ED" w:rsidP="006C57ED">
      <w:pPr>
        <w:pStyle w:val="EndNoteBibliography"/>
        <w:ind w:left="720" w:hanging="720"/>
      </w:pPr>
      <w:bookmarkStart w:id="48" w:name="_ENREF_48"/>
      <w:r w:rsidRPr="006C57ED">
        <w:t xml:space="preserve">Wirth, C., Chi, J., &amp; Young, M. (2013). The economic impact of capital expenditures: Environmental regulatory delay as a source of competitive advantage? </w:t>
      </w:r>
      <w:r w:rsidRPr="006C57ED">
        <w:rPr>
          <w:i/>
        </w:rPr>
        <w:t>Journal of Business Finance &amp; Accounting, 40</w:t>
      </w:r>
      <w:r w:rsidRPr="006C57ED">
        <w:t>(1-2), 115-141. doi:10.1111/jbfa.12009</w:t>
      </w:r>
      <w:bookmarkEnd w:id="48"/>
    </w:p>
    <w:p w14:paraId="19AEC0A2" w14:textId="77777777" w:rsidR="006C57ED" w:rsidRPr="006C57ED" w:rsidRDefault="006C57ED" w:rsidP="006C57ED">
      <w:pPr>
        <w:pStyle w:val="EndNoteBibliography"/>
        <w:ind w:left="720" w:hanging="720"/>
      </w:pPr>
      <w:bookmarkStart w:id="49" w:name="_ENREF_49"/>
      <w:r w:rsidRPr="006C57ED">
        <w:t xml:space="preserve">Zhang, X. F. (2006). Information uncertainty and stock returns. </w:t>
      </w:r>
      <w:r w:rsidRPr="006C57ED">
        <w:rPr>
          <w:i/>
        </w:rPr>
        <w:t>Journal of Finance, 61</w:t>
      </w:r>
      <w:r w:rsidRPr="006C57ED">
        <w:t xml:space="preserve">(1), 105-136. </w:t>
      </w:r>
      <w:bookmarkEnd w:id="49"/>
    </w:p>
    <w:p w14:paraId="2CF76EF4" w14:textId="764A410F" w:rsidR="000E6AFD" w:rsidRPr="00C35785" w:rsidRDefault="00D66BF6" w:rsidP="00CF4E8D">
      <w:pPr>
        <w:pStyle w:val="EndNoteBibliography"/>
        <w:ind w:left="720" w:hanging="720"/>
        <w:rPr>
          <w:highlight w:val="yellow"/>
        </w:rPr>
      </w:pPr>
      <w:r w:rsidRPr="00C35785">
        <w:rPr>
          <w:highlight w:val="yellow"/>
        </w:rPr>
        <w:fldChar w:fldCharType="end"/>
      </w:r>
    </w:p>
    <w:p w14:paraId="2B55952D" w14:textId="77777777" w:rsidR="000E6AFD" w:rsidRPr="00C35785" w:rsidRDefault="000E6AFD" w:rsidP="000E6AFD">
      <w:pPr>
        <w:rPr>
          <w:highlight w:val="yellow"/>
        </w:rPr>
        <w:sectPr w:rsidR="000E6AFD" w:rsidRPr="00C35785">
          <w:footerReference w:type="default" r:id="rId14"/>
          <w:footerReference w:type="first" r:id="rId15"/>
          <w:pgSz w:w="11906" w:h="16838"/>
          <w:pgMar w:top="1440" w:right="1440" w:bottom="1440" w:left="1440" w:header="708" w:footer="708" w:gutter="0"/>
          <w:cols w:space="708"/>
          <w:docGrid w:linePitch="360"/>
        </w:sectPr>
      </w:pPr>
    </w:p>
    <w:p w14:paraId="0E610253" w14:textId="74CDCC24" w:rsidR="00067101" w:rsidRDefault="00067101">
      <w:pPr>
        <w:rPr>
          <w:b/>
        </w:rPr>
      </w:pPr>
      <w:r>
        <w:rPr>
          <w:b/>
        </w:rPr>
        <w:lastRenderedPageBreak/>
        <w:t>Figure 1 Cumulative abnormal returns around project announcements</w:t>
      </w:r>
    </w:p>
    <w:p w14:paraId="499AC82C" w14:textId="77777777" w:rsidR="00067101" w:rsidRDefault="00067101">
      <w:pPr>
        <w:rPr>
          <w:b/>
        </w:rPr>
      </w:pPr>
    </w:p>
    <w:p w14:paraId="57EAB5F5" w14:textId="77777777" w:rsidR="00B0403F" w:rsidRDefault="00B0403F">
      <w:pPr>
        <w:rPr>
          <w:b/>
        </w:rPr>
      </w:pPr>
      <w:r>
        <w:rPr>
          <w:noProof/>
          <w:lang w:eastAsia="en-NZ"/>
        </w:rPr>
        <w:drawing>
          <wp:inline distT="0" distB="0" distL="0" distR="0" wp14:anchorId="29AE8DFD" wp14:editId="6B00CC8B">
            <wp:extent cx="5476973" cy="3478491"/>
            <wp:effectExtent l="0" t="0" r="9525" b="825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0C36027" w14:textId="77777777" w:rsidR="00B0403F" w:rsidRDefault="00B0403F">
      <w:pPr>
        <w:rPr>
          <w:b/>
        </w:rPr>
      </w:pPr>
    </w:p>
    <w:p w14:paraId="370FCE4A" w14:textId="77777777" w:rsidR="00B0403F" w:rsidRDefault="00B0403F" w:rsidP="00B0403F">
      <w:pPr>
        <w:jc w:val="both"/>
        <w:rPr>
          <w:highlight w:val="green"/>
        </w:rPr>
      </w:pPr>
    </w:p>
    <w:p w14:paraId="6F0BFB61" w14:textId="77777777" w:rsidR="00B0403F" w:rsidRDefault="00B0403F" w:rsidP="00B0403F">
      <w:pPr>
        <w:jc w:val="both"/>
        <w:rPr>
          <w:highlight w:val="green"/>
        </w:rPr>
      </w:pPr>
    </w:p>
    <w:p w14:paraId="086E77E8" w14:textId="5339F045" w:rsidR="006A10FC" w:rsidRDefault="006A10FC">
      <w:pPr>
        <w:rPr>
          <w:b/>
        </w:rPr>
      </w:pPr>
      <w:r>
        <w:rPr>
          <w:b/>
        </w:rPr>
        <w:br w:type="page"/>
      </w:r>
    </w:p>
    <w:p w14:paraId="42A19830" w14:textId="4CED569F" w:rsidR="00831F17" w:rsidRDefault="00067101" w:rsidP="00831F17">
      <w:pPr>
        <w:rPr>
          <w:b/>
        </w:rPr>
      </w:pPr>
      <w:r>
        <w:rPr>
          <w:b/>
        </w:rPr>
        <w:lastRenderedPageBreak/>
        <w:t>Figure 2  Bid-ask spread around project announcements</w:t>
      </w:r>
      <w:r w:rsidR="00831F17">
        <w:rPr>
          <w:b/>
        </w:rPr>
        <w:t xml:space="preserve"> by positive and negative </w:t>
      </w:r>
      <w:r w:rsidR="00831F17" w:rsidRPr="006A77ED">
        <w:rPr>
          <w:b/>
          <w:i/>
        </w:rPr>
        <w:t>CAR</w:t>
      </w:r>
    </w:p>
    <w:p w14:paraId="4C58338B" w14:textId="77777777" w:rsidR="00831F17" w:rsidRDefault="00831F17" w:rsidP="00831F17">
      <w:pPr>
        <w:rPr>
          <w:b/>
        </w:rPr>
      </w:pPr>
    </w:p>
    <w:p w14:paraId="75F87C68" w14:textId="03E1592F" w:rsidR="00067101" w:rsidRDefault="00FA255B">
      <w:pPr>
        <w:rPr>
          <w:b/>
        </w:rPr>
      </w:pPr>
      <w:r>
        <w:rPr>
          <w:noProof/>
          <w:lang w:eastAsia="en-NZ"/>
        </w:rPr>
        <w:drawing>
          <wp:inline distT="0" distB="0" distL="0" distR="0" wp14:anchorId="04CC6636" wp14:editId="370D3A24">
            <wp:extent cx="5731510" cy="3385185"/>
            <wp:effectExtent l="0" t="0" r="2540" b="57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84C3746" w14:textId="77777777" w:rsidR="00067101" w:rsidRDefault="00067101">
      <w:pPr>
        <w:rPr>
          <w:b/>
        </w:rPr>
      </w:pPr>
    </w:p>
    <w:p w14:paraId="3A7EA8F2" w14:textId="253B3D0B" w:rsidR="00067101" w:rsidRDefault="00FA255B">
      <w:pPr>
        <w:rPr>
          <w:b/>
        </w:rPr>
      </w:pPr>
      <w:r w:rsidRPr="00E11C5C">
        <w:t>This figure displays information asymmetry (average bid-ask spread %) around project announcements</w:t>
      </w:r>
      <w:r>
        <w:t xml:space="preserve"> for the full, positive </w:t>
      </w:r>
      <w:r w:rsidRPr="006A77ED">
        <w:rPr>
          <w:i/>
        </w:rPr>
        <w:t xml:space="preserve">CAR </w:t>
      </w:r>
      <w:r>
        <w:t xml:space="preserve">and negative </w:t>
      </w:r>
      <w:r w:rsidRPr="006A77ED">
        <w:rPr>
          <w:i/>
        </w:rPr>
        <w:t>CAR</w:t>
      </w:r>
      <w:r>
        <w:t xml:space="preserve"> samples.</w:t>
      </w:r>
    </w:p>
    <w:p w14:paraId="60A1EAE9" w14:textId="77777777" w:rsidR="00067101" w:rsidRDefault="00067101">
      <w:pPr>
        <w:rPr>
          <w:b/>
        </w:rPr>
      </w:pPr>
    </w:p>
    <w:p w14:paraId="3C824E08" w14:textId="5B55983C" w:rsidR="00831F17" w:rsidRPr="007801A8" w:rsidRDefault="00067101">
      <w:r w:rsidRPr="007801A8">
        <w:br w:type="page"/>
      </w:r>
    </w:p>
    <w:p w14:paraId="4C03E5B4" w14:textId="5D7D401B" w:rsidR="006A10FC" w:rsidRDefault="006A10FC" w:rsidP="006A10FC">
      <w:pPr>
        <w:rPr>
          <w:b/>
        </w:rPr>
      </w:pPr>
      <w:r>
        <w:rPr>
          <w:b/>
        </w:rPr>
        <w:lastRenderedPageBreak/>
        <w:t xml:space="preserve">Figure 3  Bid-ask spread around project announcements by </w:t>
      </w:r>
      <w:r w:rsidR="00FA18A6">
        <w:rPr>
          <w:b/>
        </w:rPr>
        <w:t>transparency</w:t>
      </w:r>
      <w:r>
        <w:rPr>
          <w:b/>
        </w:rPr>
        <w:t xml:space="preserve"> level – positive </w:t>
      </w:r>
      <w:r w:rsidRPr="006A77ED">
        <w:rPr>
          <w:b/>
          <w:i/>
        </w:rPr>
        <w:t xml:space="preserve">CAR </w:t>
      </w:r>
      <w:r w:rsidR="00F81807">
        <w:rPr>
          <w:b/>
        </w:rPr>
        <w:t>subsample</w:t>
      </w:r>
    </w:p>
    <w:p w14:paraId="4C9011B7" w14:textId="210838E5" w:rsidR="006A10FC" w:rsidRDefault="00FA18A6" w:rsidP="006A10FC">
      <w:pPr>
        <w:rPr>
          <w:b/>
        </w:rPr>
      </w:pPr>
      <w:r w:rsidRPr="00FA18A6">
        <w:rPr>
          <w:noProof/>
          <w:lang w:eastAsia="en-NZ"/>
        </w:rPr>
        <w:t xml:space="preserve"> </w:t>
      </w:r>
      <w:r>
        <w:rPr>
          <w:noProof/>
          <w:lang w:eastAsia="en-NZ"/>
        </w:rPr>
        <w:drawing>
          <wp:inline distT="0" distB="0" distL="0" distR="0" wp14:anchorId="5DB9311C" wp14:editId="64AE257C">
            <wp:extent cx="5731510" cy="3385185"/>
            <wp:effectExtent l="0" t="0" r="2540" b="571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E0485D4" w14:textId="77777777" w:rsidR="006A10FC" w:rsidRDefault="006A10FC" w:rsidP="006A10FC">
      <w:pPr>
        <w:rPr>
          <w:b/>
        </w:rPr>
      </w:pPr>
    </w:p>
    <w:p w14:paraId="1E8EE285" w14:textId="32A88E37" w:rsidR="006A10FC" w:rsidRDefault="006A10FC" w:rsidP="006A10FC">
      <w:r w:rsidRPr="00E11C5C">
        <w:t xml:space="preserve">This figure displays information asymmetry (average bid-ask spread %) around </w:t>
      </w:r>
      <w:r>
        <w:t>positive</w:t>
      </w:r>
      <w:r w:rsidRPr="00E11C5C">
        <w:t xml:space="preserve"> </w:t>
      </w:r>
      <w:r w:rsidRPr="006A77ED">
        <w:rPr>
          <w:i/>
        </w:rPr>
        <w:t>CAR</w:t>
      </w:r>
      <w:r w:rsidRPr="00E11C5C">
        <w:t xml:space="preserve"> project announcements</w:t>
      </w:r>
      <w:r>
        <w:t xml:space="preserve"> for all, high and low </w:t>
      </w:r>
      <w:r w:rsidR="00744320">
        <w:t>transparency</w:t>
      </w:r>
      <w:r>
        <w:t xml:space="preserve"> levels. </w:t>
      </w:r>
      <w:r w:rsidRPr="00E11C5C">
        <w:t xml:space="preserve">  </w:t>
      </w:r>
    </w:p>
    <w:p w14:paraId="0171ED47" w14:textId="1C785AFD" w:rsidR="007B0C56" w:rsidRDefault="007B0C56" w:rsidP="006A10FC"/>
    <w:p w14:paraId="17F13BAB" w14:textId="5AA6B8C7" w:rsidR="007B0C56" w:rsidRDefault="007B0C56" w:rsidP="007B0C56">
      <w:pPr>
        <w:rPr>
          <w:b/>
        </w:rPr>
      </w:pPr>
      <w:r>
        <w:rPr>
          <w:b/>
        </w:rPr>
        <w:br w:type="page"/>
      </w:r>
    </w:p>
    <w:p w14:paraId="23945885" w14:textId="77777777" w:rsidR="007B0C56" w:rsidRDefault="007B0C56">
      <w:pPr>
        <w:rPr>
          <w:b/>
        </w:rPr>
      </w:pPr>
    </w:p>
    <w:p w14:paraId="01FFA5DD" w14:textId="29112832" w:rsidR="00831F17" w:rsidRDefault="00831F17" w:rsidP="00831F17">
      <w:pPr>
        <w:rPr>
          <w:b/>
        </w:rPr>
      </w:pPr>
      <w:r>
        <w:rPr>
          <w:b/>
        </w:rPr>
        <w:t xml:space="preserve">Figure </w:t>
      </w:r>
      <w:r w:rsidR="006A10FC">
        <w:rPr>
          <w:b/>
        </w:rPr>
        <w:t>4</w:t>
      </w:r>
      <w:r>
        <w:rPr>
          <w:b/>
        </w:rPr>
        <w:t xml:space="preserve"> </w:t>
      </w:r>
      <w:r w:rsidR="006A10FC">
        <w:rPr>
          <w:b/>
        </w:rPr>
        <w:t xml:space="preserve"> </w:t>
      </w:r>
      <w:r>
        <w:rPr>
          <w:b/>
        </w:rPr>
        <w:t xml:space="preserve">Bid-ask spread around project announcements by </w:t>
      </w:r>
      <w:r w:rsidR="002A64B7">
        <w:rPr>
          <w:b/>
        </w:rPr>
        <w:t>transparency</w:t>
      </w:r>
      <w:r>
        <w:rPr>
          <w:b/>
        </w:rPr>
        <w:t xml:space="preserve"> level – negative </w:t>
      </w:r>
      <w:r w:rsidRPr="006A77ED">
        <w:rPr>
          <w:b/>
          <w:i/>
        </w:rPr>
        <w:t>CAR</w:t>
      </w:r>
      <w:r>
        <w:rPr>
          <w:b/>
        </w:rPr>
        <w:t xml:space="preserve"> </w:t>
      </w:r>
      <w:r w:rsidR="00F81807">
        <w:rPr>
          <w:b/>
        </w:rPr>
        <w:t>subsample</w:t>
      </w:r>
    </w:p>
    <w:p w14:paraId="608CCD09" w14:textId="522B02A6" w:rsidR="00831F17" w:rsidRDefault="00FA18A6" w:rsidP="00831F17">
      <w:pPr>
        <w:rPr>
          <w:b/>
        </w:rPr>
      </w:pPr>
      <w:r w:rsidRPr="00FA18A6">
        <w:rPr>
          <w:noProof/>
          <w:lang w:eastAsia="en-NZ"/>
        </w:rPr>
        <w:t xml:space="preserve"> </w:t>
      </w:r>
      <w:r>
        <w:rPr>
          <w:noProof/>
          <w:lang w:eastAsia="en-NZ"/>
        </w:rPr>
        <w:drawing>
          <wp:inline distT="0" distB="0" distL="0" distR="0" wp14:anchorId="317A7498" wp14:editId="18A5E54E">
            <wp:extent cx="5731510" cy="3573145"/>
            <wp:effectExtent l="0" t="0" r="2540" b="825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5390D89" w14:textId="4C0577CF" w:rsidR="00831F17" w:rsidRDefault="00831F17">
      <w:pPr>
        <w:rPr>
          <w:b/>
        </w:rPr>
      </w:pPr>
    </w:p>
    <w:p w14:paraId="23CD2BEB" w14:textId="70478396" w:rsidR="00831F17" w:rsidRPr="007801A8" w:rsidRDefault="00831F17">
      <w:r w:rsidRPr="007801A8">
        <w:t>This</w:t>
      </w:r>
      <w:r w:rsidR="00502308" w:rsidRPr="007801A8">
        <w:t xml:space="preserve"> figure displays information asymmetry (average bid-ask spread %) around negative </w:t>
      </w:r>
      <w:r w:rsidR="00502308" w:rsidRPr="006A77ED">
        <w:rPr>
          <w:i/>
        </w:rPr>
        <w:t xml:space="preserve">CAR </w:t>
      </w:r>
      <w:r w:rsidR="00502308" w:rsidRPr="007801A8">
        <w:t>project announcements</w:t>
      </w:r>
      <w:r w:rsidR="00502308">
        <w:t xml:space="preserve"> for all, high and low</w:t>
      </w:r>
      <w:r w:rsidR="00744320">
        <w:t xml:space="preserve"> transparency</w:t>
      </w:r>
      <w:r w:rsidR="00502308">
        <w:t xml:space="preserve"> levels. </w:t>
      </w:r>
      <w:r w:rsidR="00502308" w:rsidRPr="007801A8">
        <w:t xml:space="preserve"> </w:t>
      </w:r>
      <w:r w:rsidRPr="007801A8">
        <w:t xml:space="preserve"> </w:t>
      </w:r>
    </w:p>
    <w:p w14:paraId="1CA006B3" w14:textId="77777777" w:rsidR="00E42C3D" w:rsidRDefault="00E42C3D">
      <w:pPr>
        <w:rPr>
          <w:b/>
        </w:rPr>
      </w:pPr>
    </w:p>
    <w:p w14:paraId="063BEBA2" w14:textId="52812F0F" w:rsidR="00831F17" w:rsidRDefault="00831F17">
      <w:pPr>
        <w:rPr>
          <w:b/>
        </w:rPr>
      </w:pPr>
      <w:r>
        <w:rPr>
          <w:b/>
        </w:rPr>
        <w:br w:type="page"/>
      </w:r>
    </w:p>
    <w:p w14:paraId="6A3487CB" w14:textId="77777777" w:rsidR="00067101" w:rsidRDefault="00067101">
      <w:pPr>
        <w:rPr>
          <w:b/>
        </w:rPr>
      </w:pPr>
    </w:p>
    <w:p w14:paraId="2E85E3AE" w14:textId="1ECEFFE6" w:rsidR="00EC1E60" w:rsidRPr="004A6B0C" w:rsidRDefault="00EC1E60" w:rsidP="00EC1E60">
      <w:pPr>
        <w:rPr>
          <w:b/>
        </w:rPr>
      </w:pPr>
      <w:r w:rsidRPr="004A6B0C">
        <w:rPr>
          <w:b/>
        </w:rPr>
        <w:t>Table 1  Year and industry distribution of announcements</w:t>
      </w:r>
    </w:p>
    <w:p w14:paraId="617C47CD" w14:textId="481B41DC" w:rsidR="00EC1E60" w:rsidRDefault="00EC1E60" w:rsidP="00EC1E60">
      <w:pPr>
        <w:rPr>
          <w:highlight w:val="yellow"/>
        </w:rPr>
      </w:pPr>
    </w:p>
    <w:p w14:paraId="58BA726E" w14:textId="7A36B657" w:rsidR="00890C8D" w:rsidRPr="0044025A" w:rsidRDefault="00890C8D" w:rsidP="00EC1E60">
      <w:r w:rsidRPr="0044025A">
        <w:t>Panel A: Project announcements sample by year</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005"/>
        <w:gridCol w:w="3005"/>
        <w:gridCol w:w="3006"/>
      </w:tblGrid>
      <w:tr w:rsidR="00890C8D" w:rsidRPr="0044025A" w14:paraId="749B6246" w14:textId="77777777" w:rsidTr="00BC1909">
        <w:tc>
          <w:tcPr>
            <w:tcW w:w="3005" w:type="dxa"/>
            <w:tcBorders>
              <w:bottom w:val="nil"/>
            </w:tcBorders>
          </w:tcPr>
          <w:p w14:paraId="3F25C2BC" w14:textId="77777777" w:rsidR="00890C8D" w:rsidRPr="0044025A" w:rsidRDefault="00890C8D" w:rsidP="00EC1E60"/>
        </w:tc>
        <w:tc>
          <w:tcPr>
            <w:tcW w:w="6011" w:type="dxa"/>
            <w:gridSpan w:val="2"/>
            <w:tcBorders>
              <w:bottom w:val="nil"/>
            </w:tcBorders>
          </w:tcPr>
          <w:p w14:paraId="423B3635" w14:textId="47B555D2" w:rsidR="00890C8D" w:rsidRPr="0044025A" w:rsidRDefault="00890C8D" w:rsidP="00890C8D">
            <w:pPr>
              <w:jc w:val="center"/>
            </w:pPr>
            <w:r w:rsidRPr="0044025A">
              <w:t>Total announcements</w:t>
            </w:r>
          </w:p>
        </w:tc>
      </w:tr>
      <w:tr w:rsidR="00890C8D" w:rsidRPr="0044025A" w14:paraId="5C979E9A" w14:textId="77777777" w:rsidTr="00BC1909">
        <w:tc>
          <w:tcPr>
            <w:tcW w:w="3005" w:type="dxa"/>
            <w:tcBorders>
              <w:top w:val="nil"/>
              <w:bottom w:val="single" w:sz="4" w:space="0" w:color="auto"/>
            </w:tcBorders>
          </w:tcPr>
          <w:p w14:paraId="0815FB2A" w14:textId="4D93A48F" w:rsidR="00890C8D" w:rsidRPr="0044025A" w:rsidRDefault="00890C8D" w:rsidP="00EC1E60">
            <w:r w:rsidRPr="0044025A">
              <w:t>Year</w:t>
            </w:r>
          </w:p>
        </w:tc>
        <w:tc>
          <w:tcPr>
            <w:tcW w:w="3005" w:type="dxa"/>
            <w:tcBorders>
              <w:top w:val="nil"/>
              <w:bottom w:val="single" w:sz="4" w:space="0" w:color="auto"/>
            </w:tcBorders>
          </w:tcPr>
          <w:p w14:paraId="4E5124BE" w14:textId="12AA3BF9" w:rsidR="00890C8D" w:rsidRPr="0044025A" w:rsidRDefault="00890C8D" w:rsidP="00890C8D">
            <w:pPr>
              <w:jc w:val="center"/>
            </w:pPr>
            <w:r w:rsidRPr="0044025A">
              <w:t>N</w:t>
            </w:r>
          </w:p>
        </w:tc>
        <w:tc>
          <w:tcPr>
            <w:tcW w:w="3006" w:type="dxa"/>
            <w:tcBorders>
              <w:top w:val="nil"/>
              <w:bottom w:val="single" w:sz="4" w:space="0" w:color="auto"/>
            </w:tcBorders>
          </w:tcPr>
          <w:p w14:paraId="19FB667E" w14:textId="31C0958F" w:rsidR="00890C8D" w:rsidRPr="0044025A" w:rsidRDefault="00890C8D" w:rsidP="00890C8D">
            <w:pPr>
              <w:jc w:val="center"/>
            </w:pPr>
            <w:r w:rsidRPr="0044025A">
              <w:t>% of sample</w:t>
            </w:r>
          </w:p>
        </w:tc>
      </w:tr>
      <w:tr w:rsidR="00A7508A" w:rsidRPr="0044025A" w14:paraId="27DB2D12" w14:textId="77777777" w:rsidTr="00BC1909">
        <w:tc>
          <w:tcPr>
            <w:tcW w:w="3005" w:type="dxa"/>
            <w:tcBorders>
              <w:bottom w:val="nil"/>
            </w:tcBorders>
            <w:vAlign w:val="center"/>
          </w:tcPr>
          <w:p w14:paraId="3FAC67F1" w14:textId="253D0B35" w:rsidR="00A7508A" w:rsidRPr="0044025A" w:rsidRDefault="00A7508A" w:rsidP="00A7508A">
            <w:r>
              <w:rPr>
                <w:rFonts w:ascii="Calibri" w:hAnsi="Calibri" w:cs="Calibri"/>
                <w:color w:val="000000"/>
              </w:rPr>
              <w:t>2008</w:t>
            </w:r>
          </w:p>
        </w:tc>
        <w:tc>
          <w:tcPr>
            <w:tcW w:w="3005" w:type="dxa"/>
            <w:tcBorders>
              <w:bottom w:val="nil"/>
            </w:tcBorders>
            <w:vAlign w:val="center"/>
          </w:tcPr>
          <w:p w14:paraId="541C54E7" w14:textId="31E3C2AD" w:rsidR="00A7508A" w:rsidRPr="00E32466" w:rsidRDefault="00A7508A" w:rsidP="00A7508A">
            <w:pPr>
              <w:ind w:right="1232"/>
              <w:jc w:val="right"/>
            </w:pPr>
            <w:r w:rsidRPr="00E32466">
              <w:rPr>
                <w:rFonts w:ascii="Calibri" w:hAnsi="Calibri" w:cs="Calibri"/>
                <w:color w:val="000000"/>
              </w:rPr>
              <w:t>48</w:t>
            </w:r>
          </w:p>
        </w:tc>
        <w:tc>
          <w:tcPr>
            <w:tcW w:w="3006" w:type="dxa"/>
            <w:tcBorders>
              <w:bottom w:val="nil"/>
            </w:tcBorders>
            <w:vAlign w:val="center"/>
          </w:tcPr>
          <w:p w14:paraId="5DF1FF47" w14:textId="09B03933" w:rsidR="00A7508A" w:rsidRPr="00E32466" w:rsidRDefault="00A7508A" w:rsidP="00A7508A">
            <w:pPr>
              <w:ind w:right="1256"/>
              <w:jc w:val="right"/>
            </w:pPr>
            <w:r w:rsidRPr="00E32466">
              <w:rPr>
                <w:rFonts w:ascii="Calibri" w:hAnsi="Calibri" w:cs="Calibri"/>
                <w:color w:val="000000"/>
              </w:rPr>
              <w:t>20.1</w:t>
            </w:r>
          </w:p>
        </w:tc>
      </w:tr>
      <w:tr w:rsidR="00A7508A" w:rsidRPr="0044025A" w14:paraId="35E6C85C" w14:textId="77777777" w:rsidTr="00BC1909">
        <w:tc>
          <w:tcPr>
            <w:tcW w:w="3005" w:type="dxa"/>
            <w:tcBorders>
              <w:top w:val="nil"/>
              <w:bottom w:val="nil"/>
            </w:tcBorders>
            <w:vAlign w:val="center"/>
          </w:tcPr>
          <w:p w14:paraId="1E5CE30F" w14:textId="488EFE8B" w:rsidR="00A7508A" w:rsidRPr="0044025A" w:rsidRDefault="00A7508A" w:rsidP="00A7508A">
            <w:r>
              <w:rPr>
                <w:rFonts w:ascii="Calibri" w:hAnsi="Calibri" w:cs="Calibri"/>
                <w:color w:val="000000"/>
              </w:rPr>
              <w:t>2009</w:t>
            </w:r>
          </w:p>
        </w:tc>
        <w:tc>
          <w:tcPr>
            <w:tcW w:w="3005" w:type="dxa"/>
            <w:tcBorders>
              <w:top w:val="nil"/>
              <w:bottom w:val="nil"/>
            </w:tcBorders>
            <w:vAlign w:val="center"/>
          </w:tcPr>
          <w:p w14:paraId="6C7F6FEB" w14:textId="30C7E9FF" w:rsidR="00A7508A" w:rsidRPr="00E32466" w:rsidRDefault="00A7508A" w:rsidP="00A7508A">
            <w:pPr>
              <w:ind w:right="1232"/>
              <w:jc w:val="right"/>
            </w:pPr>
            <w:r w:rsidRPr="00E32466">
              <w:rPr>
                <w:rFonts w:ascii="Calibri" w:hAnsi="Calibri" w:cs="Calibri"/>
                <w:color w:val="000000"/>
              </w:rPr>
              <w:t>25</w:t>
            </w:r>
          </w:p>
        </w:tc>
        <w:tc>
          <w:tcPr>
            <w:tcW w:w="3006" w:type="dxa"/>
            <w:tcBorders>
              <w:top w:val="nil"/>
              <w:bottom w:val="nil"/>
            </w:tcBorders>
            <w:vAlign w:val="center"/>
          </w:tcPr>
          <w:p w14:paraId="6FF5706C" w14:textId="0068AAC4" w:rsidR="00A7508A" w:rsidRPr="00E32466" w:rsidRDefault="00A7508A" w:rsidP="00A7508A">
            <w:pPr>
              <w:ind w:right="1256"/>
              <w:jc w:val="right"/>
            </w:pPr>
            <w:r w:rsidRPr="00E32466">
              <w:rPr>
                <w:rFonts w:ascii="Calibri" w:hAnsi="Calibri" w:cs="Calibri"/>
                <w:color w:val="000000"/>
              </w:rPr>
              <w:t>10.5</w:t>
            </w:r>
          </w:p>
        </w:tc>
      </w:tr>
      <w:tr w:rsidR="00A7508A" w:rsidRPr="0044025A" w14:paraId="3585BB6E" w14:textId="77777777" w:rsidTr="00BC1909">
        <w:tc>
          <w:tcPr>
            <w:tcW w:w="3005" w:type="dxa"/>
            <w:tcBorders>
              <w:top w:val="nil"/>
              <w:bottom w:val="nil"/>
            </w:tcBorders>
            <w:vAlign w:val="center"/>
          </w:tcPr>
          <w:p w14:paraId="71A14544" w14:textId="4A6BCD7C" w:rsidR="00A7508A" w:rsidRPr="0044025A" w:rsidRDefault="00A7508A" w:rsidP="00A7508A">
            <w:r>
              <w:rPr>
                <w:rFonts w:ascii="Calibri" w:hAnsi="Calibri" w:cs="Calibri"/>
                <w:color w:val="000000"/>
              </w:rPr>
              <w:t>2010</w:t>
            </w:r>
          </w:p>
        </w:tc>
        <w:tc>
          <w:tcPr>
            <w:tcW w:w="3005" w:type="dxa"/>
            <w:tcBorders>
              <w:top w:val="nil"/>
              <w:bottom w:val="nil"/>
            </w:tcBorders>
            <w:vAlign w:val="center"/>
          </w:tcPr>
          <w:p w14:paraId="52EB255B" w14:textId="24B6F54D" w:rsidR="00A7508A" w:rsidRPr="00E32466" w:rsidRDefault="00A7508A" w:rsidP="00A7508A">
            <w:pPr>
              <w:ind w:right="1232"/>
              <w:jc w:val="right"/>
            </w:pPr>
            <w:r w:rsidRPr="00E32466">
              <w:rPr>
                <w:rFonts w:ascii="Calibri" w:hAnsi="Calibri" w:cs="Calibri"/>
                <w:color w:val="000000"/>
              </w:rPr>
              <w:t>33</w:t>
            </w:r>
          </w:p>
        </w:tc>
        <w:tc>
          <w:tcPr>
            <w:tcW w:w="3006" w:type="dxa"/>
            <w:tcBorders>
              <w:top w:val="nil"/>
              <w:bottom w:val="nil"/>
            </w:tcBorders>
            <w:vAlign w:val="center"/>
          </w:tcPr>
          <w:p w14:paraId="22050461" w14:textId="19ED5860" w:rsidR="00A7508A" w:rsidRPr="00E32466" w:rsidRDefault="00A7508A" w:rsidP="00A7508A">
            <w:pPr>
              <w:ind w:right="1256"/>
              <w:jc w:val="right"/>
            </w:pPr>
            <w:r w:rsidRPr="00E32466">
              <w:rPr>
                <w:rFonts w:ascii="Calibri" w:hAnsi="Calibri" w:cs="Calibri"/>
                <w:color w:val="000000"/>
              </w:rPr>
              <w:t>13.8</w:t>
            </w:r>
          </w:p>
        </w:tc>
      </w:tr>
      <w:tr w:rsidR="00A7508A" w:rsidRPr="0044025A" w14:paraId="0096C1DB" w14:textId="77777777" w:rsidTr="00BC1909">
        <w:tc>
          <w:tcPr>
            <w:tcW w:w="3005" w:type="dxa"/>
            <w:tcBorders>
              <w:top w:val="nil"/>
              <w:bottom w:val="nil"/>
            </w:tcBorders>
            <w:vAlign w:val="center"/>
          </w:tcPr>
          <w:p w14:paraId="729C7492" w14:textId="416426B4" w:rsidR="00A7508A" w:rsidRPr="0044025A" w:rsidRDefault="00A7508A" w:rsidP="00A7508A">
            <w:r>
              <w:rPr>
                <w:rFonts w:ascii="Calibri" w:hAnsi="Calibri" w:cs="Calibri"/>
                <w:color w:val="000000"/>
              </w:rPr>
              <w:t>2011</w:t>
            </w:r>
          </w:p>
        </w:tc>
        <w:tc>
          <w:tcPr>
            <w:tcW w:w="3005" w:type="dxa"/>
            <w:tcBorders>
              <w:top w:val="nil"/>
              <w:bottom w:val="nil"/>
            </w:tcBorders>
            <w:vAlign w:val="center"/>
          </w:tcPr>
          <w:p w14:paraId="7730FD5F" w14:textId="3A2D9A56" w:rsidR="00A7508A" w:rsidRPr="00E32466" w:rsidRDefault="00A7508A" w:rsidP="00A7508A">
            <w:pPr>
              <w:ind w:right="1232"/>
              <w:jc w:val="right"/>
            </w:pPr>
            <w:r w:rsidRPr="00E32466">
              <w:rPr>
                <w:rFonts w:ascii="Calibri" w:hAnsi="Calibri" w:cs="Calibri"/>
                <w:color w:val="000000"/>
              </w:rPr>
              <w:t>45</w:t>
            </w:r>
          </w:p>
        </w:tc>
        <w:tc>
          <w:tcPr>
            <w:tcW w:w="3006" w:type="dxa"/>
            <w:tcBorders>
              <w:top w:val="nil"/>
              <w:bottom w:val="nil"/>
            </w:tcBorders>
            <w:vAlign w:val="center"/>
          </w:tcPr>
          <w:p w14:paraId="2D751AED" w14:textId="0286B202" w:rsidR="00A7508A" w:rsidRPr="00E32466" w:rsidRDefault="00A7508A" w:rsidP="00A7508A">
            <w:pPr>
              <w:ind w:right="1256"/>
              <w:jc w:val="right"/>
            </w:pPr>
            <w:r w:rsidRPr="00E32466">
              <w:rPr>
                <w:rFonts w:ascii="Calibri" w:hAnsi="Calibri" w:cs="Calibri"/>
                <w:color w:val="000000"/>
              </w:rPr>
              <w:t>18.8</w:t>
            </w:r>
          </w:p>
        </w:tc>
      </w:tr>
      <w:tr w:rsidR="00A7508A" w:rsidRPr="0044025A" w14:paraId="62B8B473" w14:textId="77777777" w:rsidTr="00BC1909">
        <w:tc>
          <w:tcPr>
            <w:tcW w:w="3005" w:type="dxa"/>
            <w:tcBorders>
              <w:top w:val="nil"/>
              <w:bottom w:val="nil"/>
            </w:tcBorders>
            <w:vAlign w:val="center"/>
          </w:tcPr>
          <w:p w14:paraId="3297942C" w14:textId="0467A543" w:rsidR="00A7508A" w:rsidRPr="0044025A" w:rsidRDefault="00A7508A" w:rsidP="00A7508A">
            <w:r>
              <w:rPr>
                <w:rFonts w:ascii="Calibri" w:hAnsi="Calibri" w:cs="Calibri"/>
                <w:color w:val="000000"/>
              </w:rPr>
              <w:t>2012</w:t>
            </w:r>
          </w:p>
        </w:tc>
        <w:tc>
          <w:tcPr>
            <w:tcW w:w="3005" w:type="dxa"/>
            <w:tcBorders>
              <w:top w:val="nil"/>
              <w:bottom w:val="nil"/>
            </w:tcBorders>
            <w:vAlign w:val="center"/>
          </w:tcPr>
          <w:p w14:paraId="7C1C3CDD" w14:textId="173BA71A" w:rsidR="00A7508A" w:rsidRPr="00E32466" w:rsidRDefault="00A7508A" w:rsidP="00A7508A">
            <w:pPr>
              <w:ind w:right="1232"/>
              <w:jc w:val="right"/>
            </w:pPr>
            <w:r w:rsidRPr="00E32466">
              <w:rPr>
                <w:rFonts w:ascii="Calibri" w:hAnsi="Calibri" w:cs="Calibri"/>
                <w:color w:val="000000"/>
              </w:rPr>
              <w:t>51</w:t>
            </w:r>
          </w:p>
        </w:tc>
        <w:tc>
          <w:tcPr>
            <w:tcW w:w="3006" w:type="dxa"/>
            <w:tcBorders>
              <w:top w:val="nil"/>
              <w:bottom w:val="nil"/>
            </w:tcBorders>
            <w:vAlign w:val="center"/>
          </w:tcPr>
          <w:p w14:paraId="6257F0AB" w14:textId="66865DE9" w:rsidR="00A7508A" w:rsidRPr="00E32466" w:rsidRDefault="00A7508A" w:rsidP="00A7508A">
            <w:pPr>
              <w:ind w:right="1256"/>
              <w:jc w:val="right"/>
            </w:pPr>
            <w:r w:rsidRPr="00E32466">
              <w:rPr>
                <w:rFonts w:ascii="Calibri" w:hAnsi="Calibri" w:cs="Calibri"/>
                <w:color w:val="000000"/>
              </w:rPr>
              <w:t>21.3</w:t>
            </w:r>
          </w:p>
        </w:tc>
      </w:tr>
      <w:tr w:rsidR="00A7508A" w:rsidRPr="0044025A" w14:paraId="6F2ED231" w14:textId="77777777" w:rsidTr="00BC1909">
        <w:tc>
          <w:tcPr>
            <w:tcW w:w="3005" w:type="dxa"/>
            <w:tcBorders>
              <w:top w:val="nil"/>
              <w:bottom w:val="nil"/>
            </w:tcBorders>
            <w:vAlign w:val="center"/>
          </w:tcPr>
          <w:p w14:paraId="62EF81EE" w14:textId="4BCD9D8E" w:rsidR="00A7508A" w:rsidRPr="0044025A" w:rsidRDefault="00A7508A" w:rsidP="00A7508A">
            <w:r>
              <w:rPr>
                <w:rFonts w:ascii="Calibri" w:hAnsi="Calibri" w:cs="Calibri"/>
                <w:color w:val="000000"/>
              </w:rPr>
              <w:t>2013</w:t>
            </w:r>
          </w:p>
        </w:tc>
        <w:tc>
          <w:tcPr>
            <w:tcW w:w="3005" w:type="dxa"/>
            <w:tcBorders>
              <w:top w:val="nil"/>
              <w:bottom w:val="nil"/>
            </w:tcBorders>
            <w:vAlign w:val="center"/>
          </w:tcPr>
          <w:p w14:paraId="195885B8" w14:textId="2A2233F1" w:rsidR="00A7508A" w:rsidRPr="00E32466" w:rsidRDefault="00A7508A" w:rsidP="00A7508A">
            <w:pPr>
              <w:ind w:right="1232"/>
              <w:jc w:val="right"/>
            </w:pPr>
            <w:r w:rsidRPr="00E32466">
              <w:rPr>
                <w:rFonts w:ascii="Calibri" w:hAnsi="Calibri" w:cs="Calibri"/>
                <w:color w:val="000000"/>
              </w:rPr>
              <w:t>14</w:t>
            </w:r>
          </w:p>
        </w:tc>
        <w:tc>
          <w:tcPr>
            <w:tcW w:w="3006" w:type="dxa"/>
            <w:tcBorders>
              <w:top w:val="nil"/>
              <w:bottom w:val="nil"/>
            </w:tcBorders>
            <w:vAlign w:val="center"/>
          </w:tcPr>
          <w:p w14:paraId="740E99CA" w14:textId="7D2F78D7" w:rsidR="00A7508A" w:rsidRPr="00E32466" w:rsidRDefault="00A7508A" w:rsidP="00A7508A">
            <w:pPr>
              <w:ind w:right="1256"/>
              <w:jc w:val="right"/>
            </w:pPr>
            <w:r w:rsidRPr="00E32466">
              <w:rPr>
                <w:rFonts w:ascii="Calibri" w:hAnsi="Calibri" w:cs="Calibri"/>
                <w:color w:val="000000"/>
              </w:rPr>
              <w:t>5.9</w:t>
            </w:r>
          </w:p>
        </w:tc>
      </w:tr>
      <w:tr w:rsidR="00A7508A" w:rsidRPr="0044025A" w14:paraId="6ACB82DD" w14:textId="77777777" w:rsidTr="00BC1909">
        <w:tc>
          <w:tcPr>
            <w:tcW w:w="3005" w:type="dxa"/>
            <w:tcBorders>
              <w:top w:val="nil"/>
              <w:bottom w:val="single" w:sz="4" w:space="0" w:color="auto"/>
            </w:tcBorders>
            <w:vAlign w:val="center"/>
          </w:tcPr>
          <w:p w14:paraId="66743BA8" w14:textId="213BDD93" w:rsidR="00A7508A" w:rsidRPr="0044025A" w:rsidRDefault="00A7508A" w:rsidP="00A7508A">
            <w:r>
              <w:rPr>
                <w:rFonts w:ascii="Calibri" w:hAnsi="Calibri" w:cs="Calibri"/>
                <w:color w:val="000000"/>
              </w:rPr>
              <w:t>2014</w:t>
            </w:r>
          </w:p>
        </w:tc>
        <w:tc>
          <w:tcPr>
            <w:tcW w:w="3005" w:type="dxa"/>
            <w:tcBorders>
              <w:top w:val="nil"/>
              <w:bottom w:val="single" w:sz="4" w:space="0" w:color="auto"/>
            </w:tcBorders>
            <w:vAlign w:val="center"/>
          </w:tcPr>
          <w:p w14:paraId="14218DED" w14:textId="10B0017C" w:rsidR="00A7508A" w:rsidRPr="00E32466" w:rsidRDefault="00A7508A" w:rsidP="00A7508A">
            <w:pPr>
              <w:ind w:right="1232"/>
              <w:jc w:val="right"/>
            </w:pPr>
            <w:r w:rsidRPr="00E32466">
              <w:rPr>
                <w:rFonts w:ascii="Calibri" w:hAnsi="Calibri" w:cs="Calibri"/>
                <w:color w:val="000000"/>
              </w:rPr>
              <w:t>23</w:t>
            </w:r>
          </w:p>
        </w:tc>
        <w:tc>
          <w:tcPr>
            <w:tcW w:w="3006" w:type="dxa"/>
            <w:tcBorders>
              <w:top w:val="nil"/>
              <w:bottom w:val="single" w:sz="4" w:space="0" w:color="auto"/>
            </w:tcBorders>
            <w:vAlign w:val="center"/>
          </w:tcPr>
          <w:p w14:paraId="664E742B" w14:textId="4B35A48C" w:rsidR="00A7508A" w:rsidRPr="00E32466" w:rsidRDefault="00A7508A" w:rsidP="00A7508A">
            <w:pPr>
              <w:ind w:right="1256"/>
              <w:jc w:val="right"/>
            </w:pPr>
            <w:r w:rsidRPr="00E32466">
              <w:rPr>
                <w:rFonts w:ascii="Calibri" w:hAnsi="Calibri" w:cs="Calibri"/>
                <w:color w:val="000000"/>
              </w:rPr>
              <w:t>9.6</w:t>
            </w:r>
          </w:p>
        </w:tc>
      </w:tr>
      <w:tr w:rsidR="0044025A" w:rsidRPr="00C43774" w14:paraId="691EAB6D" w14:textId="77777777" w:rsidTr="00BC1909">
        <w:tc>
          <w:tcPr>
            <w:tcW w:w="3005" w:type="dxa"/>
            <w:tcBorders>
              <w:top w:val="single" w:sz="4" w:space="0" w:color="auto"/>
              <w:bottom w:val="single" w:sz="4" w:space="0" w:color="auto"/>
            </w:tcBorders>
            <w:vAlign w:val="bottom"/>
          </w:tcPr>
          <w:p w14:paraId="1C82CE38" w14:textId="6E91452D" w:rsidR="0044025A" w:rsidRPr="0044025A" w:rsidRDefault="0044025A" w:rsidP="0044025A">
            <w:r w:rsidRPr="0044025A">
              <w:rPr>
                <w:rFonts w:ascii="Calibri" w:hAnsi="Calibri" w:cs="Calibri"/>
                <w:color w:val="000000"/>
              </w:rPr>
              <w:t>Total</w:t>
            </w:r>
          </w:p>
        </w:tc>
        <w:tc>
          <w:tcPr>
            <w:tcW w:w="3005" w:type="dxa"/>
            <w:tcBorders>
              <w:top w:val="single" w:sz="4" w:space="0" w:color="auto"/>
              <w:bottom w:val="single" w:sz="4" w:space="0" w:color="auto"/>
            </w:tcBorders>
            <w:vAlign w:val="center"/>
          </w:tcPr>
          <w:p w14:paraId="612E0A24" w14:textId="6FC619DE" w:rsidR="0044025A" w:rsidRPr="00E32466" w:rsidRDefault="0044025A" w:rsidP="00E32466">
            <w:pPr>
              <w:ind w:right="1232"/>
              <w:jc w:val="right"/>
            </w:pPr>
            <w:r w:rsidRPr="00E32466">
              <w:rPr>
                <w:color w:val="000000"/>
                <w:lang w:eastAsia="zh-CN"/>
              </w:rPr>
              <w:t>2</w:t>
            </w:r>
            <w:r w:rsidR="00E32466" w:rsidRPr="00CF4E8D">
              <w:rPr>
                <w:color w:val="000000"/>
                <w:lang w:eastAsia="zh-CN"/>
              </w:rPr>
              <w:t>39</w:t>
            </w:r>
          </w:p>
        </w:tc>
        <w:tc>
          <w:tcPr>
            <w:tcW w:w="3006" w:type="dxa"/>
            <w:tcBorders>
              <w:top w:val="single" w:sz="4" w:space="0" w:color="auto"/>
              <w:bottom w:val="single" w:sz="4" w:space="0" w:color="auto"/>
            </w:tcBorders>
            <w:vAlign w:val="center"/>
          </w:tcPr>
          <w:p w14:paraId="3E47F213" w14:textId="018E1083" w:rsidR="0044025A" w:rsidRPr="00E32466" w:rsidRDefault="0044025A" w:rsidP="0044025A">
            <w:pPr>
              <w:ind w:right="1256"/>
              <w:jc w:val="right"/>
            </w:pPr>
            <w:r w:rsidRPr="00E32466">
              <w:rPr>
                <w:color w:val="000000"/>
                <w:lang w:eastAsia="zh-CN"/>
              </w:rPr>
              <w:t>100</w:t>
            </w:r>
          </w:p>
        </w:tc>
      </w:tr>
    </w:tbl>
    <w:p w14:paraId="0F541CC7" w14:textId="2D09023C" w:rsidR="00EC1E60" w:rsidRPr="0044025A" w:rsidRDefault="00EC1E60" w:rsidP="00BC1909">
      <w:pPr>
        <w:tabs>
          <w:tab w:val="left" w:pos="142"/>
        </w:tabs>
        <w:spacing w:before="120"/>
      </w:pPr>
      <w:r w:rsidRPr="0044025A">
        <w:t xml:space="preserve">Panel </w:t>
      </w:r>
      <w:r w:rsidR="00890C8D" w:rsidRPr="0044025A">
        <w:t>B: Project announcements sample by industry</w:t>
      </w:r>
    </w:p>
    <w:tbl>
      <w:tblPr>
        <w:tblStyle w:val="TableGrid"/>
        <w:tblW w:w="8931" w:type="dxa"/>
        <w:tblBorders>
          <w:left w:val="none" w:sz="0" w:space="0" w:color="auto"/>
          <w:right w:val="none" w:sz="0" w:space="0" w:color="auto"/>
          <w:insideV w:val="none" w:sz="0" w:space="0" w:color="auto"/>
        </w:tblBorders>
        <w:tblLook w:val="04A0" w:firstRow="1" w:lastRow="0" w:firstColumn="1" w:lastColumn="0" w:noHBand="0" w:noVBand="1"/>
      </w:tblPr>
      <w:tblGrid>
        <w:gridCol w:w="2078"/>
        <w:gridCol w:w="2284"/>
        <w:gridCol w:w="2284"/>
        <w:gridCol w:w="2285"/>
      </w:tblGrid>
      <w:tr w:rsidR="009F2885" w:rsidRPr="0044025A" w14:paraId="598B1D74" w14:textId="77777777" w:rsidTr="00BC1909">
        <w:tc>
          <w:tcPr>
            <w:tcW w:w="2078" w:type="dxa"/>
            <w:vMerge w:val="restart"/>
          </w:tcPr>
          <w:p w14:paraId="08CE4A2F" w14:textId="77777777" w:rsidR="009F2885" w:rsidRPr="0044025A" w:rsidRDefault="009F2885" w:rsidP="005F7E23"/>
          <w:p w14:paraId="11BB9E99" w14:textId="646B70AB" w:rsidR="009F2885" w:rsidRPr="0044025A" w:rsidRDefault="009F2885" w:rsidP="005F7E23">
            <w:r w:rsidRPr="0044025A">
              <w:t>Industry</w:t>
            </w:r>
          </w:p>
        </w:tc>
        <w:tc>
          <w:tcPr>
            <w:tcW w:w="2284" w:type="dxa"/>
            <w:vMerge w:val="restart"/>
          </w:tcPr>
          <w:p w14:paraId="5EB04F0C" w14:textId="77777777" w:rsidR="005F7E23" w:rsidRPr="0044025A" w:rsidRDefault="005F7E23" w:rsidP="005F7E23">
            <w:pPr>
              <w:jc w:val="center"/>
            </w:pPr>
          </w:p>
          <w:p w14:paraId="65C02121" w14:textId="06F0CB34" w:rsidR="009F2885" w:rsidRPr="0044025A" w:rsidRDefault="009F2885" w:rsidP="005F7E23">
            <w:pPr>
              <w:jc w:val="center"/>
            </w:pPr>
            <w:r w:rsidRPr="0044025A">
              <w:t>Number of companies</w:t>
            </w:r>
          </w:p>
        </w:tc>
        <w:tc>
          <w:tcPr>
            <w:tcW w:w="4569" w:type="dxa"/>
            <w:gridSpan w:val="2"/>
            <w:tcBorders>
              <w:bottom w:val="nil"/>
            </w:tcBorders>
          </w:tcPr>
          <w:p w14:paraId="75B91C99" w14:textId="11F41A8E" w:rsidR="009F2885" w:rsidRPr="0044025A" w:rsidRDefault="009F2885" w:rsidP="005F7E23">
            <w:pPr>
              <w:jc w:val="center"/>
            </w:pPr>
            <w:r w:rsidRPr="0044025A">
              <w:t>Total announcements</w:t>
            </w:r>
          </w:p>
        </w:tc>
      </w:tr>
      <w:tr w:rsidR="009F2885" w:rsidRPr="0044025A" w14:paraId="0FE1C7CC" w14:textId="77777777" w:rsidTr="00BC1909">
        <w:tc>
          <w:tcPr>
            <w:tcW w:w="2078" w:type="dxa"/>
            <w:vMerge/>
            <w:tcBorders>
              <w:bottom w:val="single" w:sz="4" w:space="0" w:color="auto"/>
            </w:tcBorders>
          </w:tcPr>
          <w:p w14:paraId="77DB6926" w14:textId="17D084D6" w:rsidR="009F2885" w:rsidRPr="0044025A" w:rsidRDefault="009F2885" w:rsidP="005F7E23"/>
        </w:tc>
        <w:tc>
          <w:tcPr>
            <w:tcW w:w="2284" w:type="dxa"/>
            <w:vMerge/>
            <w:tcBorders>
              <w:bottom w:val="single" w:sz="4" w:space="0" w:color="auto"/>
            </w:tcBorders>
          </w:tcPr>
          <w:p w14:paraId="375DC34D" w14:textId="1E9DE529" w:rsidR="009F2885" w:rsidRPr="0044025A" w:rsidRDefault="009F2885" w:rsidP="005F7E23">
            <w:pPr>
              <w:jc w:val="center"/>
            </w:pPr>
          </w:p>
        </w:tc>
        <w:tc>
          <w:tcPr>
            <w:tcW w:w="2284" w:type="dxa"/>
            <w:tcBorders>
              <w:top w:val="nil"/>
              <w:bottom w:val="single" w:sz="4" w:space="0" w:color="auto"/>
            </w:tcBorders>
          </w:tcPr>
          <w:p w14:paraId="231A3B6A" w14:textId="34FC83A0" w:rsidR="009F2885" w:rsidRPr="0044025A" w:rsidRDefault="009F2885" w:rsidP="006A0EC0">
            <w:pPr>
              <w:ind w:right="-123"/>
              <w:jc w:val="center"/>
            </w:pPr>
            <w:r w:rsidRPr="0044025A">
              <w:t>N</w:t>
            </w:r>
          </w:p>
        </w:tc>
        <w:tc>
          <w:tcPr>
            <w:tcW w:w="2285" w:type="dxa"/>
            <w:tcBorders>
              <w:top w:val="nil"/>
              <w:bottom w:val="single" w:sz="4" w:space="0" w:color="auto"/>
            </w:tcBorders>
          </w:tcPr>
          <w:p w14:paraId="2C673ED2" w14:textId="3B256E17" w:rsidR="009F2885" w:rsidRPr="0044025A" w:rsidRDefault="009F2885" w:rsidP="005F7E23">
            <w:pPr>
              <w:jc w:val="center"/>
            </w:pPr>
            <w:r w:rsidRPr="0044025A">
              <w:t>% of sample</w:t>
            </w:r>
          </w:p>
        </w:tc>
      </w:tr>
      <w:tr w:rsidR="00A7508A" w:rsidRPr="0044025A" w14:paraId="43A47CB9" w14:textId="77777777" w:rsidTr="00BC1909">
        <w:tc>
          <w:tcPr>
            <w:tcW w:w="2078" w:type="dxa"/>
            <w:tcBorders>
              <w:bottom w:val="nil"/>
            </w:tcBorders>
          </w:tcPr>
          <w:p w14:paraId="63BA97DA" w14:textId="77777777" w:rsidR="00A7508A" w:rsidRPr="0044025A" w:rsidRDefault="00A7508A" w:rsidP="00A7508A">
            <w:r w:rsidRPr="0044025A">
              <w:t xml:space="preserve">Basic materials </w:t>
            </w:r>
          </w:p>
        </w:tc>
        <w:tc>
          <w:tcPr>
            <w:tcW w:w="2284" w:type="dxa"/>
            <w:tcBorders>
              <w:bottom w:val="nil"/>
            </w:tcBorders>
            <w:shd w:val="clear" w:color="auto" w:fill="auto"/>
            <w:vAlign w:val="center"/>
          </w:tcPr>
          <w:p w14:paraId="08606FA0" w14:textId="421C1495" w:rsidR="00A7508A" w:rsidRPr="0044025A" w:rsidRDefault="00A7508A" w:rsidP="00A7508A">
            <w:pPr>
              <w:tabs>
                <w:tab w:val="right" w:pos="475"/>
              </w:tabs>
              <w:ind w:right="858"/>
              <w:jc w:val="right"/>
            </w:pPr>
            <w:r>
              <w:rPr>
                <w:rFonts w:ascii="Calibri" w:hAnsi="Calibri" w:cs="Calibri"/>
                <w:color w:val="000000"/>
              </w:rPr>
              <w:t>14</w:t>
            </w:r>
          </w:p>
        </w:tc>
        <w:tc>
          <w:tcPr>
            <w:tcW w:w="2284" w:type="dxa"/>
            <w:tcBorders>
              <w:bottom w:val="nil"/>
            </w:tcBorders>
            <w:shd w:val="clear" w:color="auto" w:fill="auto"/>
            <w:vAlign w:val="center"/>
          </w:tcPr>
          <w:p w14:paraId="76A6F00A" w14:textId="4A4E6B4D" w:rsidR="00A7508A" w:rsidRPr="0044025A" w:rsidRDefault="00A7508A" w:rsidP="00A7508A">
            <w:pPr>
              <w:ind w:right="858"/>
              <w:jc w:val="right"/>
            </w:pPr>
            <w:r>
              <w:rPr>
                <w:rFonts w:ascii="Calibri" w:hAnsi="Calibri" w:cs="Calibri"/>
                <w:color w:val="000000"/>
              </w:rPr>
              <w:t>17</w:t>
            </w:r>
          </w:p>
        </w:tc>
        <w:tc>
          <w:tcPr>
            <w:tcW w:w="2285" w:type="dxa"/>
            <w:tcBorders>
              <w:bottom w:val="nil"/>
            </w:tcBorders>
            <w:shd w:val="clear" w:color="auto" w:fill="auto"/>
            <w:vAlign w:val="center"/>
          </w:tcPr>
          <w:p w14:paraId="4E5F9358" w14:textId="3D773FBD" w:rsidR="00A7508A" w:rsidRPr="0044025A" w:rsidRDefault="00A7508A" w:rsidP="00A7508A">
            <w:pPr>
              <w:ind w:right="858"/>
              <w:jc w:val="right"/>
            </w:pPr>
            <w:r>
              <w:rPr>
                <w:rFonts w:ascii="Calibri" w:hAnsi="Calibri" w:cs="Calibri"/>
                <w:color w:val="000000"/>
              </w:rPr>
              <w:t>7.1</w:t>
            </w:r>
          </w:p>
        </w:tc>
      </w:tr>
      <w:tr w:rsidR="00A7508A" w:rsidRPr="0044025A" w14:paraId="290D5158" w14:textId="77777777" w:rsidTr="00BC1909">
        <w:tc>
          <w:tcPr>
            <w:tcW w:w="2078" w:type="dxa"/>
            <w:tcBorders>
              <w:top w:val="nil"/>
              <w:bottom w:val="nil"/>
            </w:tcBorders>
          </w:tcPr>
          <w:p w14:paraId="18519250" w14:textId="77777777" w:rsidR="00A7508A" w:rsidRPr="0044025A" w:rsidRDefault="00A7508A" w:rsidP="00A7508A">
            <w:r w:rsidRPr="0044025A">
              <w:t xml:space="preserve">Consumer goods </w:t>
            </w:r>
          </w:p>
        </w:tc>
        <w:tc>
          <w:tcPr>
            <w:tcW w:w="2284" w:type="dxa"/>
            <w:tcBorders>
              <w:top w:val="nil"/>
              <w:bottom w:val="nil"/>
            </w:tcBorders>
            <w:shd w:val="clear" w:color="auto" w:fill="auto"/>
            <w:vAlign w:val="center"/>
          </w:tcPr>
          <w:p w14:paraId="0C66B705" w14:textId="22D51C8A" w:rsidR="00A7508A" w:rsidRPr="0044025A" w:rsidRDefault="00A7508A" w:rsidP="00A7508A">
            <w:pPr>
              <w:tabs>
                <w:tab w:val="right" w:pos="475"/>
              </w:tabs>
              <w:ind w:right="858"/>
              <w:jc w:val="right"/>
            </w:pPr>
            <w:r>
              <w:rPr>
                <w:rFonts w:ascii="Calibri" w:hAnsi="Calibri" w:cs="Calibri"/>
                <w:color w:val="000000"/>
              </w:rPr>
              <w:t>21</w:t>
            </w:r>
          </w:p>
        </w:tc>
        <w:tc>
          <w:tcPr>
            <w:tcW w:w="2284" w:type="dxa"/>
            <w:tcBorders>
              <w:top w:val="nil"/>
              <w:bottom w:val="nil"/>
            </w:tcBorders>
            <w:shd w:val="clear" w:color="auto" w:fill="auto"/>
            <w:vAlign w:val="center"/>
          </w:tcPr>
          <w:p w14:paraId="5B87F7E2" w14:textId="64B49CAB" w:rsidR="00A7508A" w:rsidRPr="0044025A" w:rsidRDefault="00A7508A" w:rsidP="00A7508A">
            <w:pPr>
              <w:ind w:right="858"/>
              <w:jc w:val="right"/>
            </w:pPr>
            <w:r>
              <w:rPr>
                <w:rFonts w:ascii="Calibri" w:hAnsi="Calibri" w:cs="Calibri"/>
                <w:color w:val="000000"/>
              </w:rPr>
              <w:t>31</w:t>
            </w:r>
          </w:p>
        </w:tc>
        <w:tc>
          <w:tcPr>
            <w:tcW w:w="2285" w:type="dxa"/>
            <w:tcBorders>
              <w:top w:val="nil"/>
              <w:bottom w:val="nil"/>
            </w:tcBorders>
            <w:shd w:val="clear" w:color="auto" w:fill="auto"/>
            <w:vAlign w:val="center"/>
          </w:tcPr>
          <w:p w14:paraId="224E1877" w14:textId="7FEB3158" w:rsidR="00A7508A" w:rsidRPr="0044025A" w:rsidRDefault="00A7508A" w:rsidP="00A7508A">
            <w:pPr>
              <w:ind w:right="858"/>
              <w:jc w:val="right"/>
            </w:pPr>
            <w:r>
              <w:rPr>
                <w:rFonts w:ascii="Calibri" w:hAnsi="Calibri" w:cs="Calibri"/>
                <w:color w:val="000000"/>
              </w:rPr>
              <w:t>13.0</w:t>
            </w:r>
          </w:p>
        </w:tc>
      </w:tr>
      <w:tr w:rsidR="00A7508A" w:rsidRPr="0044025A" w14:paraId="483976C0" w14:textId="77777777" w:rsidTr="00BC1909">
        <w:tc>
          <w:tcPr>
            <w:tcW w:w="2078" w:type="dxa"/>
            <w:tcBorders>
              <w:top w:val="nil"/>
              <w:bottom w:val="nil"/>
            </w:tcBorders>
          </w:tcPr>
          <w:p w14:paraId="7EF654B6" w14:textId="77777777" w:rsidR="00A7508A" w:rsidRPr="0044025A" w:rsidRDefault="00A7508A" w:rsidP="00A7508A">
            <w:r w:rsidRPr="0044025A">
              <w:t xml:space="preserve">Consumer services </w:t>
            </w:r>
          </w:p>
        </w:tc>
        <w:tc>
          <w:tcPr>
            <w:tcW w:w="2284" w:type="dxa"/>
            <w:tcBorders>
              <w:top w:val="nil"/>
              <w:bottom w:val="nil"/>
            </w:tcBorders>
            <w:shd w:val="clear" w:color="auto" w:fill="auto"/>
            <w:vAlign w:val="center"/>
          </w:tcPr>
          <w:p w14:paraId="4B1CCFB7" w14:textId="7CD10C61" w:rsidR="00A7508A" w:rsidRPr="0044025A" w:rsidRDefault="00A7508A" w:rsidP="00A7508A">
            <w:pPr>
              <w:tabs>
                <w:tab w:val="right" w:pos="475"/>
              </w:tabs>
              <w:ind w:right="858"/>
              <w:jc w:val="right"/>
            </w:pPr>
            <w:r>
              <w:rPr>
                <w:rFonts w:ascii="Calibri" w:hAnsi="Calibri" w:cs="Calibri"/>
                <w:color w:val="000000"/>
              </w:rPr>
              <w:t>13</w:t>
            </w:r>
          </w:p>
        </w:tc>
        <w:tc>
          <w:tcPr>
            <w:tcW w:w="2284" w:type="dxa"/>
            <w:tcBorders>
              <w:top w:val="nil"/>
              <w:bottom w:val="nil"/>
            </w:tcBorders>
            <w:shd w:val="clear" w:color="auto" w:fill="auto"/>
            <w:vAlign w:val="center"/>
          </w:tcPr>
          <w:p w14:paraId="2B59743A" w14:textId="7AD4D88D" w:rsidR="00A7508A" w:rsidRPr="0044025A" w:rsidRDefault="00A7508A" w:rsidP="00A7508A">
            <w:pPr>
              <w:ind w:right="858"/>
              <w:jc w:val="right"/>
            </w:pPr>
            <w:r>
              <w:rPr>
                <w:rFonts w:ascii="Calibri" w:hAnsi="Calibri" w:cs="Calibri"/>
                <w:color w:val="000000"/>
              </w:rPr>
              <w:t>28</w:t>
            </w:r>
          </w:p>
        </w:tc>
        <w:tc>
          <w:tcPr>
            <w:tcW w:w="2285" w:type="dxa"/>
            <w:tcBorders>
              <w:top w:val="nil"/>
              <w:bottom w:val="nil"/>
            </w:tcBorders>
            <w:shd w:val="clear" w:color="auto" w:fill="auto"/>
            <w:vAlign w:val="center"/>
          </w:tcPr>
          <w:p w14:paraId="40DBB848" w14:textId="5284880A" w:rsidR="00A7508A" w:rsidRPr="0044025A" w:rsidRDefault="00A7508A" w:rsidP="00A7508A">
            <w:pPr>
              <w:ind w:right="858"/>
              <w:jc w:val="right"/>
            </w:pPr>
            <w:r>
              <w:rPr>
                <w:rFonts w:ascii="Calibri" w:hAnsi="Calibri" w:cs="Calibri"/>
                <w:color w:val="000000"/>
              </w:rPr>
              <w:t>11.7</w:t>
            </w:r>
          </w:p>
        </w:tc>
      </w:tr>
      <w:tr w:rsidR="00A7508A" w:rsidRPr="0044025A" w14:paraId="5FEA5EE8" w14:textId="77777777" w:rsidTr="00BC1909">
        <w:tc>
          <w:tcPr>
            <w:tcW w:w="2078" w:type="dxa"/>
            <w:tcBorders>
              <w:top w:val="nil"/>
              <w:bottom w:val="nil"/>
            </w:tcBorders>
          </w:tcPr>
          <w:p w14:paraId="5F8D805C" w14:textId="77777777" w:rsidR="00A7508A" w:rsidRPr="0044025A" w:rsidRDefault="00A7508A" w:rsidP="00A7508A">
            <w:r w:rsidRPr="0044025A">
              <w:t xml:space="preserve">Financial </w:t>
            </w:r>
          </w:p>
        </w:tc>
        <w:tc>
          <w:tcPr>
            <w:tcW w:w="2284" w:type="dxa"/>
            <w:tcBorders>
              <w:top w:val="nil"/>
              <w:bottom w:val="nil"/>
            </w:tcBorders>
            <w:shd w:val="clear" w:color="auto" w:fill="auto"/>
            <w:vAlign w:val="center"/>
          </w:tcPr>
          <w:p w14:paraId="528236BE" w14:textId="4163DA59" w:rsidR="00A7508A" w:rsidRPr="0044025A" w:rsidRDefault="00A7508A" w:rsidP="00A7508A">
            <w:pPr>
              <w:tabs>
                <w:tab w:val="right" w:pos="475"/>
              </w:tabs>
              <w:ind w:right="858"/>
              <w:jc w:val="right"/>
            </w:pPr>
            <w:r>
              <w:rPr>
                <w:rFonts w:ascii="Calibri" w:hAnsi="Calibri" w:cs="Calibri"/>
                <w:color w:val="000000"/>
              </w:rPr>
              <w:t>32</w:t>
            </w:r>
          </w:p>
        </w:tc>
        <w:tc>
          <w:tcPr>
            <w:tcW w:w="2284" w:type="dxa"/>
            <w:tcBorders>
              <w:top w:val="nil"/>
              <w:bottom w:val="nil"/>
            </w:tcBorders>
            <w:shd w:val="clear" w:color="auto" w:fill="auto"/>
            <w:vAlign w:val="center"/>
          </w:tcPr>
          <w:p w14:paraId="687AF163" w14:textId="2EBC65B2" w:rsidR="00A7508A" w:rsidRPr="0044025A" w:rsidRDefault="00A7508A" w:rsidP="00A7508A">
            <w:pPr>
              <w:ind w:right="858"/>
              <w:jc w:val="right"/>
            </w:pPr>
            <w:r>
              <w:rPr>
                <w:rFonts w:ascii="Calibri" w:hAnsi="Calibri" w:cs="Calibri"/>
                <w:color w:val="000000"/>
              </w:rPr>
              <w:t>68</w:t>
            </w:r>
          </w:p>
        </w:tc>
        <w:tc>
          <w:tcPr>
            <w:tcW w:w="2285" w:type="dxa"/>
            <w:tcBorders>
              <w:top w:val="nil"/>
              <w:bottom w:val="nil"/>
            </w:tcBorders>
            <w:shd w:val="clear" w:color="auto" w:fill="auto"/>
            <w:vAlign w:val="center"/>
          </w:tcPr>
          <w:p w14:paraId="2E1111F3" w14:textId="0C961D95" w:rsidR="00A7508A" w:rsidRPr="0044025A" w:rsidRDefault="00A7508A" w:rsidP="00A7508A">
            <w:pPr>
              <w:ind w:right="858"/>
              <w:jc w:val="right"/>
            </w:pPr>
            <w:r>
              <w:rPr>
                <w:rFonts w:ascii="Calibri" w:hAnsi="Calibri" w:cs="Calibri"/>
                <w:color w:val="000000"/>
              </w:rPr>
              <w:t>28.5</w:t>
            </w:r>
          </w:p>
        </w:tc>
      </w:tr>
      <w:tr w:rsidR="00A7508A" w:rsidRPr="0044025A" w14:paraId="11349901" w14:textId="77777777" w:rsidTr="00BC1909">
        <w:tc>
          <w:tcPr>
            <w:tcW w:w="2078" w:type="dxa"/>
            <w:tcBorders>
              <w:top w:val="nil"/>
              <w:bottom w:val="nil"/>
            </w:tcBorders>
          </w:tcPr>
          <w:p w14:paraId="3D47DCFF" w14:textId="77777777" w:rsidR="00A7508A" w:rsidRPr="0044025A" w:rsidRDefault="00A7508A" w:rsidP="00A7508A">
            <w:r w:rsidRPr="0044025A">
              <w:t xml:space="preserve">Healthcare </w:t>
            </w:r>
          </w:p>
        </w:tc>
        <w:tc>
          <w:tcPr>
            <w:tcW w:w="2284" w:type="dxa"/>
            <w:tcBorders>
              <w:top w:val="nil"/>
              <w:bottom w:val="nil"/>
            </w:tcBorders>
            <w:shd w:val="clear" w:color="auto" w:fill="auto"/>
            <w:vAlign w:val="center"/>
          </w:tcPr>
          <w:p w14:paraId="08F60000" w14:textId="75F98E47" w:rsidR="00A7508A" w:rsidRPr="0044025A" w:rsidRDefault="00A7508A" w:rsidP="00A7508A">
            <w:pPr>
              <w:tabs>
                <w:tab w:val="right" w:pos="475"/>
              </w:tabs>
              <w:ind w:right="858"/>
              <w:jc w:val="right"/>
            </w:pPr>
            <w:r>
              <w:rPr>
                <w:rFonts w:ascii="Calibri" w:hAnsi="Calibri" w:cs="Calibri"/>
                <w:color w:val="000000"/>
              </w:rPr>
              <w:t>10</w:t>
            </w:r>
          </w:p>
        </w:tc>
        <w:tc>
          <w:tcPr>
            <w:tcW w:w="2284" w:type="dxa"/>
            <w:tcBorders>
              <w:top w:val="nil"/>
              <w:bottom w:val="nil"/>
            </w:tcBorders>
            <w:shd w:val="clear" w:color="auto" w:fill="auto"/>
            <w:vAlign w:val="center"/>
          </w:tcPr>
          <w:p w14:paraId="606ABFEA" w14:textId="01D43FFE" w:rsidR="00A7508A" w:rsidRPr="0044025A" w:rsidRDefault="00A7508A" w:rsidP="00A7508A">
            <w:pPr>
              <w:ind w:right="858"/>
              <w:jc w:val="right"/>
            </w:pPr>
            <w:r>
              <w:rPr>
                <w:rFonts w:ascii="Calibri" w:hAnsi="Calibri" w:cs="Calibri"/>
                <w:color w:val="000000"/>
              </w:rPr>
              <w:t>15</w:t>
            </w:r>
          </w:p>
        </w:tc>
        <w:tc>
          <w:tcPr>
            <w:tcW w:w="2285" w:type="dxa"/>
            <w:tcBorders>
              <w:top w:val="nil"/>
              <w:bottom w:val="nil"/>
            </w:tcBorders>
            <w:shd w:val="clear" w:color="auto" w:fill="auto"/>
            <w:vAlign w:val="center"/>
          </w:tcPr>
          <w:p w14:paraId="5373814F" w14:textId="46A7B30A" w:rsidR="00A7508A" w:rsidRPr="0044025A" w:rsidRDefault="00A7508A" w:rsidP="00A7508A">
            <w:pPr>
              <w:ind w:right="858"/>
              <w:jc w:val="right"/>
            </w:pPr>
            <w:r>
              <w:rPr>
                <w:rFonts w:ascii="Calibri" w:hAnsi="Calibri" w:cs="Calibri"/>
                <w:color w:val="000000"/>
              </w:rPr>
              <w:t>6.3</w:t>
            </w:r>
          </w:p>
        </w:tc>
      </w:tr>
      <w:tr w:rsidR="00A7508A" w:rsidRPr="0044025A" w14:paraId="2D9C95CC" w14:textId="77777777" w:rsidTr="00BC1909">
        <w:tc>
          <w:tcPr>
            <w:tcW w:w="2078" w:type="dxa"/>
            <w:tcBorders>
              <w:top w:val="nil"/>
              <w:bottom w:val="nil"/>
            </w:tcBorders>
          </w:tcPr>
          <w:p w14:paraId="29DE8505" w14:textId="77777777" w:rsidR="00A7508A" w:rsidRPr="0044025A" w:rsidRDefault="00A7508A" w:rsidP="00A7508A">
            <w:r w:rsidRPr="0044025A">
              <w:t xml:space="preserve">Industrial </w:t>
            </w:r>
          </w:p>
        </w:tc>
        <w:tc>
          <w:tcPr>
            <w:tcW w:w="2284" w:type="dxa"/>
            <w:tcBorders>
              <w:top w:val="nil"/>
              <w:bottom w:val="nil"/>
            </w:tcBorders>
            <w:shd w:val="clear" w:color="auto" w:fill="auto"/>
            <w:vAlign w:val="center"/>
          </w:tcPr>
          <w:p w14:paraId="58A1D97F" w14:textId="2A8C5037" w:rsidR="00A7508A" w:rsidRPr="0044025A" w:rsidRDefault="00A7508A" w:rsidP="00A7508A">
            <w:pPr>
              <w:tabs>
                <w:tab w:val="right" w:pos="475"/>
              </w:tabs>
              <w:ind w:right="858"/>
              <w:jc w:val="right"/>
            </w:pPr>
            <w:r>
              <w:rPr>
                <w:rFonts w:ascii="Calibri" w:hAnsi="Calibri" w:cs="Calibri"/>
                <w:color w:val="000000"/>
              </w:rPr>
              <w:t>36</w:t>
            </w:r>
          </w:p>
        </w:tc>
        <w:tc>
          <w:tcPr>
            <w:tcW w:w="2284" w:type="dxa"/>
            <w:tcBorders>
              <w:top w:val="nil"/>
              <w:bottom w:val="nil"/>
            </w:tcBorders>
            <w:shd w:val="clear" w:color="auto" w:fill="auto"/>
            <w:vAlign w:val="center"/>
          </w:tcPr>
          <w:p w14:paraId="5421BE51" w14:textId="63EE26B2" w:rsidR="00A7508A" w:rsidRPr="0044025A" w:rsidRDefault="00A7508A" w:rsidP="00A7508A">
            <w:pPr>
              <w:ind w:right="858"/>
              <w:jc w:val="right"/>
            </w:pPr>
            <w:r>
              <w:rPr>
                <w:rFonts w:ascii="Calibri" w:hAnsi="Calibri" w:cs="Calibri"/>
                <w:color w:val="000000"/>
              </w:rPr>
              <w:t>62</w:t>
            </w:r>
          </w:p>
        </w:tc>
        <w:tc>
          <w:tcPr>
            <w:tcW w:w="2285" w:type="dxa"/>
            <w:tcBorders>
              <w:top w:val="nil"/>
              <w:bottom w:val="nil"/>
            </w:tcBorders>
            <w:shd w:val="clear" w:color="auto" w:fill="auto"/>
            <w:vAlign w:val="center"/>
          </w:tcPr>
          <w:p w14:paraId="12038F49" w14:textId="424F56E7" w:rsidR="00A7508A" w:rsidRPr="0044025A" w:rsidRDefault="00A7508A" w:rsidP="00A7508A">
            <w:pPr>
              <w:ind w:right="858"/>
              <w:jc w:val="right"/>
            </w:pPr>
            <w:r>
              <w:rPr>
                <w:rFonts w:ascii="Calibri" w:hAnsi="Calibri" w:cs="Calibri"/>
                <w:color w:val="000000"/>
              </w:rPr>
              <w:t>25.9</w:t>
            </w:r>
          </w:p>
        </w:tc>
      </w:tr>
      <w:tr w:rsidR="00A7508A" w:rsidRPr="0044025A" w14:paraId="2669F696" w14:textId="77777777" w:rsidTr="00BC1909">
        <w:tc>
          <w:tcPr>
            <w:tcW w:w="2078" w:type="dxa"/>
            <w:tcBorders>
              <w:top w:val="nil"/>
              <w:bottom w:val="nil"/>
            </w:tcBorders>
          </w:tcPr>
          <w:p w14:paraId="6B2B8860" w14:textId="77777777" w:rsidR="00A7508A" w:rsidRPr="0044025A" w:rsidRDefault="00A7508A" w:rsidP="00A7508A">
            <w:r w:rsidRPr="0044025A">
              <w:t xml:space="preserve">Oil and gas  </w:t>
            </w:r>
          </w:p>
        </w:tc>
        <w:tc>
          <w:tcPr>
            <w:tcW w:w="2284" w:type="dxa"/>
            <w:tcBorders>
              <w:top w:val="nil"/>
              <w:bottom w:val="nil"/>
            </w:tcBorders>
            <w:shd w:val="clear" w:color="auto" w:fill="auto"/>
            <w:vAlign w:val="center"/>
          </w:tcPr>
          <w:p w14:paraId="001BBFD8" w14:textId="78C5A665" w:rsidR="00A7508A" w:rsidRPr="0044025A" w:rsidRDefault="00A7508A" w:rsidP="00A7508A">
            <w:pPr>
              <w:tabs>
                <w:tab w:val="right" w:pos="475"/>
              </w:tabs>
              <w:ind w:right="858"/>
              <w:jc w:val="right"/>
            </w:pPr>
            <w:r>
              <w:rPr>
                <w:rFonts w:ascii="Calibri" w:hAnsi="Calibri" w:cs="Calibri"/>
                <w:color w:val="000000"/>
              </w:rPr>
              <w:t>3</w:t>
            </w:r>
          </w:p>
        </w:tc>
        <w:tc>
          <w:tcPr>
            <w:tcW w:w="2284" w:type="dxa"/>
            <w:tcBorders>
              <w:top w:val="nil"/>
              <w:bottom w:val="nil"/>
            </w:tcBorders>
            <w:shd w:val="clear" w:color="auto" w:fill="auto"/>
            <w:vAlign w:val="center"/>
          </w:tcPr>
          <w:p w14:paraId="439B6369" w14:textId="518D5FA9" w:rsidR="00A7508A" w:rsidRPr="0044025A" w:rsidRDefault="00A7508A" w:rsidP="00A7508A">
            <w:pPr>
              <w:ind w:right="858"/>
              <w:jc w:val="right"/>
            </w:pPr>
            <w:r>
              <w:rPr>
                <w:rFonts w:ascii="Calibri" w:hAnsi="Calibri" w:cs="Calibri"/>
                <w:color w:val="000000"/>
              </w:rPr>
              <w:t>4</w:t>
            </w:r>
          </w:p>
        </w:tc>
        <w:tc>
          <w:tcPr>
            <w:tcW w:w="2285" w:type="dxa"/>
            <w:tcBorders>
              <w:top w:val="nil"/>
              <w:bottom w:val="nil"/>
            </w:tcBorders>
            <w:shd w:val="clear" w:color="auto" w:fill="auto"/>
            <w:vAlign w:val="center"/>
          </w:tcPr>
          <w:p w14:paraId="5867EFDE" w14:textId="379BB0AF" w:rsidR="00A7508A" w:rsidRPr="0044025A" w:rsidRDefault="00A7508A" w:rsidP="00A7508A">
            <w:pPr>
              <w:ind w:right="858"/>
              <w:jc w:val="right"/>
            </w:pPr>
            <w:r>
              <w:rPr>
                <w:rFonts w:ascii="Calibri" w:hAnsi="Calibri" w:cs="Calibri"/>
                <w:color w:val="000000"/>
              </w:rPr>
              <w:t>1.7</w:t>
            </w:r>
          </w:p>
        </w:tc>
      </w:tr>
      <w:tr w:rsidR="00A7508A" w:rsidRPr="0044025A" w14:paraId="30BCC70A" w14:textId="77777777" w:rsidTr="00BC1909">
        <w:tc>
          <w:tcPr>
            <w:tcW w:w="2078" w:type="dxa"/>
            <w:tcBorders>
              <w:top w:val="nil"/>
              <w:bottom w:val="nil"/>
            </w:tcBorders>
          </w:tcPr>
          <w:p w14:paraId="4A25914A" w14:textId="77777777" w:rsidR="00A7508A" w:rsidRPr="0044025A" w:rsidRDefault="00A7508A" w:rsidP="00A7508A">
            <w:r w:rsidRPr="0044025A">
              <w:t xml:space="preserve">Technology </w:t>
            </w:r>
          </w:p>
        </w:tc>
        <w:tc>
          <w:tcPr>
            <w:tcW w:w="2284" w:type="dxa"/>
            <w:tcBorders>
              <w:top w:val="nil"/>
              <w:bottom w:val="nil"/>
            </w:tcBorders>
            <w:shd w:val="clear" w:color="auto" w:fill="auto"/>
            <w:vAlign w:val="center"/>
          </w:tcPr>
          <w:p w14:paraId="1E439196" w14:textId="6AD5FEB1" w:rsidR="00A7508A" w:rsidRPr="0044025A" w:rsidRDefault="00A7508A" w:rsidP="00A7508A">
            <w:pPr>
              <w:tabs>
                <w:tab w:val="right" w:pos="475"/>
              </w:tabs>
              <w:ind w:right="858"/>
              <w:jc w:val="right"/>
            </w:pPr>
            <w:r>
              <w:rPr>
                <w:rFonts w:ascii="Calibri" w:hAnsi="Calibri" w:cs="Calibri"/>
                <w:color w:val="000000"/>
              </w:rPr>
              <w:t>4</w:t>
            </w:r>
          </w:p>
        </w:tc>
        <w:tc>
          <w:tcPr>
            <w:tcW w:w="2284" w:type="dxa"/>
            <w:tcBorders>
              <w:top w:val="nil"/>
              <w:bottom w:val="nil"/>
            </w:tcBorders>
            <w:shd w:val="clear" w:color="auto" w:fill="auto"/>
            <w:vAlign w:val="center"/>
          </w:tcPr>
          <w:p w14:paraId="2134E8D5" w14:textId="2E98B354" w:rsidR="00A7508A" w:rsidRPr="0044025A" w:rsidRDefault="00A7508A" w:rsidP="00A7508A">
            <w:pPr>
              <w:ind w:right="858"/>
              <w:jc w:val="right"/>
            </w:pPr>
            <w:r>
              <w:rPr>
                <w:rFonts w:ascii="Calibri" w:hAnsi="Calibri" w:cs="Calibri"/>
                <w:color w:val="000000"/>
              </w:rPr>
              <w:t>4</w:t>
            </w:r>
          </w:p>
        </w:tc>
        <w:tc>
          <w:tcPr>
            <w:tcW w:w="2285" w:type="dxa"/>
            <w:tcBorders>
              <w:top w:val="nil"/>
              <w:bottom w:val="nil"/>
            </w:tcBorders>
            <w:shd w:val="clear" w:color="auto" w:fill="auto"/>
            <w:vAlign w:val="center"/>
          </w:tcPr>
          <w:p w14:paraId="0A8F264B" w14:textId="33246E11" w:rsidR="00A7508A" w:rsidRPr="0044025A" w:rsidRDefault="00A7508A" w:rsidP="00A7508A">
            <w:pPr>
              <w:ind w:right="858"/>
              <w:jc w:val="right"/>
            </w:pPr>
            <w:r>
              <w:rPr>
                <w:rFonts w:ascii="Calibri" w:hAnsi="Calibri" w:cs="Calibri"/>
                <w:color w:val="000000"/>
              </w:rPr>
              <w:t>1.7</w:t>
            </w:r>
          </w:p>
        </w:tc>
      </w:tr>
      <w:tr w:rsidR="00A7508A" w:rsidRPr="0044025A" w14:paraId="0585F5C8" w14:textId="77777777" w:rsidTr="00BC1909">
        <w:tc>
          <w:tcPr>
            <w:tcW w:w="2078" w:type="dxa"/>
            <w:tcBorders>
              <w:top w:val="nil"/>
              <w:bottom w:val="nil"/>
            </w:tcBorders>
          </w:tcPr>
          <w:p w14:paraId="552CA286" w14:textId="77777777" w:rsidR="00A7508A" w:rsidRPr="0044025A" w:rsidRDefault="00A7508A" w:rsidP="00A7508A">
            <w:r w:rsidRPr="0044025A">
              <w:t xml:space="preserve">Telecommunications </w:t>
            </w:r>
          </w:p>
        </w:tc>
        <w:tc>
          <w:tcPr>
            <w:tcW w:w="2284" w:type="dxa"/>
            <w:tcBorders>
              <w:top w:val="nil"/>
              <w:bottom w:val="nil"/>
            </w:tcBorders>
            <w:shd w:val="clear" w:color="auto" w:fill="auto"/>
            <w:vAlign w:val="center"/>
          </w:tcPr>
          <w:p w14:paraId="2C63CAFE" w14:textId="179F3FC5" w:rsidR="00A7508A" w:rsidRPr="0044025A" w:rsidRDefault="00A7508A" w:rsidP="00A7508A">
            <w:pPr>
              <w:tabs>
                <w:tab w:val="right" w:pos="475"/>
              </w:tabs>
              <w:ind w:right="858"/>
              <w:jc w:val="right"/>
            </w:pPr>
            <w:r>
              <w:rPr>
                <w:rFonts w:ascii="Calibri" w:hAnsi="Calibri" w:cs="Calibri"/>
                <w:color w:val="000000"/>
              </w:rPr>
              <w:t>5</w:t>
            </w:r>
          </w:p>
        </w:tc>
        <w:tc>
          <w:tcPr>
            <w:tcW w:w="2284" w:type="dxa"/>
            <w:tcBorders>
              <w:top w:val="nil"/>
              <w:bottom w:val="nil"/>
            </w:tcBorders>
            <w:shd w:val="clear" w:color="auto" w:fill="auto"/>
            <w:vAlign w:val="center"/>
          </w:tcPr>
          <w:p w14:paraId="0B6F43B9" w14:textId="535E27E1" w:rsidR="00A7508A" w:rsidRPr="0044025A" w:rsidRDefault="00A7508A" w:rsidP="00A7508A">
            <w:pPr>
              <w:ind w:right="858"/>
              <w:jc w:val="right"/>
            </w:pPr>
            <w:r>
              <w:rPr>
                <w:rFonts w:ascii="Calibri" w:hAnsi="Calibri" w:cs="Calibri"/>
                <w:color w:val="000000"/>
              </w:rPr>
              <w:t>5</w:t>
            </w:r>
          </w:p>
        </w:tc>
        <w:tc>
          <w:tcPr>
            <w:tcW w:w="2285" w:type="dxa"/>
            <w:tcBorders>
              <w:top w:val="nil"/>
              <w:bottom w:val="nil"/>
            </w:tcBorders>
            <w:shd w:val="clear" w:color="auto" w:fill="auto"/>
            <w:vAlign w:val="center"/>
          </w:tcPr>
          <w:p w14:paraId="1B437255" w14:textId="5E2CCF3C" w:rsidR="00A7508A" w:rsidRPr="0044025A" w:rsidRDefault="00A7508A" w:rsidP="00A7508A">
            <w:pPr>
              <w:ind w:right="858"/>
              <w:jc w:val="right"/>
            </w:pPr>
            <w:r>
              <w:rPr>
                <w:rFonts w:ascii="Calibri" w:hAnsi="Calibri" w:cs="Calibri"/>
                <w:color w:val="000000"/>
              </w:rPr>
              <w:t>2.1</w:t>
            </w:r>
          </w:p>
        </w:tc>
      </w:tr>
      <w:tr w:rsidR="00A7508A" w:rsidRPr="0044025A" w14:paraId="132A1035" w14:textId="77777777" w:rsidTr="00BC1909">
        <w:tc>
          <w:tcPr>
            <w:tcW w:w="2078" w:type="dxa"/>
            <w:tcBorders>
              <w:top w:val="nil"/>
            </w:tcBorders>
          </w:tcPr>
          <w:p w14:paraId="7F32B765" w14:textId="77777777" w:rsidR="00A7508A" w:rsidRPr="0044025A" w:rsidRDefault="00A7508A" w:rsidP="00A7508A">
            <w:r w:rsidRPr="0044025A">
              <w:t xml:space="preserve">Utilities </w:t>
            </w:r>
          </w:p>
        </w:tc>
        <w:tc>
          <w:tcPr>
            <w:tcW w:w="2284" w:type="dxa"/>
            <w:tcBorders>
              <w:top w:val="nil"/>
            </w:tcBorders>
            <w:shd w:val="clear" w:color="auto" w:fill="auto"/>
            <w:vAlign w:val="center"/>
          </w:tcPr>
          <w:p w14:paraId="57B2914E" w14:textId="78170B3B" w:rsidR="00A7508A" w:rsidRPr="0044025A" w:rsidRDefault="00A7508A" w:rsidP="00A7508A">
            <w:pPr>
              <w:tabs>
                <w:tab w:val="right" w:pos="475"/>
              </w:tabs>
              <w:ind w:right="858"/>
              <w:jc w:val="right"/>
            </w:pPr>
            <w:r>
              <w:rPr>
                <w:rFonts w:ascii="Calibri" w:hAnsi="Calibri" w:cs="Calibri"/>
                <w:color w:val="000000"/>
              </w:rPr>
              <w:t>4</w:t>
            </w:r>
          </w:p>
        </w:tc>
        <w:tc>
          <w:tcPr>
            <w:tcW w:w="2284" w:type="dxa"/>
            <w:tcBorders>
              <w:top w:val="nil"/>
            </w:tcBorders>
            <w:shd w:val="clear" w:color="auto" w:fill="auto"/>
            <w:vAlign w:val="center"/>
          </w:tcPr>
          <w:p w14:paraId="787D41A9" w14:textId="2716DFDB" w:rsidR="00A7508A" w:rsidRPr="0044025A" w:rsidRDefault="00A7508A" w:rsidP="00A7508A">
            <w:pPr>
              <w:ind w:right="858"/>
              <w:jc w:val="right"/>
            </w:pPr>
            <w:r>
              <w:rPr>
                <w:rFonts w:ascii="Calibri" w:hAnsi="Calibri" w:cs="Calibri"/>
                <w:color w:val="000000"/>
              </w:rPr>
              <w:t>5</w:t>
            </w:r>
          </w:p>
        </w:tc>
        <w:tc>
          <w:tcPr>
            <w:tcW w:w="2285" w:type="dxa"/>
            <w:tcBorders>
              <w:top w:val="nil"/>
            </w:tcBorders>
            <w:shd w:val="clear" w:color="auto" w:fill="auto"/>
            <w:vAlign w:val="center"/>
          </w:tcPr>
          <w:p w14:paraId="582EB6DD" w14:textId="33968D21" w:rsidR="00A7508A" w:rsidRPr="0044025A" w:rsidRDefault="00A7508A" w:rsidP="00A7508A">
            <w:pPr>
              <w:ind w:right="858"/>
              <w:jc w:val="right"/>
            </w:pPr>
            <w:r>
              <w:rPr>
                <w:rFonts w:ascii="Calibri" w:hAnsi="Calibri" w:cs="Calibri"/>
                <w:color w:val="000000"/>
              </w:rPr>
              <w:t>2.1</w:t>
            </w:r>
          </w:p>
        </w:tc>
      </w:tr>
      <w:tr w:rsidR="00A7508A" w:rsidRPr="005F7E23" w14:paraId="24A65906" w14:textId="77777777" w:rsidTr="00BC1909">
        <w:tc>
          <w:tcPr>
            <w:tcW w:w="2078" w:type="dxa"/>
          </w:tcPr>
          <w:p w14:paraId="4FBC8583" w14:textId="77777777" w:rsidR="00A7508A" w:rsidRPr="0044025A" w:rsidRDefault="00A7508A" w:rsidP="00A7508A">
            <w:r w:rsidRPr="0044025A">
              <w:t>Total</w:t>
            </w:r>
          </w:p>
        </w:tc>
        <w:tc>
          <w:tcPr>
            <w:tcW w:w="2284" w:type="dxa"/>
            <w:shd w:val="clear" w:color="auto" w:fill="auto"/>
            <w:vAlign w:val="center"/>
          </w:tcPr>
          <w:p w14:paraId="0E5ADEA4" w14:textId="31B10A26" w:rsidR="00A7508A" w:rsidRPr="0044025A" w:rsidRDefault="00A7508A" w:rsidP="00A7508A">
            <w:pPr>
              <w:tabs>
                <w:tab w:val="right" w:pos="475"/>
              </w:tabs>
              <w:ind w:right="858"/>
              <w:jc w:val="right"/>
            </w:pPr>
            <w:r>
              <w:rPr>
                <w:rFonts w:ascii="Calibri" w:hAnsi="Calibri" w:cs="Calibri"/>
                <w:color w:val="000000"/>
              </w:rPr>
              <w:t>142</w:t>
            </w:r>
          </w:p>
        </w:tc>
        <w:tc>
          <w:tcPr>
            <w:tcW w:w="2284" w:type="dxa"/>
            <w:shd w:val="clear" w:color="auto" w:fill="auto"/>
            <w:vAlign w:val="center"/>
          </w:tcPr>
          <w:p w14:paraId="4F1BEA35" w14:textId="6FDF2181" w:rsidR="00A7508A" w:rsidRPr="0044025A" w:rsidRDefault="00A7508A" w:rsidP="00A7508A">
            <w:pPr>
              <w:ind w:right="858"/>
              <w:jc w:val="right"/>
            </w:pPr>
            <w:r>
              <w:rPr>
                <w:rFonts w:ascii="Calibri" w:hAnsi="Calibri" w:cs="Calibri"/>
                <w:color w:val="000000"/>
              </w:rPr>
              <w:t>239</w:t>
            </w:r>
          </w:p>
        </w:tc>
        <w:tc>
          <w:tcPr>
            <w:tcW w:w="2285" w:type="dxa"/>
            <w:shd w:val="clear" w:color="auto" w:fill="auto"/>
            <w:vAlign w:val="center"/>
          </w:tcPr>
          <w:p w14:paraId="78E92E69" w14:textId="5E153990" w:rsidR="00A7508A" w:rsidRPr="002A6A34" w:rsidRDefault="00A7508A">
            <w:pPr>
              <w:ind w:right="858"/>
              <w:jc w:val="right"/>
            </w:pPr>
            <w:r>
              <w:rPr>
                <w:rFonts w:ascii="Calibri" w:hAnsi="Calibri" w:cs="Calibri"/>
                <w:color w:val="000000"/>
              </w:rPr>
              <w:t>100.0</w:t>
            </w:r>
          </w:p>
        </w:tc>
      </w:tr>
    </w:tbl>
    <w:p w14:paraId="1CB1FDCB" w14:textId="77777777" w:rsidR="00EC1E60" w:rsidRPr="005F7E23" w:rsidRDefault="00EC1E60" w:rsidP="005F7E23"/>
    <w:p w14:paraId="73621A94" w14:textId="1CA5F14D" w:rsidR="00EC1E60" w:rsidRPr="005F7E23" w:rsidRDefault="009F2885">
      <w:pPr>
        <w:jc w:val="both"/>
      </w:pPr>
      <w:r w:rsidRPr="005F7E23">
        <w:t>The sample distributions of project announcements by Australian listed companies from 2008 to 201</w:t>
      </w:r>
      <w:r w:rsidR="00915401">
        <w:t>4</w:t>
      </w:r>
      <w:r w:rsidRPr="005F7E23">
        <w:t xml:space="preserve"> are reported by year in Panel A and by industry in Panel B. </w:t>
      </w:r>
      <w:r w:rsidR="00EC1E60" w:rsidRPr="005F7E23">
        <w:t xml:space="preserve">Industry classification is from Industry Classification Level 2 of Datastream. </w:t>
      </w:r>
    </w:p>
    <w:p w14:paraId="15A284B2" w14:textId="4DAC58F1" w:rsidR="00EC1E60" w:rsidRDefault="00EC1E60" w:rsidP="00EC1E60">
      <w:pPr>
        <w:rPr>
          <w:highlight w:val="yellow"/>
        </w:rPr>
      </w:pPr>
      <w:r w:rsidRPr="00C35785">
        <w:rPr>
          <w:highlight w:val="yellow"/>
        </w:rPr>
        <w:br w:type="page"/>
      </w:r>
    </w:p>
    <w:p w14:paraId="5D821F1D" w14:textId="5B1AA8B3" w:rsidR="00BD2654" w:rsidRDefault="000E6AFD" w:rsidP="000E6AFD">
      <w:pPr>
        <w:rPr>
          <w:b/>
        </w:rPr>
      </w:pPr>
      <w:r w:rsidRPr="00685CF1">
        <w:rPr>
          <w:b/>
        </w:rPr>
        <w:lastRenderedPageBreak/>
        <w:t xml:space="preserve">Table </w:t>
      </w:r>
      <w:r w:rsidR="00EB53D3">
        <w:rPr>
          <w:b/>
        </w:rPr>
        <w:t>2</w:t>
      </w:r>
      <w:r w:rsidRPr="00685CF1">
        <w:rPr>
          <w:b/>
        </w:rPr>
        <w:t xml:space="preserve"> </w:t>
      </w:r>
      <w:r w:rsidR="00295DFD" w:rsidRPr="00685CF1">
        <w:rPr>
          <w:b/>
        </w:rPr>
        <w:t xml:space="preserve"> Descriptive statistics</w:t>
      </w:r>
      <w:r w:rsidR="00502308">
        <w:rPr>
          <w:b/>
        </w:rPr>
        <w:t xml:space="preserve"> partitioned by </w:t>
      </w:r>
      <w:r w:rsidR="002A64B7">
        <w:rPr>
          <w:b/>
        </w:rPr>
        <w:t>transparency</w:t>
      </w:r>
      <w:r w:rsidR="00502308">
        <w:rPr>
          <w:b/>
        </w:rPr>
        <w:t xml:space="preserve"> level</w:t>
      </w:r>
      <w:r w:rsidR="00295DFD" w:rsidRPr="00685CF1">
        <w:rPr>
          <w:b/>
        </w:rPr>
        <w:t xml:space="preserve"> </w:t>
      </w:r>
    </w:p>
    <w:p w14:paraId="543AAC27" w14:textId="77777777" w:rsidR="00BD2654" w:rsidRPr="009D2F95" w:rsidRDefault="00BD2654" w:rsidP="00BD2654">
      <w:pPr>
        <w:rPr>
          <w:b/>
        </w:rPr>
      </w:pPr>
    </w:p>
    <w:tbl>
      <w:tblPr>
        <w:tblStyle w:val="TableGrid"/>
        <w:tblW w:w="9209"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71"/>
        <w:gridCol w:w="709"/>
        <w:gridCol w:w="1134"/>
        <w:gridCol w:w="709"/>
        <w:gridCol w:w="1134"/>
        <w:gridCol w:w="708"/>
        <w:gridCol w:w="1134"/>
        <w:gridCol w:w="1134"/>
        <w:gridCol w:w="1276"/>
      </w:tblGrid>
      <w:tr w:rsidR="008226FA" w:rsidRPr="009D2F95" w14:paraId="70A7F62D" w14:textId="77777777" w:rsidTr="00BC1909">
        <w:tc>
          <w:tcPr>
            <w:tcW w:w="1271" w:type="dxa"/>
            <w:tcBorders>
              <w:bottom w:val="nil"/>
            </w:tcBorders>
          </w:tcPr>
          <w:p w14:paraId="69EB46F5" w14:textId="77777777" w:rsidR="00BD2654" w:rsidRPr="000E4666" w:rsidRDefault="00BD2654" w:rsidP="004D2D79">
            <w:pPr>
              <w:rPr>
                <w:rFonts w:cstheme="minorHAnsi"/>
              </w:rPr>
            </w:pPr>
          </w:p>
        </w:tc>
        <w:tc>
          <w:tcPr>
            <w:tcW w:w="1843" w:type="dxa"/>
            <w:gridSpan w:val="2"/>
          </w:tcPr>
          <w:p w14:paraId="020E0956" w14:textId="77777777" w:rsidR="00BD2654" w:rsidRPr="000E4666" w:rsidRDefault="00BD2654" w:rsidP="004D2D79">
            <w:pPr>
              <w:rPr>
                <w:rFonts w:cstheme="minorHAnsi"/>
              </w:rPr>
            </w:pPr>
            <w:r w:rsidRPr="000E4666">
              <w:rPr>
                <w:rFonts w:cstheme="minorHAnsi"/>
              </w:rPr>
              <w:t>Full Sample</w:t>
            </w:r>
          </w:p>
        </w:tc>
        <w:tc>
          <w:tcPr>
            <w:tcW w:w="1843" w:type="dxa"/>
            <w:gridSpan w:val="2"/>
          </w:tcPr>
          <w:p w14:paraId="6F88E408" w14:textId="7FEB165B" w:rsidR="00BD2654" w:rsidRPr="000E4666" w:rsidRDefault="008226FA" w:rsidP="00313CF3">
            <w:pPr>
              <w:ind w:right="-116"/>
              <w:rPr>
                <w:rFonts w:cstheme="minorHAnsi"/>
              </w:rPr>
            </w:pPr>
            <w:r>
              <w:rPr>
                <w:rFonts w:cstheme="minorHAnsi"/>
              </w:rPr>
              <w:t>High</w:t>
            </w:r>
            <w:r w:rsidR="00BD2654">
              <w:rPr>
                <w:rFonts w:cstheme="minorHAnsi"/>
              </w:rPr>
              <w:t xml:space="preserve"> </w:t>
            </w:r>
            <w:r w:rsidR="003E4FB4">
              <w:rPr>
                <w:rFonts w:cstheme="minorHAnsi"/>
              </w:rPr>
              <w:t>Transparency</w:t>
            </w:r>
          </w:p>
        </w:tc>
        <w:tc>
          <w:tcPr>
            <w:tcW w:w="1842" w:type="dxa"/>
            <w:gridSpan w:val="2"/>
          </w:tcPr>
          <w:p w14:paraId="71A10529" w14:textId="78C58F80" w:rsidR="00BD2654" w:rsidRPr="000E4666" w:rsidRDefault="00BD2654" w:rsidP="003E4FB4">
            <w:pPr>
              <w:rPr>
                <w:rFonts w:cstheme="minorHAnsi"/>
              </w:rPr>
            </w:pPr>
            <w:r>
              <w:rPr>
                <w:rFonts w:cstheme="minorHAnsi"/>
              </w:rPr>
              <w:t>L</w:t>
            </w:r>
            <w:r w:rsidR="008226FA">
              <w:rPr>
                <w:rFonts w:cstheme="minorHAnsi"/>
              </w:rPr>
              <w:t>ow</w:t>
            </w:r>
            <w:r>
              <w:rPr>
                <w:rFonts w:cstheme="minorHAnsi"/>
              </w:rPr>
              <w:t xml:space="preserve"> </w:t>
            </w:r>
            <w:r w:rsidR="003E4FB4">
              <w:rPr>
                <w:rFonts w:cstheme="minorHAnsi"/>
              </w:rPr>
              <w:t>Transparency</w:t>
            </w:r>
          </w:p>
        </w:tc>
        <w:tc>
          <w:tcPr>
            <w:tcW w:w="1134" w:type="dxa"/>
            <w:tcBorders>
              <w:bottom w:val="nil"/>
            </w:tcBorders>
          </w:tcPr>
          <w:p w14:paraId="494FE935" w14:textId="77777777" w:rsidR="00BD2654" w:rsidRPr="000E4666" w:rsidRDefault="00BD2654" w:rsidP="004D2D79">
            <w:pPr>
              <w:rPr>
                <w:rFonts w:cstheme="minorHAnsi"/>
              </w:rPr>
            </w:pPr>
          </w:p>
        </w:tc>
        <w:tc>
          <w:tcPr>
            <w:tcW w:w="1276" w:type="dxa"/>
            <w:tcBorders>
              <w:bottom w:val="nil"/>
            </w:tcBorders>
          </w:tcPr>
          <w:p w14:paraId="19B28513" w14:textId="77777777" w:rsidR="00BD2654" w:rsidRPr="000E4666" w:rsidRDefault="00BD2654" w:rsidP="004D2D79">
            <w:pPr>
              <w:rPr>
                <w:rFonts w:cstheme="minorHAnsi"/>
              </w:rPr>
            </w:pPr>
          </w:p>
        </w:tc>
      </w:tr>
      <w:tr w:rsidR="008226FA" w:rsidRPr="009D2F95" w14:paraId="217B8BA9" w14:textId="77777777" w:rsidTr="00BC1909">
        <w:tc>
          <w:tcPr>
            <w:tcW w:w="1271" w:type="dxa"/>
            <w:tcBorders>
              <w:top w:val="nil"/>
            </w:tcBorders>
          </w:tcPr>
          <w:p w14:paraId="769C191A" w14:textId="77777777" w:rsidR="00BD2654" w:rsidRPr="000E4666" w:rsidRDefault="00BD2654" w:rsidP="004D2D79">
            <w:pPr>
              <w:rPr>
                <w:rFonts w:cstheme="minorHAnsi"/>
              </w:rPr>
            </w:pPr>
            <w:r w:rsidRPr="000E4666">
              <w:rPr>
                <w:rFonts w:cstheme="minorHAnsi"/>
              </w:rPr>
              <w:t>Variable</w:t>
            </w:r>
          </w:p>
        </w:tc>
        <w:tc>
          <w:tcPr>
            <w:tcW w:w="709" w:type="dxa"/>
          </w:tcPr>
          <w:p w14:paraId="6BB9AF52" w14:textId="77777777" w:rsidR="00B8102D" w:rsidRDefault="00B8102D" w:rsidP="004D2D79">
            <w:pPr>
              <w:rPr>
                <w:rFonts w:cstheme="minorHAnsi"/>
              </w:rPr>
            </w:pPr>
          </w:p>
          <w:p w14:paraId="5D7BE4EB" w14:textId="1C866ABE" w:rsidR="00BD2654" w:rsidRPr="000E4666" w:rsidRDefault="00BD2654" w:rsidP="004D2D79">
            <w:pPr>
              <w:rPr>
                <w:rFonts w:cstheme="minorHAnsi"/>
              </w:rPr>
            </w:pPr>
            <w:r w:rsidRPr="000E4666">
              <w:rPr>
                <w:rFonts w:cstheme="minorHAnsi"/>
              </w:rPr>
              <w:t>N</w:t>
            </w:r>
          </w:p>
        </w:tc>
        <w:tc>
          <w:tcPr>
            <w:tcW w:w="1134" w:type="dxa"/>
          </w:tcPr>
          <w:p w14:paraId="7509E98E" w14:textId="77777777" w:rsidR="00BD2654" w:rsidRPr="000E4666" w:rsidRDefault="00BD2654" w:rsidP="004D2D79">
            <w:pPr>
              <w:rPr>
                <w:rFonts w:cstheme="minorHAnsi"/>
              </w:rPr>
            </w:pPr>
            <w:r w:rsidRPr="000E4666">
              <w:rPr>
                <w:rFonts w:cstheme="minorHAnsi"/>
              </w:rPr>
              <w:t>Mean (</w:t>
            </w:r>
            <w:r>
              <w:rPr>
                <w:rFonts w:cstheme="minorHAnsi"/>
              </w:rPr>
              <w:t>me</w:t>
            </w:r>
            <w:r w:rsidRPr="000E4666">
              <w:rPr>
                <w:rFonts w:cstheme="minorHAnsi"/>
              </w:rPr>
              <w:t>d</w:t>
            </w:r>
            <w:r>
              <w:rPr>
                <w:rFonts w:cstheme="minorHAnsi"/>
              </w:rPr>
              <w:t>ia</w:t>
            </w:r>
            <w:r w:rsidRPr="000E4666">
              <w:rPr>
                <w:rFonts w:cstheme="minorHAnsi"/>
              </w:rPr>
              <w:t>n)</w:t>
            </w:r>
          </w:p>
        </w:tc>
        <w:tc>
          <w:tcPr>
            <w:tcW w:w="709" w:type="dxa"/>
          </w:tcPr>
          <w:p w14:paraId="0E8449E4" w14:textId="77777777" w:rsidR="00B8102D" w:rsidRDefault="00B8102D" w:rsidP="004D2D79">
            <w:pPr>
              <w:rPr>
                <w:rFonts w:cstheme="minorHAnsi"/>
              </w:rPr>
            </w:pPr>
          </w:p>
          <w:p w14:paraId="1851D2CA" w14:textId="759C76BE" w:rsidR="00BD2654" w:rsidRPr="000E4666" w:rsidRDefault="00BD2654" w:rsidP="004D2D79">
            <w:pPr>
              <w:rPr>
                <w:rFonts w:cstheme="minorHAnsi"/>
              </w:rPr>
            </w:pPr>
            <w:r w:rsidRPr="000E4666">
              <w:rPr>
                <w:rFonts w:cstheme="minorHAnsi"/>
              </w:rPr>
              <w:t>N</w:t>
            </w:r>
          </w:p>
        </w:tc>
        <w:tc>
          <w:tcPr>
            <w:tcW w:w="1134" w:type="dxa"/>
          </w:tcPr>
          <w:p w14:paraId="16105FEF" w14:textId="77777777" w:rsidR="00BD2654" w:rsidRPr="000E4666" w:rsidRDefault="00BD2654" w:rsidP="004D2D79">
            <w:pPr>
              <w:rPr>
                <w:rFonts w:cstheme="minorHAnsi"/>
              </w:rPr>
            </w:pPr>
            <w:r w:rsidRPr="000E4666">
              <w:rPr>
                <w:rFonts w:cstheme="minorHAnsi"/>
              </w:rPr>
              <w:t>Mean (</w:t>
            </w:r>
            <w:r>
              <w:rPr>
                <w:rFonts w:cstheme="minorHAnsi"/>
              </w:rPr>
              <w:t>m</w:t>
            </w:r>
            <w:r w:rsidRPr="000E4666">
              <w:rPr>
                <w:rFonts w:cstheme="minorHAnsi"/>
              </w:rPr>
              <w:t>edian)</w:t>
            </w:r>
          </w:p>
        </w:tc>
        <w:tc>
          <w:tcPr>
            <w:tcW w:w="708" w:type="dxa"/>
          </w:tcPr>
          <w:p w14:paraId="248FFB5E" w14:textId="77777777" w:rsidR="00B8102D" w:rsidRDefault="00B8102D" w:rsidP="004D2D79">
            <w:pPr>
              <w:rPr>
                <w:rFonts w:cstheme="minorHAnsi"/>
              </w:rPr>
            </w:pPr>
          </w:p>
          <w:p w14:paraId="0D3D116B" w14:textId="3804A08C" w:rsidR="00BD2654" w:rsidRPr="000E4666" w:rsidRDefault="00BD2654" w:rsidP="004D2D79">
            <w:pPr>
              <w:rPr>
                <w:rFonts w:cstheme="minorHAnsi"/>
              </w:rPr>
            </w:pPr>
            <w:r w:rsidRPr="000E4666">
              <w:rPr>
                <w:rFonts w:cstheme="minorHAnsi"/>
              </w:rPr>
              <w:t>N</w:t>
            </w:r>
          </w:p>
        </w:tc>
        <w:tc>
          <w:tcPr>
            <w:tcW w:w="1134" w:type="dxa"/>
          </w:tcPr>
          <w:p w14:paraId="7AD1F52F" w14:textId="77777777" w:rsidR="00BD2654" w:rsidRPr="000E4666" w:rsidRDefault="00BD2654" w:rsidP="004D2D79">
            <w:pPr>
              <w:rPr>
                <w:rFonts w:cstheme="minorHAnsi"/>
              </w:rPr>
            </w:pPr>
            <w:r w:rsidRPr="000E4666">
              <w:rPr>
                <w:rFonts w:cstheme="minorHAnsi"/>
              </w:rPr>
              <w:t>Mean (</w:t>
            </w:r>
            <w:r>
              <w:rPr>
                <w:rFonts w:cstheme="minorHAnsi"/>
              </w:rPr>
              <w:t>m</w:t>
            </w:r>
            <w:r w:rsidRPr="000E4666">
              <w:rPr>
                <w:rFonts w:cstheme="minorHAnsi"/>
              </w:rPr>
              <w:t>edian)</w:t>
            </w:r>
          </w:p>
        </w:tc>
        <w:tc>
          <w:tcPr>
            <w:tcW w:w="1134" w:type="dxa"/>
            <w:tcBorders>
              <w:top w:val="nil"/>
            </w:tcBorders>
          </w:tcPr>
          <w:p w14:paraId="331E3994" w14:textId="2B7908A4" w:rsidR="00BD2654" w:rsidRDefault="00BD2654" w:rsidP="004D2D79">
            <w:pPr>
              <w:rPr>
                <w:rFonts w:cstheme="minorHAnsi"/>
              </w:rPr>
            </w:pPr>
            <w:r w:rsidRPr="00B76C4D">
              <w:rPr>
                <w:rFonts w:cstheme="minorHAnsi"/>
              </w:rPr>
              <w:t>Diff</w:t>
            </w:r>
          </w:p>
          <w:p w14:paraId="63B7F892" w14:textId="41336169" w:rsidR="00073A3E" w:rsidRPr="000E4666" w:rsidRDefault="00073A3E" w:rsidP="004D2D79">
            <w:pPr>
              <w:rPr>
                <w:rFonts w:cstheme="minorHAnsi"/>
              </w:rPr>
            </w:pPr>
            <w:r>
              <w:rPr>
                <w:rFonts w:cstheme="minorHAnsi"/>
              </w:rPr>
              <w:t>High-Low</w:t>
            </w:r>
          </w:p>
        </w:tc>
        <w:tc>
          <w:tcPr>
            <w:tcW w:w="1276" w:type="dxa"/>
            <w:tcBorders>
              <w:top w:val="nil"/>
            </w:tcBorders>
          </w:tcPr>
          <w:p w14:paraId="23C7D37B" w14:textId="77777777" w:rsidR="00BD2654" w:rsidRPr="000E4666" w:rsidRDefault="00BD2654" w:rsidP="004D2D79">
            <w:pPr>
              <w:rPr>
                <w:rFonts w:cstheme="minorHAnsi"/>
              </w:rPr>
            </w:pPr>
            <w:r w:rsidRPr="000E4666">
              <w:rPr>
                <w:rFonts w:cstheme="minorHAnsi"/>
              </w:rPr>
              <w:t>T-Stat</w:t>
            </w:r>
          </w:p>
          <w:p w14:paraId="4408D260" w14:textId="3E8379BC" w:rsidR="00BD2654" w:rsidRPr="000E4666" w:rsidRDefault="00BD2654">
            <w:pPr>
              <w:rPr>
                <w:rFonts w:cstheme="minorHAnsi"/>
              </w:rPr>
            </w:pPr>
            <w:r w:rsidRPr="00CC767F">
              <w:rPr>
                <w:rFonts w:cstheme="minorHAnsi"/>
              </w:rPr>
              <w:t>(</w:t>
            </w:r>
            <w:r w:rsidRPr="007801A8">
              <w:rPr>
                <w:rFonts w:cstheme="minorHAnsi"/>
              </w:rPr>
              <w:t>Wilcox</w:t>
            </w:r>
            <w:r w:rsidR="00CC767F" w:rsidRPr="00CC767F">
              <w:rPr>
                <w:rFonts w:cstheme="minorHAnsi"/>
              </w:rPr>
              <w:t xml:space="preserve"> Z</w:t>
            </w:r>
            <w:r w:rsidRPr="00CC767F">
              <w:rPr>
                <w:rFonts w:cstheme="minorHAnsi"/>
              </w:rPr>
              <w:t>)</w:t>
            </w:r>
          </w:p>
        </w:tc>
      </w:tr>
      <w:tr w:rsidR="00A37B30" w:rsidRPr="009D2F95" w14:paraId="0F177BF7" w14:textId="77777777" w:rsidTr="00BC1909">
        <w:tc>
          <w:tcPr>
            <w:tcW w:w="9209" w:type="dxa"/>
            <w:gridSpan w:val="9"/>
            <w:tcBorders>
              <w:bottom w:val="single" w:sz="4" w:space="0" w:color="auto"/>
            </w:tcBorders>
            <w:vAlign w:val="center"/>
          </w:tcPr>
          <w:p w14:paraId="28744212" w14:textId="67F48753" w:rsidR="00A37B30" w:rsidRPr="008226FA" w:rsidRDefault="00A37B30" w:rsidP="00BC1909">
            <w:pPr>
              <w:spacing w:before="120"/>
              <w:rPr>
                <w:rFonts w:cstheme="minorHAnsi"/>
              </w:rPr>
            </w:pPr>
            <w:r>
              <w:rPr>
                <w:rFonts w:cstheme="minorHAnsi"/>
              </w:rPr>
              <w:t xml:space="preserve">Panel A: </w:t>
            </w:r>
            <w:r w:rsidR="003B13F2" w:rsidRPr="003B13F2">
              <w:rPr>
                <w:rFonts w:cstheme="minorHAnsi"/>
                <w:i/>
              </w:rPr>
              <w:t>CAR</w:t>
            </w:r>
            <w:r>
              <w:rPr>
                <w:rFonts w:cstheme="minorHAnsi"/>
              </w:rPr>
              <w:t xml:space="preserve"> regression </w:t>
            </w:r>
          </w:p>
        </w:tc>
      </w:tr>
      <w:tr w:rsidR="008226FA" w:rsidRPr="009D2F95" w14:paraId="29516CC2" w14:textId="77777777" w:rsidTr="00BC1909">
        <w:tc>
          <w:tcPr>
            <w:tcW w:w="1271" w:type="dxa"/>
            <w:tcBorders>
              <w:bottom w:val="nil"/>
            </w:tcBorders>
            <w:vAlign w:val="center"/>
          </w:tcPr>
          <w:p w14:paraId="1BA9A39F" w14:textId="77777777" w:rsidR="00BD2654" w:rsidRPr="000E4666" w:rsidRDefault="00BD2654">
            <w:pPr>
              <w:rPr>
                <w:rFonts w:cstheme="minorHAnsi"/>
                <w:i/>
              </w:rPr>
            </w:pPr>
            <w:r w:rsidRPr="000E4666">
              <w:rPr>
                <w:rFonts w:cstheme="minorHAnsi"/>
                <w:bCs/>
                <w:i/>
              </w:rPr>
              <w:t>CAR02</w:t>
            </w:r>
          </w:p>
        </w:tc>
        <w:tc>
          <w:tcPr>
            <w:tcW w:w="709" w:type="dxa"/>
            <w:tcBorders>
              <w:bottom w:val="nil"/>
            </w:tcBorders>
            <w:vAlign w:val="center"/>
          </w:tcPr>
          <w:p w14:paraId="55F6BA57"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bottom w:val="nil"/>
            </w:tcBorders>
            <w:vAlign w:val="center"/>
          </w:tcPr>
          <w:p w14:paraId="7557828E" w14:textId="77777777" w:rsidR="00BD2654" w:rsidRDefault="00BD2654" w:rsidP="00BD2654">
            <w:pPr>
              <w:rPr>
                <w:rFonts w:ascii="Calibri" w:hAnsi="Calibri" w:cs="Calibri"/>
                <w:color w:val="000000"/>
              </w:rPr>
            </w:pPr>
            <w:r>
              <w:rPr>
                <w:rFonts w:ascii="Calibri" w:hAnsi="Calibri" w:cs="Calibri"/>
                <w:color w:val="000000"/>
              </w:rPr>
              <w:t>0.013</w:t>
            </w:r>
          </w:p>
          <w:p w14:paraId="39387174" w14:textId="77777777" w:rsidR="00BD2654" w:rsidRPr="000E4666" w:rsidRDefault="00BD2654" w:rsidP="00BD2654">
            <w:pPr>
              <w:rPr>
                <w:rFonts w:cstheme="minorHAnsi"/>
              </w:rPr>
            </w:pPr>
            <w:r>
              <w:rPr>
                <w:rFonts w:ascii="Calibri" w:hAnsi="Calibri" w:cs="Calibri"/>
                <w:color w:val="000000"/>
              </w:rPr>
              <w:t>(0.004)</w:t>
            </w:r>
          </w:p>
        </w:tc>
        <w:tc>
          <w:tcPr>
            <w:tcW w:w="709" w:type="dxa"/>
            <w:tcBorders>
              <w:bottom w:val="nil"/>
            </w:tcBorders>
            <w:vAlign w:val="center"/>
          </w:tcPr>
          <w:p w14:paraId="45655053" w14:textId="645BBF9F" w:rsidR="00BD2654" w:rsidRPr="000E4666" w:rsidRDefault="00BD2654">
            <w:pPr>
              <w:rPr>
                <w:rFonts w:cstheme="minorHAnsi"/>
              </w:rPr>
            </w:pPr>
            <w:r>
              <w:rPr>
                <w:rFonts w:cstheme="minorHAnsi"/>
              </w:rPr>
              <w:t>97</w:t>
            </w:r>
          </w:p>
        </w:tc>
        <w:tc>
          <w:tcPr>
            <w:tcW w:w="1134" w:type="dxa"/>
            <w:tcBorders>
              <w:bottom w:val="nil"/>
            </w:tcBorders>
            <w:vAlign w:val="center"/>
          </w:tcPr>
          <w:p w14:paraId="5D883BF7" w14:textId="77777777" w:rsidR="00BD2654" w:rsidRDefault="00BD2654" w:rsidP="00BD2654">
            <w:pPr>
              <w:rPr>
                <w:rFonts w:cstheme="minorHAnsi"/>
              </w:rPr>
            </w:pPr>
            <w:r w:rsidRPr="007801A8">
              <w:rPr>
                <w:rFonts w:cstheme="minorHAnsi"/>
              </w:rPr>
              <w:t>0.013</w:t>
            </w:r>
          </w:p>
          <w:p w14:paraId="2A75B23C" w14:textId="7C3E8CF4" w:rsidR="00CC767F" w:rsidRPr="000E4666" w:rsidRDefault="00CC767F" w:rsidP="00BD2654">
            <w:pPr>
              <w:rPr>
                <w:rFonts w:cstheme="minorHAnsi"/>
              </w:rPr>
            </w:pPr>
            <w:r>
              <w:rPr>
                <w:rFonts w:cstheme="minorHAnsi"/>
              </w:rPr>
              <w:t>(0.007)</w:t>
            </w:r>
          </w:p>
        </w:tc>
        <w:tc>
          <w:tcPr>
            <w:tcW w:w="708" w:type="dxa"/>
            <w:tcBorders>
              <w:bottom w:val="nil"/>
            </w:tcBorders>
            <w:vAlign w:val="center"/>
          </w:tcPr>
          <w:p w14:paraId="00437461" w14:textId="409309BD" w:rsidR="00BD2654" w:rsidRPr="000E4666" w:rsidRDefault="00BD2654" w:rsidP="00BD2654">
            <w:pPr>
              <w:rPr>
                <w:rFonts w:cstheme="minorHAnsi"/>
              </w:rPr>
            </w:pPr>
            <w:r w:rsidRPr="007801A8">
              <w:rPr>
                <w:rFonts w:cstheme="minorHAnsi"/>
              </w:rPr>
              <w:t>142</w:t>
            </w:r>
          </w:p>
        </w:tc>
        <w:tc>
          <w:tcPr>
            <w:tcW w:w="1134" w:type="dxa"/>
            <w:tcBorders>
              <w:bottom w:val="nil"/>
            </w:tcBorders>
            <w:vAlign w:val="center"/>
          </w:tcPr>
          <w:p w14:paraId="5187AA75" w14:textId="77777777" w:rsidR="00BD2654" w:rsidRDefault="00BD2654" w:rsidP="00BD2654">
            <w:pPr>
              <w:rPr>
                <w:rFonts w:cstheme="minorHAnsi"/>
              </w:rPr>
            </w:pPr>
            <w:r w:rsidRPr="007801A8">
              <w:rPr>
                <w:rFonts w:cstheme="minorHAnsi"/>
              </w:rPr>
              <w:t>0.013</w:t>
            </w:r>
          </w:p>
          <w:p w14:paraId="0A787636" w14:textId="05AB28BB" w:rsidR="00CC767F" w:rsidRPr="000E4666" w:rsidRDefault="00CC767F" w:rsidP="00BD2654">
            <w:pPr>
              <w:rPr>
                <w:rFonts w:cstheme="minorHAnsi"/>
              </w:rPr>
            </w:pPr>
            <w:r>
              <w:rPr>
                <w:rFonts w:cstheme="minorHAnsi"/>
              </w:rPr>
              <w:t>(0.002)</w:t>
            </w:r>
          </w:p>
        </w:tc>
        <w:tc>
          <w:tcPr>
            <w:tcW w:w="1134" w:type="dxa"/>
            <w:tcBorders>
              <w:bottom w:val="nil"/>
            </w:tcBorders>
            <w:vAlign w:val="center"/>
          </w:tcPr>
          <w:p w14:paraId="3D7036B5" w14:textId="77777777" w:rsidR="00BD2654" w:rsidRDefault="00BD2654" w:rsidP="00BD2654">
            <w:pPr>
              <w:rPr>
                <w:rFonts w:cstheme="minorHAnsi"/>
              </w:rPr>
            </w:pPr>
            <w:r w:rsidRPr="007801A8">
              <w:rPr>
                <w:rFonts w:cstheme="minorHAnsi"/>
              </w:rPr>
              <w:t>0.000</w:t>
            </w:r>
          </w:p>
          <w:p w14:paraId="3B6CB8A1" w14:textId="61BF15FC" w:rsidR="00CC767F" w:rsidRPr="000E4666" w:rsidRDefault="00CC767F" w:rsidP="00BD2654">
            <w:pPr>
              <w:rPr>
                <w:rFonts w:cstheme="minorHAnsi"/>
              </w:rPr>
            </w:pPr>
            <w:r>
              <w:rPr>
                <w:rFonts w:cstheme="minorHAnsi"/>
              </w:rPr>
              <w:t>(0.004)</w:t>
            </w:r>
          </w:p>
        </w:tc>
        <w:tc>
          <w:tcPr>
            <w:tcW w:w="1276" w:type="dxa"/>
            <w:tcBorders>
              <w:bottom w:val="nil"/>
            </w:tcBorders>
            <w:vAlign w:val="center"/>
          </w:tcPr>
          <w:p w14:paraId="660066D5" w14:textId="77777777" w:rsidR="00BD2654" w:rsidRDefault="00BD2654" w:rsidP="00BD2654">
            <w:pPr>
              <w:rPr>
                <w:rFonts w:cstheme="minorHAnsi"/>
              </w:rPr>
            </w:pPr>
            <w:r w:rsidRPr="007801A8">
              <w:rPr>
                <w:rFonts w:cstheme="minorHAnsi"/>
              </w:rPr>
              <w:t>0.01</w:t>
            </w:r>
          </w:p>
          <w:p w14:paraId="54F3D579" w14:textId="01A4F2FD" w:rsidR="00CC767F" w:rsidRPr="000E4666" w:rsidRDefault="00CC767F" w:rsidP="00BD2654">
            <w:pPr>
              <w:rPr>
                <w:rFonts w:cstheme="minorHAnsi"/>
              </w:rPr>
            </w:pPr>
            <w:r>
              <w:rPr>
                <w:rFonts w:cstheme="minorHAnsi"/>
              </w:rPr>
              <w:t>(0.32)</w:t>
            </w:r>
          </w:p>
        </w:tc>
      </w:tr>
      <w:tr w:rsidR="008226FA" w:rsidRPr="009D2F95" w14:paraId="787EA3D6" w14:textId="77777777" w:rsidTr="00BC1909">
        <w:tc>
          <w:tcPr>
            <w:tcW w:w="1271" w:type="dxa"/>
            <w:tcBorders>
              <w:top w:val="nil"/>
              <w:bottom w:val="nil"/>
            </w:tcBorders>
            <w:vAlign w:val="center"/>
          </w:tcPr>
          <w:p w14:paraId="6D19BC17" w14:textId="2AF87044" w:rsidR="00BD2654" w:rsidRPr="000E4666" w:rsidRDefault="00BD2654">
            <w:pPr>
              <w:rPr>
                <w:rFonts w:cstheme="minorHAnsi"/>
                <w:i/>
              </w:rPr>
            </w:pPr>
            <w:r w:rsidRPr="000E4666">
              <w:rPr>
                <w:rFonts w:cstheme="minorHAnsi"/>
                <w:i/>
              </w:rPr>
              <w:t>SDEarn</w:t>
            </w:r>
          </w:p>
        </w:tc>
        <w:tc>
          <w:tcPr>
            <w:tcW w:w="709" w:type="dxa"/>
            <w:tcBorders>
              <w:top w:val="nil"/>
              <w:bottom w:val="nil"/>
            </w:tcBorders>
            <w:vAlign w:val="center"/>
          </w:tcPr>
          <w:p w14:paraId="0F51A7EF"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top w:val="nil"/>
              <w:bottom w:val="nil"/>
            </w:tcBorders>
            <w:vAlign w:val="center"/>
          </w:tcPr>
          <w:p w14:paraId="4AA42CC1" w14:textId="77777777" w:rsidR="00BD2654" w:rsidRPr="00043286" w:rsidRDefault="00BD2654" w:rsidP="00BD2654">
            <w:pPr>
              <w:rPr>
                <w:rFonts w:ascii="Calibri" w:hAnsi="Calibri" w:cs="Calibri"/>
                <w:color w:val="000000"/>
              </w:rPr>
            </w:pPr>
            <w:r w:rsidRPr="00043286">
              <w:rPr>
                <w:rFonts w:ascii="Calibri" w:hAnsi="Calibri" w:cs="Calibri"/>
                <w:color w:val="000000"/>
              </w:rPr>
              <w:t>0.119</w:t>
            </w:r>
          </w:p>
          <w:p w14:paraId="1755B30B" w14:textId="77777777" w:rsidR="00BD2654" w:rsidRPr="000E4666" w:rsidRDefault="00BD2654" w:rsidP="00BD2654">
            <w:pPr>
              <w:rPr>
                <w:rFonts w:cstheme="minorHAnsi"/>
              </w:rPr>
            </w:pPr>
            <w:r w:rsidRPr="00043286">
              <w:rPr>
                <w:rFonts w:ascii="Calibri" w:hAnsi="Calibri" w:cs="Calibri"/>
                <w:color w:val="000000"/>
              </w:rPr>
              <w:t>(0.056)</w:t>
            </w:r>
          </w:p>
        </w:tc>
        <w:tc>
          <w:tcPr>
            <w:tcW w:w="709" w:type="dxa"/>
            <w:tcBorders>
              <w:top w:val="nil"/>
              <w:bottom w:val="nil"/>
            </w:tcBorders>
            <w:vAlign w:val="center"/>
          </w:tcPr>
          <w:p w14:paraId="4DC2790C" w14:textId="1D88FE79" w:rsidR="00BD2654" w:rsidRPr="000E4666" w:rsidRDefault="00BD2654">
            <w:pPr>
              <w:rPr>
                <w:rFonts w:cstheme="minorHAnsi"/>
              </w:rPr>
            </w:pPr>
            <w:r w:rsidRPr="001C2792">
              <w:rPr>
                <w:rFonts w:cstheme="minorHAnsi"/>
              </w:rPr>
              <w:t>97</w:t>
            </w:r>
          </w:p>
        </w:tc>
        <w:tc>
          <w:tcPr>
            <w:tcW w:w="1134" w:type="dxa"/>
            <w:tcBorders>
              <w:top w:val="nil"/>
              <w:bottom w:val="nil"/>
            </w:tcBorders>
            <w:vAlign w:val="center"/>
          </w:tcPr>
          <w:p w14:paraId="2FA11114" w14:textId="77777777" w:rsidR="00BD2654" w:rsidRDefault="00BD2654" w:rsidP="00BD2654">
            <w:pPr>
              <w:rPr>
                <w:rFonts w:cstheme="minorHAnsi"/>
              </w:rPr>
            </w:pPr>
            <w:r w:rsidRPr="007801A8">
              <w:rPr>
                <w:rFonts w:cstheme="minorHAnsi"/>
              </w:rPr>
              <w:t>0.128</w:t>
            </w:r>
          </w:p>
          <w:p w14:paraId="062A4D05" w14:textId="4B621696" w:rsidR="00CC767F" w:rsidRPr="000E4666" w:rsidRDefault="00CC767F" w:rsidP="00BD2654">
            <w:pPr>
              <w:rPr>
                <w:rFonts w:cstheme="minorHAnsi"/>
              </w:rPr>
            </w:pPr>
            <w:r>
              <w:rPr>
                <w:rFonts w:cstheme="minorHAnsi"/>
              </w:rPr>
              <w:t>(0.063)</w:t>
            </w:r>
          </w:p>
        </w:tc>
        <w:tc>
          <w:tcPr>
            <w:tcW w:w="708" w:type="dxa"/>
            <w:tcBorders>
              <w:top w:val="nil"/>
              <w:bottom w:val="nil"/>
            </w:tcBorders>
            <w:vAlign w:val="center"/>
          </w:tcPr>
          <w:p w14:paraId="1FD96879" w14:textId="0E20B745" w:rsidR="00BD2654" w:rsidRPr="000E4666" w:rsidRDefault="00BD2654" w:rsidP="00BD2654">
            <w:pPr>
              <w:rPr>
                <w:rFonts w:cstheme="minorHAnsi"/>
              </w:rPr>
            </w:pPr>
            <w:r w:rsidRPr="007801A8">
              <w:rPr>
                <w:rFonts w:cstheme="minorHAnsi"/>
              </w:rPr>
              <w:t>142</w:t>
            </w:r>
          </w:p>
        </w:tc>
        <w:tc>
          <w:tcPr>
            <w:tcW w:w="1134" w:type="dxa"/>
            <w:tcBorders>
              <w:top w:val="nil"/>
              <w:bottom w:val="nil"/>
            </w:tcBorders>
            <w:vAlign w:val="center"/>
          </w:tcPr>
          <w:p w14:paraId="70C223F0" w14:textId="77777777" w:rsidR="00BD2654" w:rsidRDefault="00BD2654" w:rsidP="00BD2654">
            <w:pPr>
              <w:rPr>
                <w:rFonts w:cstheme="minorHAnsi"/>
              </w:rPr>
            </w:pPr>
            <w:r w:rsidRPr="007801A8">
              <w:rPr>
                <w:rFonts w:cstheme="minorHAnsi"/>
              </w:rPr>
              <w:t>0.113</w:t>
            </w:r>
          </w:p>
          <w:p w14:paraId="276BDA57" w14:textId="7A666310" w:rsidR="00CC767F" w:rsidRPr="000E4666" w:rsidRDefault="00CC767F" w:rsidP="00BD2654">
            <w:pPr>
              <w:rPr>
                <w:rFonts w:cstheme="minorHAnsi"/>
              </w:rPr>
            </w:pPr>
            <w:r>
              <w:rPr>
                <w:rFonts w:cstheme="minorHAnsi"/>
              </w:rPr>
              <w:t>(0.047)</w:t>
            </w:r>
          </w:p>
        </w:tc>
        <w:tc>
          <w:tcPr>
            <w:tcW w:w="1134" w:type="dxa"/>
            <w:tcBorders>
              <w:top w:val="nil"/>
              <w:bottom w:val="nil"/>
            </w:tcBorders>
            <w:vAlign w:val="center"/>
          </w:tcPr>
          <w:p w14:paraId="49DAD15D" w14:textId="77777777" w:rsidR="00BD2654" w:rsidRDefault="00BD2654" w:rsidP="00BD2654">
            <w:pPr>
              <w:rPr>
                <w:rFonts w:cstheme="minorHAnsi"/>
              </w:rPr>
            </w:pPr>
            <w:r w:rsidRPr="007801A8">
              <w:rPr>
                <w:rFonts w:cstheme="minorHAnsi"/>
              </w:rPr>
              <w:t>0.015</w:t>
            </w:r>
          </w:p>
          <w:p w14:paraId="0042BCDB" w14:textId="50CF233C" w:rsidR="00CC767F" w:rsidRPr="000E4666" w:rsidRDefault="00CC767F" w:rsidP="00BD2654">
            <w:pPr>
              <w:rPr>
                <w:rFonts w:cstheme="minorHAnsi"/>
              </w:rPr>
            </w:pPr>
            <w:r>
              <w:rPr>
                <w:rFonts w:cstheme="minorHAnsi"/>
              </w:rPr>
              <w:t>(0.016)</w:t>
            </w:r>
          </w:p>
        </w:tc>
        <w:tc>
          <w:tcPr>
            <w:tcW w:w="1276" w:type="dxa"/>
            <w:tcBorders>
              <w:top w:val="nil"/>
              <w:bottom w:val="nil"/>
            </w:tcBorders>
            <w:vAlign w:val="center"/>
          </w:tcPr>
          <w:p w14:paraId="28F39788" w14:textId="77777777" w:rsidR="00BD2654" w:rsidRDefault="00BD2654" w:rsidP="00BD2654">
            <w:pPr>
              <w:rPr>
                <w:rFonts w:cstheme="minorHAnsi"/>
              </w:rPr>
            </w:pPr>
            <w:r w:rsidRPr="007801A8">
              <w:rPr>
                <w:rFonts w:cstheme="minorHAnsi"/>
              </w:rPr>
              <w:t>0.55</w:t>
            </w:r>
          </w:p>
          <w:p w14:paraId="1B53CA25" w14:textId="597E9A37" w:rsidR="00CC767F" w:rsidRPr="000E4666" w:rsidRDefault="00CC767F" w:rsidP="00BD2654">
            <w:pPr>
              <w:rPr>
                <w:rFonts w:cstheme="minorHAnsi"/>
              </w:rPr>
            </w:pPr>
            <w:r>
              <w:rPr>
                <w:rFonts w:cstheme="minorHAnsi"/>
              </w:rPr>
              <w:t>(1.16)</w:t>
            </w:r>
          </w:p>
        </w:tc>
      </w:tr>
      <w:tr w:rsidR="008226FA" w:rsidRPr="009D2F95" w14:paraId="5327CFC9" w14:textId="77777777" w:rsidTr="00BC1909">
        <w:tc>
          <w:tcPr>
            <w:tcW w:w="1271" w:type="dxa"/>
            <w:tcBorders>
              <w:top w:val="nil"/>
              <w:bottom w:val="nil"/>
            </w:tcBorders>
            <w:vAlign w:val="center"/>
          </w:tcPr>
          <w:p w14:paraId="2D605263" w14:textId="77777777" w:rsidR="00BD2654" w:rsidRPr="000E4666" w:rsidRDefault="00BD2654">
            <w:pPr>
              <w:rPr>
                <w:rFonts w:cstheme="minorHAnsi"/>
                <w:i/>
              </w:rPr>
            </w:pPr>
            <w:r w:rsidRPr="000E4666">
              <w:rPr>
                <w:rFonts w:cstheme="minorHAnsi"/>
                <w:bCs/>
                <w:i/>
              </w:rPr>
              <w:t>Debt</w:t>
            </w:r>
          </w:p>
        </w:tc>
        <w:tc>
          <w:tcPr>
            <w:tcW w:w="709" w:type="dxa"/>
            <w:tcBorders>
              <w:top w:val="nil"/>
              <w:bottom w:val="nil"/>
            </w:tcBorders>
            <w:vAlign w:val="center"/>
          </w:tcPr>
          <w:p w14:paraId="63456D5D"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top w:val="nil"/>
              <w:bottom w:val="nil"/>
            </w:tcBorders>
            <w:vAlign w:val="center"/>
          </w:tcPr>
          <w:p w14:paraId="79817AF9" w14:textId="77777777" w:rsidR="00BD2654" w:rsidRPr="00043286" w:rsidRDefault="00BD2654" w:rsidP="00BD2654">
            <w:pPr>
              <w:rPr>
                <w:rFonts w:ascii="Calibri" w:hAnsi="Calibri" w:cs="Calibri"/>
                <w:color w:val="000000"/>
              </w:rPr>
            </w:pPr>
            <w:r w:rsidRPr="00043286">
              <w:rPr>
                <w:rFonts w:ascii="Calibri" w:hAnsi="Calibri" w:cs="Calibri"/>
                <w:color w:val="000000"/>
              </w:rPr>
              <w:t>0.281</w:t>
            </w:r>
          </w:p>
          <w:p w14:paraId="77579BC3" w14:textId="77777777" w:rsidR="00BD2654" w:rsidRPr="000E4666" w:rsidRDefault="00BD2654" w:rsidP="00BD2654">
            <w:pPr>
              <w:rPr>
                <w:rFonts w:cstheme="minorHAnsi"/>
              </w:rPr>
            </w:pPr>
            <w:r w:rsidRPr="00043286">
              <w:rPr>
                <w:rFonts w:ascii="Calibri" w:hAnsi="Calibri" w:cs="Calibri"/>
                <w:color w:val="000000"/>
              </w:rPr>
              <w:t>(0.232)</w:t>
            </w:r>
          </w:p>
        </w:tc>
        <w:tc>
          <w:tcPr>
            <w:tcW w:w="709" w:type="dxa"/>
            <w:tcBorders>
              <w:top w:val="nil"/>
              <w:bottom w:val="nil"/>
            </w:tcBorders>
            <w:vAlign w:val="center"/>
          </w:tcPr>
          <w:p w14:paraId="76FF8B09" w14:textId="2B971C2F" w:rsidR="00BD2654" w:rsidRPr="000E4666" w:rsidRDefault="00BD2654">
            <w:pPr>
              <w:rPr>
                <w:rFonts w:cstheme="minorHAnsi"/>
              </w:rPr>
            </w:pPr>
            <w:r w:rsidRPr="001C2792">
              <w:rPr>
                <w:rFonts w:cstheme="minorHAnsi"/>
              </w:rPr>
              <w:t>97</w:t>
            </w:r>
          </w:p>
        </w:tc>
        <w:tc>
          <w:tcPr>
            <w:tcW w:w="1134" w:type="dxa"/>
            <w:tcBorders>
              <w:top w:val="nil"/>
              <w:bottom w:val="nil"/>
            </w:tcBorders>
            <w:vAlign w:val="center"/>
          </w:tcPr>
          <w:p w14:paraId="686DE318" w14:textId="77777777" w:rsidR="00BD2654" w:rsidRDefault="00BD2654" w:rsidP="00BD2654">
            <w:pPr>
              <w:rPr>
                <w:rFonts w:cstheme="minorHAnsi"/>
              </w:rPr>
            </w:pPr>
            <w:r w:rsidRPr="007801A8">
              <w:rPr>
                <w:rFonts w:cstheme="minorHAnsi"/>
              </w:rPr>
              <w:t>0.279</w:t>
            </w:r>
          </w:p>
          <w:p w14:paraId="5E1EE815" w14:textId="5AE460F3" w:rsidR="00CC767F" w:rsidRPr="000E4666" w:rsidRDefault="00CC767F" w:rsidP="00BD2654">
            <w:pPr>
              <w:rPr>
                <w:rFonts w:cstheme="minorHAnsi"/>
              </w:rPr>
            </w:pPr>
            <w:r>
              <w:rPr>
                <w:rFonts w:cstheme="minorHAnsi"/>
              </w:rPr>
              <w:t>(0.258)</w:t>
            </w:r>
          </w:p>
        </w:tc>
        <w:tc>
          <w:tcPr>
            <w:tcW w:w="708" w:type="dxa"/>
            <w:tcBorders>
              <w:top w:val="nil"/>
              <w:bottom w:val="nil"/>
            </w:tcBorders>
            <w:vAlign w:val="center"/>
          </w:tcPr>
          <w:p w14:paraId="62BA4DAF" w14:textId="3284F1E8" w:rsidR="00BD2654" w:rsidRPr="000E4666" w:rsidRDefault="00BD2654" w:rsidP="00BD2654">
            <w:pPr>
              <w:rPr>
                <w:rFonts w:cstheme="minorHAnsi"/>
              </w:rPr>
            </w:pPr>
            <w:r w:rsidRPr="007801A8">
              <w:rPr>
                <w:rFonts w:cstheme="minorHAnsi"/>
              </w:rPr>
              <w:t>142</w:t>
            </w:r>
          </w:p>
        </w:tc>
        <w:tc>
          <w:tcPr>
            <w:tcW w:w="1134" w:type="dxa"/>
            <w:tcBorders>
              <w:top w:val="nil"/>
              <w:bottom w:val="nil"/>
            </w:tcBorders>
            <w:vAlign w:val="center"/>
          </w:tcPr>
          <w:p w14:paraId="232EB32C" w14:textId="77777777" w:rsidR="00BD2654" w:rsidRDefault="00BD2654" w:rsidP="00BD2654">
            <w:pPr>
              <w:rPr>
                <w:rFonts w:cstheme="minorHAnsi"/>
              </w:rPr>
            </w:pPr>
            <w:r w:rsidRPr="007801A8">
              <w:rPr>
                <w:rFonts w:cstheme="minorHAnsi"/>
              </w:rPr>
              <w:t>0.282</w:t>
            </w:r>
          </w:p>
          <w:p w14:paraId="4C369704" w14:textId="03859BD4" w:rsidR="00CC767F" w:rsidRPr="000E4666" w:rsidRDefault="00CC767F" w:rsidP="00BD2654">
            <w:pPr>
              <w:rPr>
                <w:rFonts w:cstheme="minorHAnsi"/>
              </w:rPr>
            </w:pPr>
            <w:r>
              <w:rPr>
                <w:rFonts w:cstheme="minorHAnsi"/>
              </w:rPr>
              <w:t>(0.186)</w:t>
            </w:r>
          </w:p>
        </w:tc>
        <w:tc>
          <w:tcPr>
            <w:tcW w:w="1134" w:type="dxa"/>
            <w:tcBorders>
              <w:top w:val="nil"/>
              <w:bottom w:val="nil"/>
            </w:tcBorders>
            <w:vAlign w:val="center"/>
          </w:tcPr>
          <w:p w14:paraId="665AD263" w14:textId="77777777" w:rsidR="00BD2654" w:rsidRDefault="00BD2654" w:rsidP="00BD2654">
            <w:pPr>
              <w:rPr>
                <w:rFonts w:cstheme="minorHAnsi"/>
              </w:rPr>
            </w:pPr>
            <w:r w:rsidRPr="007801A8">
              <w:rPr>
                <w:rFonts w:cstheme="minorHAnsi"/>
              </w:rPr>
              <w:t>-0.003</w:t>
            </w:r>
          </w:p>
          <w:p w14:paraId="3E4FC34B" w14:textId="4598E3CB" w:rsidR="00CC767F" w:rsidRPr="000E4666" w:rsidRDefault="00CC767F" w:rsidP="00BD2654">
            <w:pPr>
              <w:rPr>
                <w:rFonts w:cstheme="minorHAnsi"/>
              </w:rPr>
            </w:pPr>
            <w:r>
              <w:rPr>
                <w:rFonts w:cstheme="minorHAnsi"/>
              </w:rPr>
              <w:t>(0.072)</w:t>
            </w:r>
          </w:p>
        </w:tc>
        <w:tc>
          <w:tcPr>
            <w:tcW w:w="1276" w:type="dxa"/>
            <w:tcBorders>
              <w:top w:val="nil"/>
              <w:bottom w:val="nil"/>
            </w:tcBorders>
            <w:vAlign w:val="center"/>
          </w:tcPr>
          <w:p w14:paraId="31145CC7" w14:textId="77777777" w:rsidR="00BD2654" w:rsidRDefault="00BD2654" w:rsidP="00BD2654">
            <w:pPr>
              <w:rPr>
                <w:rFonts w:cstheme="minorHAnsi"/>
              </w:rPr>
            </w:pPr>
            <w:r w:rsidRPr="007801A8">
              <w:rPr>
                <w:rFonts w:cstheme="minorHAnsi"/>
              </w:rPr>
              <w:t>-0.05</w:t>
            </w:r>
          </w:p>
          <w:p w14:paraId="1503F056" w14:textId="3F3CB2CD" w:rsidR="00CC767F" w:rsidRPr="000E4666" w:rsidRDefault="00CC767F" w:rsidP="00BD2654">
            <w:pPr>
              <w:rPr>
                <w:rFonts w:cstheme="minorHAnsi"/>
              </w:rPr>
            </w:pPr>
            <w:r>
              <w:rPr>
                <w:rFonts w:cstheme="minorHAnsi"/>
              </w:rPr>
              <w:t>(2.19)**</w:t>
            </w:r>
          </w:p>
        </w:tc>
      </w:tr>
      <w:tr w:rsidR="008226FA" w:rsidRPr="009D2F95" w14:paraId="6E8DA5BB" w14:textId="77777777" w:rsidTr="00BC1909">
        <w:tc>
          <w:tcPr>
            <w:tcW w:w="1271" w:type="dxa"/>
            <w:tcBorders>
              <w:top w:val="nil"/>
              <w:bottom w:val="nil"/>
            </w:tcBorders>
            <w:vAlign w:val="center"/>
          </w:tcPr>
          <w:p w14:paraId="395B22DE" w14:textId="77777777" w:rsidR="00BD2654" w:rsidRPr="000E4666" w:rsidRDefault="00BD2654">
            <w:pPr>
              <w:rPr>
                <w:rFonts w:cstheme="minorHAnsi"/>
                <w:i/>
                <w:vertAlign w:val="subscript"/>
              </w:rPr>
            </w:pPr>
            <w:r w:rsidRPr="00043286">
              <w:rPr>
                <w:rFonts w:cstheme="minorHAnsi"/>
                <w:bCs/>
                <w:i/>
              </w:rPr>
              <w:t>CFD</w:t>
            </w:r>
            <w:r w:rsidRPr="00043286">
              <w:rPr>
                <w:rFonts w:cstheme="minorHAnsi"/>
                <w:bCs/>
                <w:i/>
                <w:vertAlign w:val="subscript"/>
              </w:rPr>
              <w:t>H</w:t>
            </w:r>
          </w:p>
        </w:tc>
        <w:tc>
          <w:tcPr>
            <w:tcW w:w="709" w:type="dxa"/>
            <w:tcBorders>
              <w:top w:val="nil"/>
              <w:bottom w:val="nil"/>
            </w:tcBorders>
            <w:vAlign w:val="center"/>
          </w:tcPr>
          <w:p w14:paraId="7855781C"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top w:val="nil"/>
              <w:bottom w:val="nil"/>
            </w:tcBorders>
            <w:vAlign w:val="center"/>
          </w:tcPr>
          <w:p w14:paraId="01EDC5BC" w14:textId="77777777" w:rsidR="00BD2654" w:rsidRPr="00043286" w:rsidRDefault="00BD2654" w:rsidP="00BD2654">
            <w:pPr>
              <w:rPr>
                <w:rFonts w:ascii="Calibri" w:hAnsi="Calibri" w:cs="Calibri"/>
                <w:color w:val="000000"/>
              </w:rPr>
            </w:pPr>
            <w:r w:rsidRPr="00043286">
              <w:rPr>
                <w:rFonts w:ascii="Calibri" w:hAnsi="Calibri" w:cs="Calibri"/>
                <w:color w:val="000000"/>
              </w:rPr>
              <w:t>0.494</w:t>
            </w:r>
          </w:p>
          <w:p w14:paraId="19C75EA5" w14:textId="77777777" w:rsidR="00BD2654" w:rsidRPr="000E4666" w:rsidRDefault="00BD2654" w:rsidP="00BD2654">
            <w:pPr>
              <w:rPr>
                <w:rFonts w:cstheme="minorHAnsi"/>
              </w:rPr>
            </w:pPr>
            <w:r w:rsidRPr="00043286">
              <w:rPr>
                <w:rFonts w:ascii="Calibri" w:hAnsi="Calibri" w:cs="Calibri"/>
                <w:color w:val="000000"/>
              </w:rPr>
              <w:t>(0.000)</w:t>
            </w:r>
          </w:p>
        </w:tc>
        <w:tc>
          <w:tcPr>
            <w:tcW w:w="709" w:type="dxa"/>
            <w:tcBorders>
              <w:top w:val="nil"/>
              <w:bottom w:val="nil"/>
            </w:tcBorders>
            <w:vAlign w:val="center"/>
          </w:tcPr>
          <w:p w14:paraId="10868CE7" w14:textId="5F2101B4" w:rsidR="00BD2654" w:rsidRPr="000E4666" w:rsidRDefault="00BD2654">
            <w:pPr>
              <w:rPr>
                <w:rFonts w:cstheme="minorHAnsi"/>
              </w:rPr>
            </w:pPr>
            <w:r w:rsidRPr="001C2792">
              <w:rPr>
                <w:rFonts w:cstheme="minorHAnsi"/>
              </w:rPr>
              <w:t>97</w:t>
            </w:r>
          </w:p>
        </w:tc>
        <w:tc>
          <w:tcPr>
            <w:tcW w:w="1134" w:type="dxa"/>
            <w:tcBorders>
              <w:top w:val="nil"/>
              <w:bottom w:val="nil"/>
            </w:tcBorders>
            <w:vAlign w:val="center"/>
          </w:tcPr>
          <w:p w14:paraId="724B88AC" w14:textId="77777777" w:rsidR="00BD2654" w:rsidRDefault="00BD2654" w:rsidP="00BD2654">
            <w:pPr>
              <w:rPr>
                <w:rFonts w:cstheme="minorHAnsi"/>
              </w:rPr>
            </w:pPr>
            <w:r w:rsidRPr="007801A8">
              <w:rPr>
                <w:rFonts w:cstheme="minorHAnsi"/>
              </w:rPr>
              <w:t>0.526</w:t>
            </w:r>
          </w:p>
          <w:p w14:paraId="47ADC6B2" w14:textId="7A782A50" w:rsidR="00CC767F" w:rsidRPr="000E4666" w:rsidRDefault="00CC767F" w:rsidP="00BD2654">
            <w:pPr>
              <w:rPr>
                <w:rFonts w:cstheme="minorHAnsi"/>
              </w:rPr>
            </w:pPr>
            <w:r w:rsidRPr="00043286">
              <w:rPr>
                <w:rFonts w:ascii="Calibri" w:hAnsi="Calibri" w:cs="Calibri"/>
                <w:color w:val="000000"/>
              </w:rPr>
              <w:t>(0.000)</w:t>
            </w:r>
          </w:p>
        </w:tc>
        <w:tc>
          <w:tcPr>
            <w:tcW w:w="708" w:type="dxa"/>
            <w:tcBorders>
              <w:top w:val="nil"/>
              <w:bottom w:val="nil"/>
            </w:tcBorders>
            <w:vAlign w:val="center"/>
          </w:tcPr>
          <w:p w14:paraId="70AC6F7B" w14:textId="7B0EF24C" w:rsidR="00BD2654" w:rsidRPr="000E4666" w:rsidRDefault="00BD2654" w:rsidP="00BD2654">
            <w:pPr>
              <w:rPr>
                <w:rFonts w:cstheme="minorHAnsi"/>
              </w:rPr>
            </w:pPr>
            <w:r w:rsidRPr="007801A8">
              <w:rPr>
                <w:rFonts w:cstheme="minorHAnsi"/>
              </w:rPr>
              <w:t>142</w:t>
            </w:r>
          </w:p>
        </w:tc>
        <w:tc>
          <w:tcPr>
            <w:tcW w:w="1134" w:type="dxa"/>
            <w:tcBorders>
              <w:top w:val="nil"/>
              <w:bottom w:val="nil"/>
            </w:tcBorders>
            <w:vAlign w:val="center"/>
          </w:tcPr>
          <w:p w14:paraId="23FBC360" w14:textId="77777777" w:rsidR="00BD2654" w:rsidRDefault="00BD2654" w:rsidP="00BD2654">
            <w:pPr>
              <w:rPr>
                <w:rFonts w:cstheme="minorHAnsi"/>
              </w:rPr>
            </w:pPr>
            <w:r w:rsidRPr="007801A8">
              <w:rPr>
                <w:rFonts w:cstheme="minorHAnsi"/>
              </w:rPr>
              <w:t>0.472</w:t>
            </w:r>
          </w:p>
          <w:p w14:paraId="34108C8F" w14:textId="19998922" w:rsidR="00CC767F" w:rsidRPr="000E4666" w:rsidRDefault="00CC767F" w:rsidP="00BD2654">
            <w:pPr>
              <w:rPr>
                <w:rFonts w:cstheme="minorHAnsi"/>
              </w:rPr>
            </w:pPr>
            <w:r w:rsidRPr="00043286">
              <w:rPr>
                <w:rFonts w:ascii="Calibri" w:hAnsi="Calibri" w:cs="Calibri"/>
                <w:color w:val="000000"/>
              </w:rPr>
              <w:t>(0.000)</w:t>
            </w:r>
          </w:p>
        </w:tc>
        <w:tc>
          <w:tcPr>
            <w:tcW w:w="1134" w:type="dxa"/>
            <w:tcBorders>
              <w:top w:val="nil"/>
              <w:bottom w:val="nil"/>
            </w:tcBorders>
            <w:vAlign w:val="center"/>
          </w:tcPr>
          <w:p w14:paraId="6B59FD2B" w14:textId="77777777" w:rsidR="00BD2654" w:rsidRDefault="00BD2654" w:rsidP="00BD2654">
            <w:pPr>
              <w:rPr>
                <w:rFonts w:cstheme="minorHAnsi"/>
              </w:rPr>
            </w:pPr>
            <w:r w:rsidRPr="007801A8">
              <w:rPr>
                <w:rFonts w:cstheme="minorHAnsi"/>
              </w:rPr>
              <w:t>0.054</w:t>
            </w:r>
          </w:p>
          <w:p w14:paraId="1ACD5F2F" w14:textId="2157F323" w:rsidR="00CC767F" w:rsidRPr="000E4666" w:rsidRDefault="00CC767F" w:rsidP="00BD2654">
            <w:pPr>
              <w:rPr>
                <w:rFonts w:cstheme="minorHAnsi"/>
              </w:rPr>
            </w:pPr>
            <w:r w:rsidRPr="00043286">
              <w:rPr>
                <w:rFonts w:ascii="Calibri" w:hAnsi="Calibri" w:cs="Calibri"/>
                <w:color w:val="000000"/>
              </w:rPr>
              <w:t>(0.000)</w:t>
            </w:r>
          </w:p>
        </w:tc>
        <w:tc>
          <w:tcPr>
            <w:tcW w:w="1276" w:type="dxa"/>
            <w:tcBorders>
              <w:top w:val="nil"/>
              <w:bottom w:val="nil"/>
            </w:tcBorders>
            <w:vAlign w:val="center"/>
          </w:tcPr>
          <w:p w14:paraId="7082BFC5" w14:textId="77777777" w:rsidR="00BD2654" w:rsidRDefault="00BD2654" w:rsidP="00BD2654">
            <w:pPr>
              <w:rPr>
                <w:rFonts w:cstheme="minorHAnsi"/>
              </w:rPr>
            </w:pPr>
            <w:r w:rsidRPr="007801A8">
              <w:rPr>
                <w:rFonts w:cstheme="minorHAnsi"/>
              </w:rPr>
              <w:t>0.82</w:t>
            </w:r>
          </w:p>
          <w:p w14:paraId="53C959FA" w14:textId="5F72A75E" w:rsidR="00CC767F" w:rsidRPr="000E4666" w:rsidRDefault="002A2E4B" w:rsidP="00BD2654">
            <w:pPr>
              <w:rPr>
                <w:rFonts w:cstheme="minorHAnsi"/>
              </w:rPr>
            </w:pPr>
            <w:r>
              <w:rPr>
                <w:rFonts w:cstheme="minorHAnsi"/>
              </w:rPr>
              <w:t>(</w:t>
            </w:r>
            <w:r w:rsidR="00CC767F">
              <w:rPr>
                <w:rFonts w:cstheme="minorHAnsi"/>
              </w:rPr>
              <w:t>0.82</w:t>
            </w:r>
            <w:r>
              <w:rPr>
                <w:rFonts w:cstheme="minorHAnsi"/>
              </w:rPr>
              <w:t>)</w:t>
            </w:r>
          </w:p>
        </w:tc>
      </w:tr>
      <w:tr w:rsidR="008226FA" w:rsidRPr="009D2F95" w14:paraId="0FDD4260" w14:textId="77777777" w:rsidTr="00BC1909">
        <w:tc>
          <w:tcPr>
            <w:tcW w:w="1271" w:type="dxa"/>
            <w:tcBorders>
              <w:top w:val="nil"/>
              <w:bottom w:val="nil"/>
            </w:tcBorders>
            <w:vAlign w:val="center"/>
          </w:tcPr>
          <w:p w14:paraId="4B1BF5F0" w14:textId="77777777" w:rsidR="00BD2654" w:rsidRPr="000E4666" w:rsidRDefault="00BD2654">
            <w:pPr>
              <w:rPr>
                <w:rFonts w:cstheme="minorHAnsi"/>
                <w:i/>
                <w:vertAlign w:val="subscript"/>
              </w:rPr>
            </w:pPr>
            <w:r w:rsidRPr="00043286">
              <w:rPr>
                <w:rFonts w:cstheme="minorHAnsi"/>
                <w:bCs/>
                <w:i/>
              </w:rPr>
              <w:t>MBD</w:t>
            </w:r>
            <w:r w:rsidRPr="00043286">
              <w:rPr>
                <w:rFonts w:cstheme="minorHAnsi"/>
                <w:bCs/>
                <w:i/>
                <w:vertAlign w:val="subscript"/>
              </w:rPr>
              <w:t>L</w:t>
            </w:r>
          </w:p>
        </w:tc>
        <w:tc>
          <w:tcPr>
            <w:tcW w:w="709" w:type="dxa"/>
            <w:tcBorders>
              <w:top w:val="nil"/>
              <w:bottom w:val="nil"/>
            </w:tcBorders>
            <w:vAlign w:val="center"/>
          </w:tcPr>
          <w:p w14:paraId="0AB6CD89"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top w:val="nil"/>
              <w:bottom w:val="nil"/>
            </w:tcBorders>
            <w:vAlign w:val="center"/>
          </w:tcPr>
          <w:p w14:paraId="21F7AFFA" w14:textId="77777777" w:rsidR="00BD2654" w:rsidRPr="00043286" w:rsidRDefault="00BD2654" w:rsidP="00BD2654">
            <w:pPr>
              <w:rPr>
                <w:rFonts w:ascii="Calibri" w:hAnsi="Calibri" w:cs="Calibri"/>
                <w:color w:val="000000"/>
              </w:rPr>
            </w:pPr>
            <w:r w:rsidRPr="00043286">
              <w:rPr>
                <w:rFonts w:ascii="Calibri" w:hAnsi="Calibri" w:cs="Calibri"/>
                <w:color w:val="000000"/>
              </w:rPr>
              <w:t>0.498</w:t>
            </w:r>
          </w:p>
          <w:p w14:paraId="3626CDEE" w14:textId="77777777" w:rsidR="00BD2654" w:rsidRPr="000E4666" w:rsidRDefault="00BD2654" w:rsidP="00BD2654">
            <w:pPr>
              <w:rPr>
                <w:rFonts w:cstheme="minorHAnsi"/>
              </w:rPr>
            </w:pPr>
            <w:r w:rsidRPr="00043286">
              <w:rPr>
                <w:rFonts w:ascii="Calibri" w:hAnsi="Calibri" w:cs="Calibri"/>
                <w:color w:val="000000"/>
              </w:rPr>
              <w:t>(0.000)</w:t>
            </w:r>
          </w:p>
        </w:tc>
        <w:tc>
          <w:tcPr>
            <w:tcW w:w="709" w:type="dxa"/>
            <w:tcBorders>
              <w:top w:val="nil"/>
              <w:bottom w:val="nil"/>
            </w:tcBorders>
            <w:vAlign w:val="center"/>
          </w:tcPr>
          <w:p w14:paraId="09B70193" w14:textId="104B2CF0" w:rsidR="00BD2654" w:rsidRPr="000E4666" w:rsidRDefault="00BD2654">
            <w:pPr>
              <w:rPr>
                <w:rFonts w:cstheme="minorHAnsi"/>
              </w:rPr>
            </w:pPr>
            <w:r w:rsidRPr="001C2792">
              <w:rPr>
                <w:rFonts w:cstheme="minorHAnsi"/>
              </w:rPr>
              <w:t>97</w:t>
            </w:r>
          </w:p>
        </w:tc>
        <w:tc>
          <w:tcPr>
            <w:tcW w:w="1134" w:type="dxa"/>
            <w:tcBorders>
              <w:top w:val="nil"/>
              <w:bottom w:val="nil"/>
            </w:tcBorders>
            <w:vAlign w:val="center"/>
          </w:tcPr>
          <w:p w14:paraId="059D380A" w14:textId="77777777" w:rsidR="00BD2654" w:rsidRDefault="00BD2654" w:rsidP="00BD2654">
            <w:pPr>
              <w:rPr>
                <w:rFonts w:cstheme="minorHAnsi"/>
              </w:rPr>
            </w:pPr>
            <w:r w:rsidRPr="007801A8">
              <w:rPr>
                <w:rFonts w:cstheme="minorHAnsi"/>
              </w:rPr>
              <w:t>0.536</w:t>
            </w:r>
          </w:p>
          <w:p w14:paraId="1AA3DB1A" w14:textId="31CA8314" w:rsidR="00CC767F" w:rsidRPr="000E4666" w:rsidRDefault="00CC767F" w:rsidP="00BD2654">
            <w:pPr>
              <w:rPr>
                <w:rFonts w:cstheme="minorHAnsi"/>
              </w:rPr>
            </w:pPr>
            <w:r w:rsidRPr="00043286">
              <w:rPr>
                <w:rFonts w:ascii="Calibri" w:hAnsi="Calibri" w:cs="Calibri"/>
                <w:color w:val="000000"/>
              </w:rPr>
              <w:t>(0.000)</w:t>
            </w:r>
          </w:p>
        </w:tc>
        <w:tc>
          <w:tcPr>
            <w:tcW w:w="708" w:type="dxa"/>
            <w:tcBorders>
              <w:top w:val="nil"/>
              <w:bottom w:val="nil"/>
            </w:tcBorders>
            <w:vAlign w:val="center"/>
          </w:tcPr>
          <w:p w14:paraId="1B1931AA" w14:textId="1569376E" w:rsidR="00BD2654" w:rsidRPr="000E4666" w:rsidRDefault="00BD2654" w:rsidP="00BD2654">
            <w:pPr>
              <w:rPr>
                <w:rFonts w:cstheme="minorHAnsi"/>
              </w:rPr>
            </w:pPr>
            <w:r w:rsidRPr="007801A8">
              <w:rPr>
                <w:rFonts w:cstheme="minorHAnsi"/>
              </w:rPr>
              <w:t>142</w:t>
            </w:r>
          </w:p>
        </w:tc>
        <w:tc>
          <w:tcPr>
            <w:tcW w:w="1134" w:type="dxa"/>
            <w:tcBorders>
              <w:top w:val="nil"/>
              <w:bottom w:val="nil"/>
            </w:tcBorders>
            <w:vAlign w:val="center"/>
          </w:tcPr>
          <w:p w14:paraId="33A538A5" w14:textId="77777777" w:rsidR="00BD2654" w:rsidRDefault="00BD2654" w:rsidP="00BD2654">
            <w:pPr>
              <w:rPr>
                <w:rFonts w:cstheme="minorHAnsi"/>
              </w:rPr>
            </w:pPr>
            <w:r w:rsidRPr="007801A8">
              <w:rPr>
                <w:rFonts w:cstheme="minorHAnsi"/>
              </w:rPr>
              <w:t>0.472</w:t>
            </w:r>
          </w:p>
          <w:p w14:paraId="13E3E6F6" w14:textId="0454960A" w:rsidR="00CC767F" w:rsidRPr="000E4666" w:rsidRDefault="00CC767F" w:rsidP="00BD2654">
            <w:pPr>
              <w:rPr>
                <w:rFonts w:cstheme="minorHAnsi"/>
              </w:rPr>
            </w:pPr>
            <w:r w:rsidRPr="00043286">
              <w:rPr>
                <w:rFonts w:ascii="Calibri" w:hAnsi="Calibri" w:cs="Calibri"/>
                <w:color w:val="000000"/>
              </w:rPr>
              <w:t>(0.000)</w:t>
            </w:r>
          </w:p>
        </w:tc>
        <w:tc>
          <w:tcPr>
            <w:tcW w:w="1134" w:type="dxa"/>
            <w:tcBorders>
              <w:top w:val="nil"/>
              <w:bottom w:val="nil"/>
            </w:tcBorders>
            <w:vAlign w:val="center"/>
          </w:tcPr>
          <w:p w14:paraId="6B4593D1" w14:textId="77777777" w:rsidR="00BD2654" w:rsidRDefault="00BD2654" w:rsidP="00BD2654">
            <w:pPr>
              <w:rPr>
                <w:rFonts w:cstheme="minorHAnsi"/>
              </w:rPr>
            </w:pPr>
            <w:r w:rsidRPr="007801A8">
              <w:rPr>
                <w:rFonts w:cstheme="minorHAnsi"/>
              </w:rPr>
              <w:t>0.064</w:t>
            </w:r>
          </w:p>
          <w:p w14:paraId="501B3857" w14:textId="2E18C483" w:rsidR="00CC767F" w:rsidRPr="000E4666" w:rsidRDefault="00CC767F" w:rsidP="00BD2654">
            <w:pPr>
              <w:rPr>
                <w:rFonts w:cstheme="minorHAnsi"/>
              </w:rPr>
            </w:pPr>
            <w:r w:rsidRPr="00043286">
              <w:rPr>
                <w:rFonts w:ascii="Calibri" w:hAnsi="Calibri" w:cs="Calibri"/>
                <w:color w:val="000000"/>
              </w:rPr>
              <w:t>(0.000)</w:t>
            </w:r>
          </w:p>
        </w:tc>
        <w:tc>
          <w:tcPr>
            <w:tcW w:w="1276" w:type="dxa"/>
            <w:tcBorders>
              <w:top w:val="nil"/>
              <w:bottom w:val="nil"/>
            </w:tcBorders>
            <w:vAlign w:val="center"/>
          </w:tcPr>
          <w:p w14:paraId="6A79CF77" w14:textId="77777777" w:rsidR="00BD2654" w:rsidRDefault="00BD2654" w:rsidP="00BD2654">
            <w:pPr>
              <w:rPr>
                <w:rFonts w:cstheme="minorHAnsi"/>
              </w:rPr>
            </w:pPr>
            <w:r w:rsidRPr="007801A8">
              <w:rPr>
                <w:rFonts w:cstheme="minorHAnsi"/>
              </w:rPr>
              <w:t>0.97</w:t>
            </w:r>
          </w:p>
          <w:p w14:paraId="3F4D3454" w14:textId="6C975EDE" w:rsidR="00CC767F" w:rsidRPr="000E4666" w:rsidRDefault="002A2E4B" w:rsidP="00BD2654">
            <w:pPr>
              <w:rPr>
                <w:rFonts w:cstheme="minorHAnsi"/>
              </w:rPr>
            </w:pPr>
            <w:r>
              <w:rPr>
                <w:rFonts w:cstheme="minorHAnsi"/>
              </w:rPr>
              <w:t>(</w:t>
            </w:r>
            <w:r w:rsidR="00CC767F">
              <w:rPr>
                <w:rFonts w:cstheme="minorHAnsi"/>
              </w:rPr>
              <w:t>0.97</w:t>
            </w:r>
            <w:r>
              <w:rPr>
                <w:rFonts w:cstheme="minorHAnsi"/>
              </w:rPr>
              <w:t>)</w:t>
            </w:r>
          </w:p>
        </w:tc>
      </w:tr>
      <w:tr w:rsidR="008226FA" w:rsidRPr="009D2F95" w14:paraId="58771019" w14:textId="77777777" w:rsidTr="00BC1909">
        <w:tc>
          <w:tcPr>
            <w:tcW w:w="1271" w:type="dxa"/>
            <w:tcBorders>
              <w:top w:val="nil"/>
              <w:bottom w:val="nil"/>
            </w:tcBorders>
            <w:vAlign w:val="center"/>
          </w:tcPr>
          <w:p w14:paraId="364817C5" w14:textId="77777777" w:rsidR="00BD2654" w:rsidRPr="000E4666" w:rsidRDefault="00BD2654">
            <w:pPr>
              <w:rPr>
                <w:rFonts w:cstheme="minorHAnsi"/>
                <w:i/>
              </w:rPr>
            </w:pPr>
            <w:r w:rsidRPr="000E4666">
              <w:rPr>
                <w:rFonts w:cstheme="minorHAnsi"/>
                <w:bCs/>
                <w:i/>
              </w:rPr>
              <w:t>LnAssets</w:t>
            </w:r>
          </w:p>
        </w:tc>
        <w:tc>
          <w:tcPr>
            <w:tcW w:w="709" w:type="dxa"/>
            <w:tcBorders>
              <w:top w:val="nil"/>
              <w:bottom w:val="nil"/>
            </w:tcBorders>
            <w:vAlign w:val="center"/>
          </w:tcPr>
          <w:p w14:paraId="06C4B191" w14:textId="77777777" w:rsidR="00BD2654" w:rsidRPr="007E0583" w:rsidRDefault="00BD2654" w:rsidP="00BD2654">
            <w:pPr>
              <w:rPr>
                <w:rFonts w:cstheme="minorHAnsi"/>
              </w:rPr>
            </w:pPr>
            <w:r w:rsidRPr="007E0583">
              <w:rPr>
                <w:rFonts w:ascii="Calibri" w:hAnsi="Calibri" w:cs="Calibri"/>
                <w:color w:val="000000"/>
              </w:rPr>
              <w:t>239</w:t>
            </w:r>
          </w:p>
        </w:tc>
        <w:tc>
          <w:tcPr>
            <w:tcW w:w="1134" w:type="dxa"/>
            <w:tcBorders>
              <w:top w:val="nil"/>
              <w:bottom w:val="nil"/>
            </w:tcBorders>
            <w:vAlign w:val="center"/>
          </w:tcPr>
          <w:p w14:paraId="42DCC8B7" w14:textId="77777777" w:rsidR="00BD2654" w:rsidRPr="00043286" w:rsidRDefault="00BD2654" w:rsidP="00BD2654">
            <w:pPr>
              <w:rPr>
                <w:rFonts w:ascii="Calibri" w:hAnsi="Calibri" w:cs="Calibri"/>
                <w:color w:val="000000"/>
              </w:rPr>
            </w:pPr>
            <w:r w:rsidRPr="00043286">
              <w:rPr>
                <w:rFonts w:ascii="Calibri" w:hAnsi="Calibri" w:cs="Calibri"/>
                <w:color w:val="000000"/>
              </w:rPr>
              <w:t>12.307</w:t>
            </w:r>
          </w:p>
          <w:p w14:paraId="2B0CE16F" w14:textId="77777777" w:rsidR="00BD2654" w:rsidRPr="000E4666" w:rsidRDefault="00BD2654" w:rsidP="00BD2654">
            <w:pPr>
              <w:rPr>
                <w:rFonts w:cstheme="minorHAnsi"/>
              </w:rPr>
            </w:pPr>
            <w:r w:rsidRPr="00043286">
              <w:rPr>
                <w:rFonts w:ascii="Calibri" w:hAnsi="Calibri" w:cs="Calibri"/>
                <w:color w:val="000000"/>
              </w:rPr>
              <w:t>(11.918)</w:t>
            </w:r>
          </w:p>
        </w:tc>
        <w:tc>
          <w:tcPr>
            <w:tcW w:w="709" w:type="dxa"/>
            <w:tcBorders>
              <w:top w:val="nil"/>
              <w:bottom w:val="nil"/>
            </w:tcBorders>
            <w:vAlign w:val="center"/>
          </w:tcPr>
          <w:p w14:paraId="283127B5" w14:textId="2F079ECC" w:rsidR="00BD2654" w:rsidRPr="000E4666" w:rsidRDefault="00BD2654">
            <w:pPr>
              <w:rPr>
                <w:rFonts w:cstheme="minorHAnsi"/>
              </w:rPr>
            </w:pPr>
            <w:r w:rsidRPr="001C2792">
              <w:rPr>
                <w:rFonts w:cstheme="minorHAnsi"/>
              </w:rPr>
              <w:t>97</w:t>
            </w:r>
          </w:p>
        </w:tc>
        <w:tc>
          <w:tcPr>
            <w:tcW w:w="1134" w:type="dxa"/>
            <w:tcBorders>
              <w:top w:val="nil"/>
              <w:bottom w:val="nil"/>
            </w:tcBorders>
            <w:vAlign w:val="center"/>
          </w:tcPr>
          <w:p w14:paraId="37E3054C" w14:textId="77777777" w:rsidR="00BD2654" w:rsidRDefault="00BD2654" w:rsidP="00BD2654">
            <w:pPr>
              <w:rPr>
                <w:rFonts w:cstheme="minorHAnsi"/>
              </w:rPr>
            </w:pPr>
            <w:r w:rsidRPr="007801A8">
              <w:rPr>
                <w:rFonts w:cstheme="minorHAnsi"/>
              </w:rPr>
              <w:t>12.620</w:t>
            </w:r>
          </w:p>
          <w:p w14:paraId="55EE1053" w14:textId="7DADA4A5" w:rsidR="00CC767F" w:rsidRPr="000E4666" w:rsidRDefault="002A2E4B" w:rsidP="00BD2654">
            <w:pPr>
              <w:rPr>
                <w:rFonts w:cstheme="minorHAnsi"/>
              </w:rPr>
            </w:pPr>
            <w:r>
              <w:rPr>
                <w:rFonts w:cstheme="minorHAnsi"/>
              </w:rPr>
              <w:t>(13.461)</w:t>
            </w:r>
          </w:p>
        </w:tc>
        <w:tc>
          <w:tcPr>
            <w:tcW w:w="708" w:type="dxa"/>
            <w:tcBorders>
              <w:top w:val="nil"/>
              <w:bottom w:val="nil"/>
            </w:tcBorders>
            <w:vAlign w:val="center"/>
          </w:tcPr>
          <w:p w14:paraId="28F52A2E" w14:textId="065CDC13" w:rsidR="00BD2654" w:rsidRPr="000E4666" w:rsidRDefault="00BD2654" w:rsidP="00BD2654">
            <w:pPr>
              <w:rPr>
                <w:rFonts w:cstheme="minorHAnsi"/>
              </w:rPr>
            </w:pPr>
            <w:r w:rsidRPr="007801A8">
              <w:rPr>
                <w:rFonts w:cstheme="minorHAnsi"/>
              </w:rPr>
              <w:t>142</w:t>
            </w:r>
          </w:p>
        </w:tc>
        <w:tc>
          <w:tcPr>
            <w:tcW w:w="1134" w:type="dxa"/>
            <w:tcBorders>
              <w:top w:val="nil"/>
              <w:bottom w:val="nil"/>
            </w:tcBorders>
            <w:vAlign w:val="center"/>
          </w:tcPr>
          <w:p w14:paraId="77B7DE56" w14:textId="77777777" w:rsidR="00BD2654" w:rsidRDefault="00BD2654" w:rsidP="00BD2654">
            <w:pPr>
              <w:rPr>
                <w:rFonts w:cstheme="minorHAnsi"/>
              </w:rPr>
            </w:pPr>
            <w:r w:rsidRPr="007801A8">
              <w:rPr>
                <w:rFonts w:cstheme="minorHAnsi"/>
              </w:rPr>
              <w:t>12.093</w:t>
            </w:r>
          </w:p>
          <w:p w14:paraId="5A199FE6" w14:textId="109C846F" w:rsidR="002A2E4B" w:rsidRPr="000E4666" w:rsidRDefault="002A2E4B" w:rsidP="00BD2654">
            <w:pPr>
              <w:rPr>
                <w:rFonts w:cstheme="minorHAnsi"/>
              </w:rPr>
            </w:pPr>
            <w:r>
              <w:rPr>
                <w:rFonts w:cstheme="minorHAnsi"/>
              </w:rPr>
              <w:t>(11.550)</w:t>
            </w:r>
          </w:p>
        </w:tc>
        <w:tc>
          <w:tcPr>
            <w:tcW w:w="1134" w:type="dxa"/>
            <w:tcBorders>
              <w:top w:val="nil"/>
              <w:bottom w:val="nil"/>
            </w:tcBorders>
            <w:vAlign w:val="center"/>
          </w:tcPr>
          <w:p w14:paraId="1BF35449" w14:textId="77777777" w:rsidR="00BD2654" w:rsidRDefault="00BD2654" w:rsidP="00BD2654">
            <w:pPr>
              <w:rPr>
                <w:rFonts w:cstheme="minorHAnsi"/>
              </w:rPr>
            </w:pPr>
            <w:r w:rsidRPr="007801A8">
              <w:rPr>
                <w:rFonts w:cstheme="minorHAnsi"/>
              </w:rPr>
              <w:t>0.527</w:t>
            </w:r>
          </w:p>
          <w:p w14:paraId="4CF55FCA" w14:textId="07E4B352" w:rsidR="002A2E4B" w:rsidRPr="000E4666" w:rsidRDefault="002A2E4B" w:rsidP="00BD2654">
            <w:pPr>
              <w:rPr>
                <w:rFonts w:cstheme="minorHAnsi"/>
              </w:rPr>
            </w:pPr>
            <w:r>
              <w:rPr>
                <w:rFonts w:cstheme="minorHAnsi"/>
              </w:rPr>
              <w:t>(1.912)</w:t>
            </w:r>
          </w:p>
        </w:tc>
        <w:tc>
          <w:tcPr>
            <w:tcW w:w="1276" w:type="dxa"/>
            <w:tcBorders>
              <w:top w:val="nil"/>
              <w:bottom w:val="nil"/>
            </w:tcBorders>
            <w:vAlign w:val="center"/>
          </w:tcPr>
          <w:p w14:paraId="1BDF0261" w14:textId="77777777" w:rsidR="00BD2654" w:rsidRDefault="00BD2654" w:rsidP="00BD2654">
            <w:pPr>
              <w:rPr>
                <w:rFonts w:cstheme="minorHAnsi"/>
              </w:rPr>
            </w:pPr>
            <w:r w:rsidRPr="007801A8">
              <w:rPr>
                <w:rFonts w:cstheme="minorHAnsi"/>
              </w:rPr>
              <w:t>1.62</w:t>
            </w:r>
          </w:p>
          <w:p w14:paraId="7C68B866" w14:textId="7802D4EE" w:rsidR="002A2E4B" w:rsidRPr="000E4666" w:rsidRDefault="002A2E4B" w:rsidP="00BD2654">
            <w:pPr>
              <w:rPr>
                <w:rFonts w:cstheme="minorHAnsi"/>
              </w:rPr>
            </w:pPr>
            <w:r>
              <w:rPr>
                <w:rFonts w:cstheme="minorHAnsi"/>
              </w:rPr>
              <w:t>(1.77)*</w:t>
            </w:r>
          </w:p>
        </w:tc>
      </w:tr>
      <w:tr w:rsidR="008226FA" w:rsidRPr="009D2F95" w14:paraId="5937ABF7" w14:textId="77777777" w:rsidTr="00BC1909">
        <w:tc>
          <w:tcPr>
            <w:tcW w:w="1271" w:type="dxa"/>
            <w:tcBorders>
              <w:top w:val="nil"/>
            </w:tcBorders>
            <w:vAlign w:val="center"/>
          </w:tcPr>
          <w:p w14:paraId="6AB17069" w14:textId="77777777" w:rsidR="00BD2654" w:rsidRPr="007801A8" w:rsidRDefault="00BD2654">
            <w:pPr>
              <w:rPr>
                <w:rFonts w:cstheme="minorHAnsi"/>
                <w:i/>
              </w:rPr>
            </w:pPr>
            <w:r w:rsidRPr="007801A8">
              <w:rPr>
                <w:rFonts w:cstheme="minorHAnsi"/>
                <w:bCs/>
                <w:i/>
              </w:rPr>
              <w:t>Cost</w:t>
            </w:r>
          </w:p>
        </w:tc>
        <w:tc>
          <w:tcPr>
            <w:tcW w:w="709" w:type="dxa"/>
            <w:tcBorders>
              <w:top w:val="nil"/>
            </w:tcBorders>
            <w:vAlign w:val="center"/>
          </w:tcPr>
          <w:p w14:paraId="34326A7A" w14:textId="77777777" w:rsidR="00BD2654" w:rsidRPr="007E0583" w:rsidRDefault="00BD2654" w:rsidP="00BD2654">
            <w:pPr>
              <w:rPr>
                <w:rFonts w:cstheme="minorHAnsi"/>
              </w:rPr>
            </w:pPr>
            <w:r w:rsidRPr="007E0583">
              <w:rPr>
                <w:rFonts w:ascii="Calibri" w:hAnsi="Calibri" w:cs="Calibri"/>
                <w:color w:val="000000"/>
              </w:rPr>
              <w:t>184</w:t>
            </w:r>
          </w:p>
        </w:tc>
        <w:tc>
          <w:tcPr>
            <w:tcW w:w="1134" w:type="dxa"/>
            <w:tcBorders>
              <w:top w:val="nil"/>
            </w:tcBorders>
            <w:vAlign w:val="center"/>
          </w:tcPr>
          <w:p w14:paraId="0D2B873E" w14:textId="77777777" w:rsidR="00BD2654" w:rsidRPr="00043286" w:rsidRDefault="00BD2654" w:rsidP="00BD2654">
            <w:pPr>
              <w:rPr>
                <w:rFonts w:ascii="Calibri" w:hAnsi="Calibri" w:cs="Calibri"/>
                <w:color w:val="000000"/>
              </w:rPr>
            </w:pPr>
            <w:r w:rsidRPr="00043286">
              <w:rPr>
                <w:rFonts w:ascii="Calibri" w:hAnsi="Calibri" w:cs="Calibri"/>
                <w:color w:val="000000"/>
              </w:rPr>
              <w:t>0.468</w:t>
            </w:r>
          </w:p>
          <w:p w14:paraId="59EFFC7C" w14:textId="77777777" w:rsidR="00BD2654" w:rsidRPr="000E4666" w:rsidRDefault="00BD2654" w:rsidP="00BD2654">
            <w:pPr>
              <w:rPr>
                <w:rFonts w:cstheme="minorHAnsi"/>
              </w:rPr>
            </w:pPr>
            <w:r w:rsidRPr="00043286">
              <w:rPr>
                <w:rFonts w:ascii="Calibri" w:hAnsi="Calibri" w:cs="Calibri"/>
                <w:color w:val="000000"/>
              </w:rPr>
              <w:t>(0.043)</w:t>
            </w:r>
          </w:p>
        </w:tc>
        <w:tc>
          <w:tcPr>
            <w:tcW w:w="709" w:type="dxa"/>
            <w:tcBorders>
              <w:top w:val="nil"/>
            </w:tcBorders>
            <w:vAlign w:val="center"/>
          </w:tcPr>
          <w:p w14:paraId="66B60C44" w14:textId="5D1E34E1" w:rsidR="00BD2654" w:rsidRPr="000E4666" w:rsidRDefault="00BD2654" w:rsidP="00BD2654">
            <w:pPr>
              <w:rPr>
                <w:rFonts w:cstheme="minorHAnsi"/>
              </w:rPr>
            </w:pPr>
            <w:r>
              <w:rPr>
                <w:rFonts w:cstheme="minorHAnsi"/>
              </w:rPr>
              <w:t>93</w:t>
            </w:r>
          </w:p>
        </w:tc>
        <w:tc>
          <w:tcPr>
            <w:tcW w:w="1134" w:type="dxa"/>
            <w:tcBorders>
              <w:top w:val="nil"/>
            </w:tcBorders>
            <w:vAlign w:val="center"/>
          </w:tcPr>
          <w:p w14:paraId="380EB6F6" w14:textId="77777777" w:rsidR="00BD2654" w:rsidRDefault="00BD2654" w:rsidP="00BD2654">
            <w:pPr>
              <w:rPr>
                <w:rFonts w:cstheme="minorHAnsi"/>
              </w:rPr>
            </w:pPr>
            <w:r w:rsidRPr="007801A8">
              <w:rPr>
                <w:rFonts w:cstheme="minorHAnsi"/>
              </w:rPr>
              <w:t>0.409</w:t>
            </w:r>
          </w:p>
          <w:p w14:paraId="631D16BD" w14:textId="66B71F53" w:rsidR="002A2E4B" w:rsidRPr="000E4666" w:rsidRDefault="002A2E4B" w:rsidP="00BD2654">
            <w:pPr>
              <w:rPr>
                <w:rFonts w:cstheme="minorHAnsi"/>
              </w:rPr>
            </w:pPr>
            <w:r>
              <w:rPr>
                <w:rFonts w:cstheme="minorHAnsi"/>
              </w:rPr>
              <w:t>(0.036)</w:t>
            </w:r>
          </w:p>
        </w:tc>
        <w:tc>
          <w:tcPr>
            <w:tcW w:w="708" w:type="dxa"/>
            <w:tcBorders>
              <w:top w:val="nil"/>
            </w:tcBorders>
            <w:vAlign w:val="center"/>
          </w:tcPr>
          <w:p w14:paraId="6DFE2926" w14:textId="4FF6D23A" w:rsidR="00BD2654" w:rsidRPr="000E4666" w:rsidRDefault="00BD2654" w:rsidP="00BD2654">
            <w:pPr>
              <w:rPr>
                <w:rFonts w:cstheme="minorHAnsi"/>
              </w:rPr>
            </w:pPr>
            <w:r w:rsidRPr="007801A8">
              <w:rPr>
                <w:rFonts w:cstheme="minorHAnsi"/>
              </w:rPr>
              <w:t>91</w:t>
            </w:r>
          </w:p>
        </w:tc>
        <w:tc>
          <w:tcPr>
            <w:tcW w:w="1134" w:type="dxa"/>
            <w:tcBorders>
              <w:top w:val="nil"/>
            </w:tcBorders>
            <w:vAlign w:val="center"/>
          </w:tcPr>
          <w:p w14:paraId="356719FD" w14:textId="77777777" w:rsidR="00BD2654" w:rsidRDefault="00BD2654" w:rsidP="00BD2654">
            <w:pPr>
              <w:rPr>
                <w:rFonts w:cstheme="minorHAnsi"/>
              </w:rPr>
            </w:pPr>
            <w:r w:rsidRPr="007801A8">
              <w:rPr>
                <w:rFonts w:cstheme="minorHAnsi"/>
              </w:rPr>
              <w:t>0.528</w:t>
            </w:r>
          </w:p>
          <w:p w14:paraId="4C50F957" w14:textId="05159750" w:rsidR="002A2E4B" w:rsidRPr="000E4666" w:rsidRDefault="002A2E4B" w:rsidP="00BD2654">
            <w:pPr>
              <w:rPr>
                <w:rFonts w:cstheme="minorHAnsi"/>
              </w:rPr>
            </w:pPr>
            <w:r>
              <w:rPr>
                <w:rFonts w:cstheme="minorHAnsi"/>
              </w:rPr>
              <w:t>(0.049)</w:t>
            </w:r>
          </w:p>
        </w:tc>
        <w:tc>
          <w:tcPr>
            <w:tcW w:w="1134" w:type="dxa"/>
            <w:tcBorders>
              <w:top w:val="nil"/>
            </w:tcBorders>
            <w:vAlign w:val="center"/>
          </w:tcPr>
          <w:p w14:paraId="6FA79EDD" w14:textId="77777777" w:rsidR="00BD2654" w:rsidRDefault="00BD2654" w:rsidP="00BD2654">
            <w:pPr>
              <w:rPr>
                <w:rFonts w:cstheme="minorHAnsi"/>
              </w:rPr>
            </w:pPr>
            <w:r w:rsidRPr="007801A8">
              <w:rPr>
                <w:rFonts w:cstheme="minorHAnsi"/>
              </w:rPr>
              <w:t>-0.119</w:t>
            </w:r>
          </w:p>
          <w:p w14:paraId="489F5C8E" w14:textId="0C728A38" w:rsidR="002A2E4B" w:rsidRPr="000E4666" w:rsidRDefault="002A2E4B" w:rsidP="00BD2654">
            <w:pPr>
              <w:rPr>
                <w:rFonts w:cstheme="minorHAnsi"/>
              </w:rPr>
            </w:pPr>
            <w:r>
              <w:rPr>
                <w:rFonts w:cstheme="minorHAnsi"/>
              </w:rPr>
              <w:t>(-1.013)</w:t>
            </w:r>
          </w:p>
        </w:tc>
        <w:tc>
          <w:tcPr>
            <w:tcW w:w="1276" w:type="dxa"/>
            <w:tcBorders>
              <w:top w:val="nil"/>
            </w:tcBorders>
            <w:vAlign w:val="center"/>
          </w:tcPr>
          <w:p w14:paraId="07D924C7" w14:textId="77777777" w:rsidR="00BD2654" w:rsidRDefault="00BD2654" w:rsidP="00BD2654">
            <w:pPr>
              <w:rPr>
                <w:rFonts w:cstheme="minorHAnsi"/>
              </w:rPr>
            </w:pPr>
            <w:r w:rsidRPr="007801A8">
              <w:rPr>
                <w:rFonts w:cstheme="minorHAnsi"/>
              </w:rPr>
              <w:t>-0.38</w:t>
            </w:r>
          </w:p>
          <w:p w14:paraId="24AE9931" w14:textId="44E92F02" w:rsidR="002A2E4B" w:rsidRPr="000E4666" w:rsidRDefault="002A2E4B" w:rsidP="00BD2654">
            <w:pPr>
              <w:rPr>
                <w:rFonts w:cstheme="minorHAnsi"/>
              </w:rPr>
            </w:pPr>
            <w:r>
              <w:rPr>
                <w:rFonts w:cstheme="minorHAnsi"/>
              </w:rPr>
              <w:t>(1.08)</w:t>
            </w:r>
          </w:p>
        </w:tc>
      </w:tr>
      <w:tr w:rsidR="00A37B30" w:rsidRPr="009D2F95" w14:paraId="304E17D2" w14:textId="77777777" w:rsidTr="00BC1909">
        <w:tc>
          <w:tcPr>
            <w:tcW w:w="9209" w:type="dxa"/>
            <w:gridSpan w:val="9"/>
            <w:tcBorders>
              <w:bottom w:val="single" w:sz="4" w:space="0" w:color="auto"/>
            </w:tcBorders>
            <w:vAlign w:val="center"/>
          </w:tcPr>
          <w:p w14:paraId="0BE02091" w14:textId="2D127A01" w:rsidR="00A37B30" w:rsidRPr="007E0583" w:rsidRDefault="00A37B30" w:rsidP="00BC1909">
            <w:pPr>
              <w:spacing w:before="120"/>
              <w:rPr>
                <w:rFonts w:cstheme="minorHAnsi"/>
              </w:rPr>
            </w:pPr>
            <w:r w:rsidRPr="007E0583">
              <w:rPr>
                <w:rFonts w:cstheme="minorHAnsi"/>
              </w:rPr>
              <w:t>Panel B: Bid-ask spread regression</w:t>
            </w:r>
          </w:p>
        </w:tc>
      </w:tr>
      <w:tr w:rsidR="008226FA" w:rsidRPr="009D2F95" w14:paraId="0FF3DB79" w14:textId="77777777" w:rsidTr="00BC1909">
        <w:tc>
          <w:tcPr>
            <w:tcW w:w="1271" w:type="dxa"/>
            <w:tcBorders>
              <w:bottom w:val="nil"/>
            </w:tcBorders>
            <w:vAlign w:val="center"/>
          </w:tcPr>
          <w:p w14:paraId="47CD014A" w14:textId="77777777" w:rsidR="008226FA" w:rsidRPr="007801A8" w:rsidRDefault="008226FA">
            <w:pPr>
              <w:rPr>
                <w:rFonts w:cstheme="minorHAnsi"/>
                <w:i/>
              </w:rPr>
            </w:pPr>
            <w:r w:rsidRPr="007801A8">
              <w:rPr>
                <w:rFonts w:cstheme="minorHAnsi"/>
                <w:i/>
              </w:rPr>
              <w:t>BAS</w:t>
            </w:r>
          </w:p>
        </w:tc>
        <w:tc>
          <w:tcPr>
            <w:tcW w:w="709" w:type="dxa"/>
            <w:tcBorders>
              <w:bottom w:val="nil"/>
            </w:tcBorders>
            <w:vAlign w:val="center"/>
          </w:tcPr>
          <w:p w14:paraId="1EB75691" w14:textId="77777777" w:rsidR="008226FA" w:rsidRPr="007E0583" w:rsidRDefault="008226FA" w:rsidP="008226FA">
            <w:pPr>
              <w:rPr>
                <w:rFonts w:cstheme="minorHAnsi"/>
              </w:rPr>
            </w:pPr>
            <w:r w:rsidRPr="007E0583">
              <w:rPr>
                <w:rFonts w:ascii="Calibri" w:hAnsi="Calibri" w:cs="Calibri"/>
                <w:color w:val="000000"/>
              </w:rPr>
              <w:t>9052</w:t>
            </w:r>
          </w:p>
        </w:tc>
        <w:tc>
          <w:tcPr>
            <w:tcW w:w="1134" w:type="dxa"/>
            <w:tcBorders>
              <w:bottom w:val="nil"/>
            </w:tcBorders>
            <w:vAlign w:val="center"/>
          </w:tcPr>
          <w:p w14:paraId="7A80B49D" w14:textId="77777777" w:rsidR="008226FA" w:rsidRDefault="008226FA" w:rsidP="008226FA">
            <w:pPr>
              <w:rPr>
                <w:rFonts w:ascii="Calibri" w:hAnsi="Calibri" w:cs="Calibri"/>
                <w:color w:val="000000"/>
              </w:rPr>
            </w:pPr>
            <w:r>
              <w:rPr>
                <w:rFonts w:ascii="Calibri" w:hAnsi="Calibri" w:cs="Calibri"/>
                <w:color w:val="000000"/>
              </w:rPr>
              <w:t>0.060</w:t>
            </w:r>
          </w:p>
          <w:p w14:paraId="369DF73A" w14:textId="77777777" w:rsidR="008226FA" w:rsidRPr="000E4666" w:rsidRDefault="008226FA" w:rsidP="008226FA">
            <w:pPr>
              <w:rPr>
                <w:rFonts w:cstheme="minorHAnsi"/>
              </w:rPr>
            </w:pPr>
            <w:r>
              <w:rPr>
                <w:rFonts w:ascii="Calibri" w:hAnsi="Calibri" w:cs="Calibri"/>
                <w:color w:val="000000"/>
              </w:rPr>
              <w:t>(0.023)</w:t>
            </w:r>
          </w:p>
        </w:tc>
        <w:tc>
          <w:tcPr>
            <w:tcW w:w="709" w:type="dxa"/>
            <w:tcBorders>
              <w:bottom w:val="nil"/>
            </w:tcBorders>
            <w:vAlign w:val="center"/>
          </w:tcPr>
          <w:p w14:paraId="65224036" w14:textId="6343A11B" w:rsidR="008226FA" w:rsidRPr="000E4666" w:rsidRDefault="008226FA" w:rsidP="008226FA">
            <w:pPr>
              <w:rPr>
                <w:rFonts w:cstheme="minorHAnsi"/>
              </w:rPr>
            </w:pPr>
            <w:r>
              <w:rPr>
                <w:rFonts w:cstheme="minorHAnsi"/>
              </w:rPr>
              <w:t>3620</w:t>
            </w:r>
          </w:p>
        </w:tc>
        <w:tc>
          <w:tcPr>
            <w:tcW w:w="1134" w:type="dxa"/>
            <w:tcBorders>
              <w:bottom w:val="nil"/>
            </w:tcBorders>
            <w:vAlign w:val="center"/>
          </w:tcPr>
          <w:p w14:paraId="297D1288" w14:textId="77777777" w:rsidR="008226FA" w:rsidRDefault="008226FA" w:rsidP="008226FA">
            <w:pPr>
              <w:rPr>
                <w:rFonts w:cstheme="minorHAnsi"/>
              </w:rPr>
            </w:pPr>
            <w:r w:rsidRPr="007801A8">
              <w:rPr>
                <w:rFonts w:cstheme="minorHAnsi"/>
              </w:rPr>
              <w:t>0.044</w:t>
            </w:r>
          </w:p>
          <w:p w14:paraId="044A0621" w14:textId="7145D556" w:rsidR="002A2E4B" w:rsidRPr="000E4666" w:rsidRDefault="002A2E4B" w:rsidP="008226FA">
            <w:pPr>
              <w:rPr>
                <w:rFonts w:cstheme="minorHAnsi"/>
              </w:rPr>
            </w:pPr>
            <w:r>
              <w:rPr>
                <w:rFonts w:cstheme="minorHAnsi"/>
              </w:rPr>
              <w:t>(0.019)</w:t>
            </w:r>
          </w:p>
        </w:tc>
        <w:tc>
          <w:tcPr>
            <w:tcW w:w="708" w:type="dxa"/>
            <w:tcBorders>
              <w:bottom w:val="nil"/>
            </w:tcBorders>
            <w:vAlign w:val="center"/>
          </w:tcPr>
          <w:p w14:paraId="26D9D1D1" w14:textId="12EC8E28" w:rsidR="008226FA" w:rsidRPr="000E4666" w:rsidRDefault="008226FA" w:rsidP="008226FA">
            <w:pPr>
              <w:rPr>
                <w:rFonts w:cstheme="minorHAnsi"/>
              </w:rPr>
            </w:pPr>
            <w:r w:rsidRPr="007801A8">
              <w:rPr>
                <w:rFonts w:cstheme="minorHAnsi"/>
              </w:rPr>
              <w:t>5432</w:t>
            </w:r>
          </w:p>
        </w:tc>
        <w:tc>
          <w:tcPr>
            <w:tcW w:w="1134" w:type="dxa"/>
            <w:tcBorders>
              <w:bottom w:val="nil"/>
            </w:tcBorders>
            <w:vAlign w:val="center"/>
          </w:tcPr>
          <w:p w14:paraId="0F4EE116" w14:textId="77777777" w:rsidR="008226FA" w:rsidRDefault="008226FA" w:rsidP="008226FA">
            <w:pPr>
              <w:rPr>
                <w:rFonts w:cstheme="minorHAnsi"/>
              </w:rPr>
            </w:pPr>
            <w:r w:rsidRPr="007801A8">
              <w:rPr>
                <w:rFonts w:cstheme="minorHAnsi"/>
              </w:rPr>
              <w:t>0.070</w:t>
            </w:r>
          </w:p>
          <w:p w14:paraId="46B656B6" w14:textId="668697C5" w:rsidR="002A2E4B" w:rsidRPr="000E4666" w:rsidRDefault="002A2E4B" w:rsidP="008226FA">
            <w:pPr>
              <w:rPr>
                <w:rFonts w:cstheme="minorHAnsi"/>
              </w:rPr>
            </w:pPr>
            <w:r>
              <w:rPr>
                <w:rFonts w:cstheme="minorHAnsi"/>
              </w:rPr>
              <w:t>(0.026)</w:t>
            </w:r>
          </w:p>
        </w:tc>
        <w:tc>
          <w:tcPr>
            <w:tcW w:w="1134" w:type="dxa"/>
            <w:tcBorders>
              <w:bottom w:val="nil"/>
            </w:tcBorders>
            <w:vAlign w:val="center"/>
          </w:tcPr>
          <w:p w14:paraId="39EB568B" w14:textId="77777777" w:rsidR="002A2E4B" w:rsidRDefault="008226FA">
            <w:pPr>
              <w:rPr>
                <w:rFonts w:cstheme="minorHAnsi"/>
              </w:rPr>
            </w:pPr>
            <w:r w:rsidRPr="007801A8">
              <w:rPr>
                <w:rFonts w:cstheme="minorHAnsi"/>
              </w:rPr>
              <w:t>-0.026</w:t>
            </w:r>
          </w:p>
          <w:p w14:paraId="3CCC51BC" w14:textId="1E72A53C" w:rsidR="002A2E4B" w:rsidRPr="000E4666" w:rsidRDefault="002A2E4B">
            <w:pPr>
              <w:rPr>
                <w:rFonts w:cstheme="minorHAnsi"/>
              </w:rPr>
            </w:pPr>
            <w:r>
              <w:rPr>
                <w:rFonts w:cstheme="minorHAnsi"/>
              </w:rPr>
              <w:t>(-0.007)</w:t>
            </w:r>
          </w:p>
        </w:tc>
        <w:tc>
          <w:tcPr>
            <w:tcW w:w="1276" w:type="dxa"/>
            <w:tcBorders>
              <w:bottom w:val="nil"/>
            </w:tcBorders>
            <w:vAlign w:val="center"/>
          </w:tcPr>
          <w:p w14:paraId="79240139" w14:textId="77777777" w:rsidR="008226FA" w:rsidRDefault="008226FA" w:rsidP="008226FA">
            <w:pPr>
              <w:rPr>
                <w:rFonts w:cstheme="minorHAnsi"/>
              </w:rPr>
            </w:pPr>
            <w:r w:rsidRPr="007801A8">
              <w:rPr>
                <w:rFonts w:cstheme="minorHAnsi"/>
              </w:rPr>
              <w:t>-11.12</w:t>
            </w:r>
            <w:r w:rsidR="002A2E4B">
              <w:rPr>
                <w:rFonts w:cstheme="minorHAnsi"/>
              </w:rPr>
              <w:t>***</w:t>
            </w:r>
          </w:p>
          <w:p w14:paraId="05685E3C" w14:textId="3DA49A2F" w:rsidR="002A2E4B" w:rsidRPr="000E4666" w:rsidRDefault="002A2E4B" w:rsidP="008226FA">
            <w:pPr>
              <w:rPr>
                <w:rFonts w:cstheme="minorHAnsi"/>
              </w:rPr>
            </w:pPr>
            <w:r>
              <w:rPr>
                <w:rFonts w:cstheme="minorHAnsi"/>
              </w:rPr>
              <w:t>(-11.69)***</w:t>
            </w:r>
          </w:p>
        </w:tc>
      </w:tr>
      <w:tr w:rsidR="008226FA" w:rsidRPr="009D2F95" w14:paraId="35CC0F6C" w14:textId="77777777" w:rsidTr="00BC1909">
        <w:tc>
          <w:tcPr>
            <w:tcW w:w="1271" w:type="dxa"/>
            <w:tcBorders>
              <w:top w:val="nil"/>
              <w:bottom w:val="nil"/>
            </w:tcBorders>
            <w:vAlign w:val="center"/>
          </w:tcPr>
          <w:p w14:paraId="193762DD" w14:textId="77777777" w:rsidR="008226FA" w:rsidRPr="007801A8" w:rsidRDefault="008226FA">
            <w:pPr>
              <w:rPr>
                <w:rFonts w:cstheme="minorHAnsi"/>
                <w:i/>
              </w:rPr>
            </w:pPr>
            <w:r w:rsidRPr="007801A8">
              <w:rPr>
                <w:rFonts w:cstheme="minorHAnsi"/>
                <w:i/>
              </w:rPr>
              <w:t>Price</w:t>
            </w:r>
          </w:p>
        </w:tc>
        <w:tc>
          <w:tcPr>
            <w:tcW w:w="709" w:type="dxa"/>
            <w:tcBorders>
              <w:top w:val="nil"/>
              <w:bottom w:val="nil"/>
            </w:tcBorders>
            <w:vAlign w:val="center"/>
          </w:tcPr>
          <w:p w14:paraId="7CD86AB5" w14:textId="77777777" w:rsidR="008226FA" w:rsidRPr="007E0583" w:rsidRDefault="008226FA" w:rsidP="008226FA">
            <w:pPr>
              <w:rPr>
                <w:rFonts w:cstheme="minorHAnsi"/>
              </w:rPr>
            </w:pPr>
            <w:r w:rsidRPr="007E0583">
              <w:rPr>
                <w:rFonts w:ascii="Calibri" w:hAnsi="Calibri" w:cs="Calibri"/>
                <w:color w:val="000000"/>
              </w:rPr>
              <w:t>9159</w:t>
            </w:r>
          </w:p>
        </w:tc>
        <w:tc>
          <w:tcPr>
            <w:tcW w:w="1134" w:type="dxa"/>
            <w:tcBorders>
              <w:top w:val="nil"/>
              <w:bottom w:val="nil"/>
            </w:tcBorders>
            <w:vAlign w:val="center"/>
          </w:tcPr>
          <w:p w14:paraId="1582AB53" w14:textId="77777777" w:rsidR="008226FA" w:rsidRDefault="008226FA" w:rsidP="008226FA">
            <w:pPr>
              <w:rPr>
                <w:rFonts w:ascii="Calibri" w:hAnsi="Calibri" w:cs="Calibri"/>
                <w:color w:val="000000"/>
              </w:rPr>
            </w:pPr>
            <w:r>
              <w:rPr>
                <w:rFonts w:ascii="Calibri" w:hAnsi="Calibri" w:cs="Calibri"/>
                <w:color w:val="000000"/>
              </w:rPr>
              <w:t>3.237</w:t>
            </w:r>
          </w:p>
          <w:p w14:paraId="50F35582" w14:textId="77777777" w:rsidR="008226FA" w:rsidRPr="000E4666" w:rsidRDefault="008226FA" w:rsidP="008226FA">
            <w:pPr>
              <w:rPr>
                <w:rFonts w:cstheme="minorHAnsi"/>
              </w:rPr>
            </w:pPr>
            <w:r>
              <w:rPr>
                <w:rFonts w:ascii="Calibri" w:hAnsi="Calibri" w:cs="Calibri"/>
                <w:color w:val="000000"/>
              </w:rPr>
              <w:t>(1.650)</w:t>
            </w:r>
          </w:p>
        </w:tc>
        <w:tc>
          <w:tcPr>
            <w:tcW w:w="709" w:type="dxa"/>
            <w:tcBorders>
              <w:top w:val="nil"/>
              <w:bottom w:val="nil"/>
            </w:tcBorders>
            <w:vAlign w:val="center"/>
          </w:tcPr>
          <w:p w14:paraId="22244B92" w14:textId="12CC40F0" w:rsidR="008226FA" w:rsidRPr="000E4666" w:rsidRDefault="008226FA" w:rsidP="008226FA">
            <w:pPr>
              <w:rPr>
                <w:rFonts w:cstheme="minorHAnsi"/>
              </w:rPr>
            </w:pPr>
            <w:r>
              <w:rPr>
                <w:rFonts w:cstheme="minorHAnsi"/>
              </w:rPr>
              <w:t>3631</w:t>
            </w:r>
          </w:p>
        </w:tc>
        <w:tc>
          <w:tcPr>
            <w:tcW w:w="1134" w:type="dxa"/>
            <w:tcBorders>
              <w:top w:val="nil"/>
              <w:bottom w:val="nil"/>
            </w:tcBorders>
            <w:vAlign w:val="center"/>
          </w:tcPr>
          <w:p w14:paraId="3261D389" w14:textId="00666D51" w:rsidR="008226FA" w:rsidRDefault="008226FA" w:rsidP="008226FA">
            <w:pPr>
              <w:rPr>
                <w:rFonts w:cstheme="minorHAnsi"/>
              </w:rPr>
            </w:pPr>
            <w:r w:rsidRPr="007801A8">
              <w:rPr>
                <w:rFonts w:cstheme="minorHAnsi"/>
              </w:rPr>
              <w:t>2.515</w:t>
            </w:r>
          </w:p>
          <w:p w14:paraId="2CCD43D8" w14:textId="795CE2B8" w:rsidR="002A2E4B" w:rsidRPr="000E4666" w:rsidRDefault="002A2E4B" w:rsidP="008226FA">
            <w:pPr>
              <w:rPr>
                <w:rFonts w:cstheme="minorHAnsi"/>
              </w:rPr>
            </w:pPr>
            <w:r>
              <w:rPr>
                <w:rFonts w:cstheme="minorHAnsi"/>
              </w:rPr>
              <w:t>(1.600)</w:t>
            </w:r>
          </w:p>
        </w:tc>
        <w:tc>
          <w:tcPr>
            <w:tcW w:w="708" w:type="dxa"/>
            <w:tcBorders>
              <w:top w:val="nil"/>
              <w:bottom w:val="nil"/>
            </w:tcBorders>
            <w:vAlign w:val="center"/>
          </w:tcPr>
          <w:p w14:paraId="59B07C20" w14:textId="35E7E6D3" w:rsidR="008226FA" w:rsidRPr="000E4666" w:rsidRDefault="008226FA" w:rsidP="008226FA">
            <w:pPr>
              <w:rPr>
                <w:rFonts w:cstheme="minorHAnsi"/>
              </w:rPr>
            </w:pPr>
            <w:r w:rsidRPr="007801A8">
              <w:rPr>
                <w:rFonts w:cstheme="minorHAnsi"/>
              </w:rPr>
              <w:t>5528</w:t>
            </w:r>
          </w:p>
        </w:tc>
        <w:tc>
          <w:tcPr>
            <w:tcW w:w="1134" w:type="dxa"/>
            <w:tcBorders>
              <w:top w:val="nil"/>
              <w:bottom w:val="nil"/>
            </w:tcBorders>
            <w:vAlign w:val="center"/>
          </w:tcPr>
          <w:p w14:paraId="05C7FDF6" w14:textId="77777777" w:rsidR="008226FA" w:rsidRDefault="008226FA" w:rsidP="008226FA">
            <w:pPr>
              <w:rPr>
                <w:rFonts w:cstheme="minorHAnsi"/>
              </w:rPr>
            </w:pPr>
            <w:r w:rsidRPr="007801A8">
              <w:rPr>
                <w:rFonts w:cstheme="minorHAnsi"/>
              </w:rPr>
              <w:t>3.712</w:t>
            </w:r>
          </w:p>
          <w:p w14:paraId="4BC980E4" w14:textId="0F5E845A" w:rsidR="002A2E4B" w:rsidRPr="000E4666" w:rsidRDefault="002A2E4B" w:rsidP="008226FA">
            <w:pPr>
              <w:rPr>
                <w:rFonts w:cstheme="minorHAnsi"/>
              </w:rPr>
            </w:pPr>
            <w:r>
              <w:rPr>
                <w:rFonts w:cstheme="minorHAnsi"/>
              </w:rPr>
              <w:t>(1.673)</w:t>
            </w:r>
          </w:p>
        </w:tc>
        <w:tc>
          <w:tcPr>
            <w:tcW w:w="1134" w:type="dxa"/>
            <w:tcBorders>
              <w:top w:val="nil"/>
              <w:bottom w:val="nil"/>
            </w:tcBorders>
            <w:vAlign w:val="center"/>
          </w:tcPr>
          <w:p w14:paraId="13D974A8" w14:textId="2FC3343D" w:rsidR="008226FA" w:rsidRDefault="008226FA" w:rsidP="008226FA">
            <w:pPr>
              <w:rPr>
                <w:rFonts w:cstheme="minorHAnsi"/>
              </w:rPr>
            </w:pPr>
            <w:r w:rsidRPr="007801A8">
              <w:rPr>
                <w:rFonts w:cstheme="minorHAnsi"/>
              </w:rPr>
              <w:t>-1.197</w:t>
            </w:r>
          </w:p>
          <w:p w14:paraId="3BAAB8BB" w14:textId="73BC4017" w:rsidR="002A2E4B" w:rsidRPr="000E4666" w:rsidRDefault="002A2E4B">
            <w:pPr>
              <w:rPr>
                <w:rFonts w:cstheme="minorHAnsi"/>
              </w:rPr>
            </w:pPr>
            <w:r>
              <w:rPr>
                <w:rFonts w:cstheme="minorHAnsi"/>
              </w:rPr>
              <w:t>(-0.073)</w:t>
            </w:r>
          </w:p>
        </w:tc>
        <w:tc>
          <w:tcPr>
            <w:tcW w:w="1276" w:type="dxa"/>
            <w:tcBorders>
              <w:top w:val="nil"/>
              <w:bottom w:val="nil"/>
            </w:tcBorders>
            <w:vAlign w:val="center"/>
          </w:tcPr>
          <w:p w14:paraId="7B97BD93" w14:textId="77777777" w:rsidR="008226FA" w:rsidRDefault="008226FA" w:rsidP="008226FA">
            <w:pPr>
              <w:rPr>
                <w:rFonts w:cstheme="minorHAnsi"/>
              </w:rPr>
            </w:pPr>
            <w:r w:rsidRPr="007801A8">
              <w:rPr>
                <w:rFonts w:cstheme="minorHAnsi"/>
              </w:rPr>
              <w:t>-10.49</w:t>
            </w:r>
            <w:r w:rsidR="002A2E4B">
              <w:rPr>
                <w:rFonts w:cstheme="minorHAnsi"/>
              </w:rPr>
              <w:t>***</w:t>
            </w:r>
          </w:p>
          <w:p w14:paraId="1F7DBD18" w14:textId="395E0E24" w:rsidR="002A2E4B" w:rsidRPr="000E4666" w:rsidRDefault="002A2E4B" w:rsidP="008226FA">
            <w:pPr>
              <w:rPr>
                <w:rFonts w:cstheme="minorHAnsi"/>
              </w:rPr>
            </w:pPr>
            <w:r>
              <w:rPr>
                <w:rFonts w:cstheme="minorHAnsi"/>
              </w:rPr>
              <w:t>(-1.73)*</w:t>
            </w:r>
          </w:p>
        </w:tc>
      </w:tr>
      <w:tr w:rsidR="008226FA" w:rsidRPr="009D2F95" w14:paraId="706764D2" w14:textId="77777777" w:rsidTr="00BC1909">
        <w:tc>
          <w:tcPr>
            <w:tcW w:w="1271" w:type="dxa"/>
            <w:tcBorders>
              <w:top w:val="nil"/>
              <w:bottom w:val="nil"/>
            </w:tcBorders>
            <w:vAlign w:val="center"/>
          </w:tcPr>
          <w:p w14:paraId="70786392" w14:textId="77777777" w:rsidR="008226FA" w:rsidRPr="007801A8" w:rsidRDefault="008226FA">
            <w:pPr>
              <w:rPr>
                <w:rFonts w:cstheme="minorHAnsi"/>
                <w:i/>
              </w:rPr>
            </w:pPr>
            <w:r w:rsidRPr="007801A8">
              <w:rPr>
                <w:rFonts w:cstheme="minorHAnsi"/>
                <w:i/>
              </w:rPr>
              <w:t>Size</w:t>
            </w:r>
          </w:p>
        </w:tc>
        <w:tc>
          <w:tcPr>
            <w:tcW w:w="709" w:type="dxa"/>
            <w:tcBorders>
              <w:top w:val="nil"/>
              <w:bottom w:val="nil"/>
            </w:tcBorders>
            <w:vAlign w:val="center"/>
          </w:tcPr>
          <w:p w14:paraId="5590C0DD" w14:textId="77777777" w:rsidR="008226FA" w:rsidRPr="007E0583" w:rsidRDefault="008226FA" w:rsidP="008226FA">
            <w:pPr>
              <w:rPr>
                <w:rFonts w:cstheme="minorHAnsi"/>
              </w:rPr>
            </w:pPr>
            <w:r w:rsidRPr="007E0583">
              <w:rPr>
                <w:rFonts w:ascii="Calibri" w:hAnsi="Calibri" w:cs="Calibri"/>
                <w:color w:val="000000"/>
              </w:rPr>
              <w:t>8262</w:t>
            </w:r>
          </w:p>
        </w:tc>
        <w:tc>
          <w:tcPr>
            <w:tcW w:w="1134" w:type="dxa"/>
            <w:tcBorders>
              <w:top w:val="nil"/>
              <w:bottom w:val="nil"/>
            </w:tcBorders>
            <w:vAlign w:val="center"/>
          </w:tcPr>
          <w:p w14:paraId="2D43BC9F" w14:textId="77777777" w:rsidR="008226FA" w:rsidRDefault="008226FA" w:rsidP="008226FA">
            <w:pPr>
              <w:rPr>
                <w:rFonts w:ascii="Calibri" w:hAnsi="Calibri" w:cs="Calibri"/>
                <w:color w:val="000000"/>
              </w:rPr>
            </w:pPr>
            <w:r>
              <w:rPr>
                <w:rFonts w:ascii="Calibri" w:hAnsi="Calibri" w:cs="Calibri"/>
                <w:color w:val="000000"/>
              </w:rPr>
              <w:t>12.378</w:t>
            </w:r>
          </w:p>
          <w:p w14:paraId="1AA7ED8A" w14:textId="77777777" w:rsidR="008226FA" w:rsidRPr="000E4666" w:rsidRDefault="008226FA" w:rsidP="008226FA">
            <w:pPr>
              <w:rPr>
                <w:rFonts w:cstheme="minorHAnsi"/>
              </w:rPr>
            </w:pPr>
            <w:r>
              <w:rPr>
                <w:rFonts w:ascii="Calibri" w:hAnsi="Calibri" w:cs="Calibri"/>
                <w:color w:val="000000"/>
              </w:rPr>
              <w:t>(12.538)</w:t>
            </w:r>
          </w:p>
        </w:tc>
        <w:tc>
          <w:tcPr>
            <w:tcW w:w="709" w:type="dxa"/>
            <w:tcBorders>
              <w:top w:val="nil"/>
              <w:bottom w:val="nil"/>
            </w:tcBorders>
            <w:vAlign w:val="center"/>
          </w:tcPr>
          <w:p w14:paraId="37508F71" w14:textId="2C5C8C06" w:rsidR="008226FA" w:rsidRPr="000E4666" w:rsidRDefault="008226FA" w:rsidP="008226FA">
            <w:pPr>
              <w:rPr>
                <w:rFonts w:cstheme="minorHAnsi"/>
              </w:rPr>
            </w:pPr>
            <w:r>
              <w:rPr>
                <w:rFonts w:cstheme="minorHAnsi"/>
              </w:rPr>
              <w:t>3244</w:t>
            </w:r>
          </w:p>
        </w:tc>
        <w:tc>
          <w:tcPr>
            <w:tcW w:w="1134" w:type="dxa"/>
            <w:tcBorders>
              <w:top w:val="nil"/>
              <w:bottom w:val="nil"/>
            </w:tcBorders>
            <w:vAlign w:val="center"/>
          </w:tcPr>
          <w:p w14:paraId="541A7B7A" w14:textId="77777777" w:rsidR="008226FA" w:rsidRDefault="008226FA" w:rsidP="008226FA">
            <w:pPr>
              <w:rPr>
                <w:rFonts w:cstheme="minorHAnsi"/>
              </w:rPr>
            </w:pPr>
            <w:r w:rsidRPr="007801A8">
              <w:rPr>
                <w:rFonts w:cstheme="minorHAnsi"/>
              </w:rPr>
              <w:t>12.798</w:t>
            </w:r>
          </w:p>
          <w:p w14:paraId="7564FAF6" w14:textId="41AE16A5" w:rsidR="002A2E4B" w:rsidRPr="000E4666" w:rsidRDefault="002A2E4B" w:rsidP="008226FA">
            <w:pPr>
              <w:rPr>
                <w:rFonts w:cstheme="minorHAnsi"/>
              </w:rPr>
            </w:pPr>
            <w:r>
              <w:rPr>
                <w:rFonts w:cstheme="minorHAnsi"/>
              </w:rPr>
              <w:t>(13.304)</w:t>
            </w:r>
          </w:p>
        </w:tc>
        <w:tc>
          <w:tcPr>
            <w:tcW w:w="708" w:type="dxa"/>
            <w:tcBorders>
              <w:top w:val="nil"/>
              <w:bottom w:val="nil"/>
            </w:tcBorders>
            <w:vAlign w:val="center"/>
          </w:tcPr>
          <w:p w14:paraId="3DFC9904" w14:textId="5D8551A1" w:rsidR="008226FA" w:rsidRPr="000E4666" w:rsidRDefault="008226FA" w:rsidP="008226FA">
            <w:pPr>
              <w:rPr>
                <w:rFonts w:cstheme="minorHAnsi"/>
              </w:rPr>
            </w:pPr>
            <w:r w:rsidRPr="007801A8">
              <w:rPr>
                <w:rFonts w:cstheme="minorHAnsi"/>
              </w:rPr>
              <w:t>5018</w:t>
            </w:r>
          </w:p>
        </w:tc>
        <w:tc>
          <w:tcPr>
            <w:tcW w:w="1134" w:type="dxa"/>
            <w:tcBorders>
              <w:top w:val="nil"/>
              <w:bottom w:val="nil"/>
            </w:tcBorders>
            <w:vAlign w:val="center"/>
          </w:tcPr>
          <w:p w14:paraId="2796A0F2" w14:textId="77777777" w:rsidR="008226FA" w:rsidRDefault="008226FA" w:rsidP="008226FA">
            <w:pPr>
              <w:rPr>
                <w:rFonts w:cstheme="minorHAnsi"/>
              </w:rPr>
            </w:pPr>
            <w:r w:rsidRPr="007801A8">
              <w:rPr>
                <w:rFonts w:cstheme="minorHAnsi"/>
              </w:rPr>
              <w:t>12.107</w:t>
            </w:r>
          </w:p>
          <w:p w14:paraId="3E026F29" w14:textId="5F2DDFDD" w:rsidR="002A2E4B" w:rsidRPr="000E4666" w:rsidRDefault="002A2E4B" w:rsidP="008226FA">
            <w:pPr>
              <w:rPr>
                <w:rFonts w:cstheme="minorHAnsi"/>
              </w:rPr>
            </w:pPr>
            <w:r>
              <w:rPr>
                <w:rFonts w:cstheme="minorHAnsi"/>
              </w:rPr>
              <w:t>(11.761)</w:t>
            </w:r>
          </w:p>
        </w:tc>
        <w:tc>
          <w:tcPr>
            <w:tcW w:w="1134" w:type="dxa"/>
            <w:tcBorders>
              <w:top w:val="nil"/>
              <w:bottom w:val="nil"/>
            </w:tcBorders>
            <w:vAlign w:val="center"/>
          </w:tcPr>
          <w:p w14:paraId="063EC951" w14:textId="3A7DC37E" w:rsidR="008226FA" w:rsidRDefault="008226FA" w:rsidP="008226FA">
            <w:pPr>
              <w:rPr>
                <w:rFonts w:cstheme="minorHAnsi"/>
              </w:rPr>
            </w:pPr>
            <w:r w:rsidRPr="007801A8">
              <w:rPr>
                <w:rFonts w:cstheme="minorHAnsi"/>
              </w:rPr>
              <w:t>0.691</w:t>
            </w:r>
          </w:p>
          <w:p w14:paraId="0CFEC93C" w14:textId="42E68D32" w:rsidR="002A2E4B" w:rsidRPr="000E4666" w:rsidRDefault="002A2E4B" w:rsidP="008226FA">
            <w:pPr>
              <w:rPr>
                <w:rFonts w:cstheme="minorHAnsi"/>
              </w:rPr>
            </w:pPr>
            <w:r>
              <w:rPr>
                <w:rFonts w:cstheme="minorHAnsi"/>
              </w:rPr>
              <w:t>(1.543)</w:t>
            </w:r>
          </w:p>
        </w:tc>
        <w:tc>
          <w:tcPr>
            <w:tcW w:w="1276" w:type="dxa"/>
            <w:tcBorders>
              <w:top w:val="nil"/>
              <w:bottom w:val="nil"/>
            </w:tcBorders>
            <w:vAlign w:val="center"/>
          </w:tcPr>
          <w:p w14:paraId="41D608E6" w14:textId="7FE6EBC3" w:rsidR="008226FA" w:rsidRDefault="008226FA" w:rsidP="008226FA">
            <w:pPr>
              <w:rPr>
                <w:rFonts w:cstheme="minorHAnsi"/>
              </w:rPr>
            </w:pPr>
            <w:r w:rsidRPr="007801A8">
              <w:rPr>
                <w:rFonts w:cstheme="minorHAnsi"/>
              </w:rPr>
              <w:t>13.3</w:t>
            </w:r>
            <w:r w:rsidR="002A2E4B">
              <w:rPr>
                <w:rFonts w:cstheme="minorHAnsi"/>
              </w:rPr>
              <w:t>0***</w:t>
            </w:r>
          </w:p>
          <w:p w14:paraId="257ABB12" w14:textId="0DC2F8C4" w:rsidR="002A2E4B" w:rsidRPr="000E4666" w:rsidRDefault="002A2E4B" w:rsidP="008226FA">
            <w:pPr>
              <w:rPr>
                <w:rFonts w:cstheme="minorHAnsi"/>
              </w:rPr>
            </w:pPr>
            <w:r>
              <w:rPr>
                <w:rFonts w:cstheme="minorHAnsi"/>
              </w:rPr>
              <w:t>(13.20)***</w:t>
            </w:r>
          </w:p>
        </w:tc>
      </w:tr>
      <w:tr w:rsidR="008226FA" w:rsidRPr="009D2F95" w14:paraId="17D56FF3" w14:textId="77777777" w:rsidTr="00BC1909">
        <w:tc>
          <w:tcPr>
            <w:tcW w:w="1271" w:type="dxa"/>
            <w:tcBorders>
              <w:top w:val="nil"/>
              <w:bottom w:val="nil"/>
            </w:tcBorders>
            <w:vAlign w:val="center"/>
          </w:tcPr>
          <w:p w14:paraId="4993D0D6" w14:textId="77777777" w:rsidR="008226FA" w:rsidRPr="007801A8" w:rsidRDefault="008226FA">
            <w:pPr>
              <w:rPr>
                <w:rFonts w:cstheme="minorHAnsi"/>
                <w:i/>
              </w:rPr>
            </w:pPr>
            <w:r w:rsidRPr="007801A8">
              <w:rPr>
                <w:rFonts w:cstheme="minorHAnsi"/>
                <w:i/>
              </w:rPr>
              <w:t>Turnover</w:t>
            </w:r>
          </w:p>
        </w:tc>
        <w:tc>
          <w:tcPr>
            <w:tcW w:w="709" w:type="dxa"/>
            <w:tcBorders>
              <w:top w:val="nil"/>
              <w:bottom w:val="nil"/>
            </w:tcBorders>
            <w:vAlign w:val="center"/>
          </w:tcPr>
          <w:p w14:paraId="46BF8805" w14:textId="77777777" w:rsidR="008226FA" w:rsidRPr="007E0583" w:rsidRDefault="008226FA" w:rsidP="008226FA">
            <w:pPr>
              <w:rPr>
                <w:rFonts w:cstheme="minorHAnsi"/>
              </w:rPr>
            </w:pPr>
            <w:r w:rsidRPr="007E0583">
              <w:rPr>
                <w:rFonts w:ascii="Calibri" w:hAnsi="Calibri" w:cs="Calibri"/>
                <w:color w:val="000000"/>
              </w:rPr>
              <w:t>8262</w:t>
            </w:r>
          </w:p>
        </w:tc>
        <w:tc>
          <w:tcPr>
            <w:tcW w:w="1134" w:type="dxa"/>
            <w:tcBorders>
              <w:top w:val="nil"/>
              <w:bottom w:val="nil"/>
            </w:tcBorders>
            <w:vAlign w:val="center"/>
          </w:tcPr>
          <w:p w14:paraId="3CD1FF55" w14:textId="77777777" w:rsidR="008226FA" w:rsidRDefault="008226FA" w:rsidP="008226FA">
            <w:pPr>
              <w:rPr>
                <w:rFonts w:ascii="Calibri" w:hAnsi="Calibri" w:cs="Calibri"/>
                <w:color w:val="000000"/>
              </w:rPr>
            </w:pPr>
            <w:r>
              <w:rPr>
                <w:rFonts w:ascii="Calibri" w:hAnsi="Calibri" w:cs="Calibri"/>
                <w:color w:val="000000"/>
              </w:rPr>
              <w:t>0.166</w:t>
            </w:r>
          </w:p>
          <w:p w14:paraId="5F3D3FB6" w14:textId="77777777" w:rsidR="008226FA" w:rsidRPr="000E4666" w:rsidRDefault="008226FA" w:rsidP="008226FA">
            <w:pPr>
              <w:rPr>
                <w:rFonts w:cstheme="minorHAnsi"/>
              </w:rPr>
            </w:pPr>
            <w:r>
              <w:rPr>
                <w:rFonts w:ascii="Calibri" w:hAnsi="Calibri" w:cs="Calibri"/>
                <w:color w:val="000000"/>
              </w:rPr>
              <w:t>(0.087)</w:t>
            </w:r>
          </w:p>
        </w:tc>
        <w:tc>
          <w:tcPr>
            <w:tcW w:w="709" w:type="dxa"/>
            <w:tcBorders>
              <w:top w:val="nil"/>
              <w:bottom w:val="nil"/>
            </w:tcBorders>
            <w:vAlign w:val="center"/>
          </w:tcPr>
          <w:p w14:paraId="4BC20F2B" w14:textId="192CE983" w:rsidR="008226FA" w:rsidRPr="000E4666" w:rsidRDefault="008226FA" w:rsidP="008226FA">
            <w:pPr>
              <w:rPr>
                <w:rFonts w:cstheme="minorHAnsi"/>
              </w:rPr>
            </w:pPr>
            <w:r>
              <w:rPr>
                <w:rFonts w:cstheme="minorHAnsi"/>
              </w:rPr>
              <w:t>3244</w:t>
            </w:r>
          </w:p>
        </w:tc>
        <w:tc>
          <w:tcPr>
            <w:tcW w:w="1134" w:type="dxa"/>
            <w:tcBorders>
              <w:top w:val="nil"/>
              <w:bottom w:val="nil"/>
            </w:tcBorders>
            <w:vAlign w:val="center"/>
          </w:tcPr>
          <w:p w14:paraId="6AFA4A07" w14:textId="77777777" w:rsidR="008226FA" w:rsidRDefault="008226FA" w:rsidP="008226FA">
            <w:pPr>
              <w:rPr>
                <w:rFonts w:cstheme="minorHAnsi"/>
              </w:rPr>
            </w:pPr>
            <w:r w:rsidRPr="007801A8">
              <w:rPr>
                <w:rFonts w:cstheme="minorHAnsi"/>
              </w:rPr>
              <w:t>0.181</w:t>
            </w:r>
          </w:p>
          <w:p w14:paraId="41F82C6A" w14:textId="31D462A7" w:rsidR="002A2E4B" w:rsidRPr="000E4666" w:rsidRDefault="002A2E4B" w:rsidP="008226FA">
            <w:pPr>
              <w:rPr>
                <w:rFonts w:cstheme="minorHAnsi"/>
              </w:rPr>
            </w:pPr>
            <w:r>
              <w:rPr>
                <w:rFonts w:cstheme="minorHAnsi"/>
              </w:rPr>
              <w:t>(0.109)</w:t>
            </w:r>
          </w:p>
        </w:tc>
        <w:tc>
          <w:tcPr>
            <w:tcW w:w="708" w:type="dxa"/>
            <w:tcBorders>
              <w:top w:val="nil"/>
              <w:bottom w:val="nil"/>
            </w:tcBorders>
            <w:vAlign w:val="center"/>
          </w:tcPr>
          <w:p w14:paraId="68CCC36F" w14:textId="5ECF6612" w:rsidR="008226FA" w:rsidRPr="000E4666" w:rsidRDefault="008226FA" w:rsidP="008226FA">
            <w:pPr>
              <w:rPr>
                <w:rFonts w:cstheme="minorHAnsi"/>
              </w:rPr>
            </w:pPr>
            <w:r w:rsidRPr="007801A8">
              <w:rPr>
                <w:rFonts w:cstheme="minorHAnsi"/>
              </w:rPr>
              <w:t>5018</w:t>
            </w:r>
          </w:p>
        </w:tc>
        <w:tc>
          <w:tcPr>
            <w:tcW w:w="1134" w:type="dxa"/>
            <w:tcBorders>
              <w:top w:val="nil"/>
              <w:bottom w:val="nil"/>
            </w:tcBorders>
            <w:vAlign w:val="center"/>
          </w:tcPr>
          <w:p w14:paraId="436EAFD8" w14:textId="77777777" w:rsidR="008226FA" w:rsidRDefault="008226FA" w:rsidP="008226FA">
            <w:pPr>
              <w:rPr>
                <w:rFonts w:cstheme="minorHAnsi"/>
              </w:rPr>
            </w:pPr>
            <w:r w:rsidRPr="007801A8">
              <w:rPr>
                <w:rFonts w:cstheme="minorHAnsi"/>
              </w:rPr>
              <w:t>0.156</w:t>
            </w:r>
          </w:p>
          <w:p w14:paraId="4AC73792" w14:textId="5D9E135F" w:rsidR="002A2E4B" w:rsidRPr="000E4666" w:rsidRDefault="002A2E4B" w:rsidP="008226FA">
            <w:pPr>
              <w:rPr>
                <w:rFonts w:cstheme="minorHAnsi"/>
              </w:rPr>
            </w:pPr>
            <w:r>
              <w:rPr>
                <w:rFonts w:cstheme="minorHAnsi"/>
              </w:rPr>
              <w:t>(0.081)</w:t>
            </w:r>
          </w:p>
        </w:tc>
        <w:tc>
          <w:tcPr>
            <w:tcW w:w="1134" w:type="dxa"/>
            <w:tcBorders>
              <w:top w:val="nil"/>
              <w:bottom w:val="nil"/>
            </w:tcBorders>
            <w:vAlign w:val="center"/>
          </w:tcPr>
          <w:p w14:paraId="213DC3F2" w14:textId="4333E10C" w:rsidR="008226FA" w:rsidRDefault="008226FA" w:rsidP="008226FA">
            <w:pPr>
              <w:rPr>
                <w:rFonts w:cstheme="minorHAnsi"/>
              </w:rPr>
            </w:pPr>
            <w:r w:rsidRPr="007801A8">
              <w:rPr>
                <w:rFonts w:cstheme="minorHAnsi"/>
              </w:rPr>
              <w:t>0.026</w:t>
            </w:r>
          </w:p>
          <w:p w14:paraId="723F20F7" w14:textId="5B2781A1" w:rsidR="002A2E4B" w:rsidRPr="000E4666" w:rsidRDefault="002A2E4B" w:rsidP="008226FA">
            <w:pPr>
              <w:rPr>
                <w:rFonts w:cstheme="minorHAnsi"/>
              </w:rPr>
            </w:pPr>
            <w:r>
              <w:rPr>
                <w:rFonts w:cstheme="minorHAnsi"/>
              </w:rPr>
              <w:t>(0.029)</w:t>
            </w:r>
          </w:p>
        </w:tc>
        <w:tc>
          <w:tcPr>
            <w:tcW w:w="1276" w:type="dxa"/>
            <w:tcBorders>
              <w:top w:val="nil"/>
              <w:bottom w:val="nil"/>
            </w:tcBorders>
            <w:vAlign w:val="center"/>
          </w:tcPr>
          <w:p w14:paraId="5B602A3A" w14:textId="77777777" w:rsidR="008226FA" w:rsidRDefault="008226FA" w:rsidP="008226FA">
            <w:pPr>
              <w:rPr>
                <w:rFonts w:cstheme="minorHAnsi"/>
              </w:rPr>
            </w:pPr>
            <w:r w:rsidRPr="007801A8">
              <w:rPr>
                <w:rFonts w:cstheme="minorHAnsi"/>
              </w:rPr>
              <w:t>4.8</w:t>
            </w:r>
            <w:r w:rsidR="002A2E4B">
              <w:rPr>
                <w:rFonts w:cstheme="minorHAnsi"/>
              </w:rPr>
              <w:t>***</w:t>
            </w:r>
          </w:p>
          <w:p w14:paraId="7AE0A98D" w14:textId="385231C0" w:rsidR="002A2E4B" w:rsidRPr="000E4666" w:rsidRDefault="002A2E4B" w:rsidP="008226FA">
            <w:pPr>
              <w:rPr>
                <w:rFonts w:cstheme="minorHAnsi"/>
              </w:rPr>
            </w:pPr>
            <w:r>
              <w:rPr>
                <w:rFonts w:cstheme="minorHAnsi"/>
              </w:rPr>
              <w:t>(10.61)***</w:t>
            </w:r>
          </w:p>
        </w:tc>
      </w:tr>
      <w:tr w:rsidR="008226FA" w:rsidRPr="009D2F95" w14:paraId="2CA6018F" w14:textId="77777777" w:rsidTr="00BC1909">
        <w:tc>
          <w:tcPr>
            <w:tcW w:w="1271" w:type="dxa"/>
            <w:tcBorders>
              <w:top w:val="nil"/>
              <w:bottom w:val="nil"/>
            </w:tcBorders>
            <w:vAlign w:val="center"/>
          </w:tcPr>
          <w:p w14:paraId="72347C24" w14:textId="77777777" w:rsidR="008226FA" w:rsidRPr="007801A8" w:rsidRDefault="008226FA">
            <w:pPr>
              <w:rPr>
                <w:rFonts w:cstheme="minorHAnsi"/>
                <w:i/>
              </w:rPr>
            </w:pPr>
            <w:r w:rsidRPr="007801A8">
              <w:rPr>
                <w:rFonts w:cstheme="minorHAnsi"/>
                <w:i/>
              </w:rPr>
              <w:t>Volume</w:t>
            </w:r>
          </w:p>
        </w:tc>
        <w:tc>
          <w:tcPr>
            <w:tcW w:w="709" w:type="dxa"/>
            <w:tcBorders>
              <w:top w:val="nil"/>
              <w:bottom w:val="nil"/>
            </w:tcBorders>
            <w:vAlign w:val="center"/>
          </w:tcPr>
          <w:p w14:paraId="628B5A20" w14:textId="77777777" w:rsidR="008226FA" w:rsidRPr="007E0583" w:rsidRDefault="008226FA" w:rsidP="008226FA">
            <w:pPr>
              <w:rPr>
                <w:rFonts w:cstheme="minorHAnsi"/>
              </w:rPr>
            </w:pPr>
            <w:r w:rsidRPr="007E0583">
              <w:rPr>
                <w:rFonts w:ascii="Calibri" w:hAnsi="Calibri" w:cs="Calibri"/>
                <w:color w:val="000000"/>
              </w:rPr>
              <w:t>6676</w:t>
            </w:r>
          </w:p>
        </w:tc>
        <w:tc>
          <w:tcPr>
            <w:tcW w:w="1134" w:type="dxa"/>
            <w:tcBorders>
              <w:top w:val="nil"/>
              <w:bottom w:val="nil"/>
            </w:tcBorders>
            <w:vAlign w:val="center"/>
          </w:tcPr>
          <w:p w14:paraId="170D70F1" w14:textId="77777777" w:rsidR="008226FA" w:rsidRDefault="008226FA" w:rsidP="008226FA">
            <w:pPr>
              <w:rPr>
                <w:rFonts w:ascii="Calibri" w:hAnsi="Calibri" w:cs="Calibri"/>
                <w:color w:val="000000"/>
              </w:rPr>
            </w:pPr>
            <w:r>
              <w:rPr>
                <w:rFonts w:ascii="Calibri" w:hAnsi="Calibri" w:cs="Calibri"/>
                <w:color w:val="000000"/>
              </w:rPr>
              <w:t>0.166</w:t>
            </w:r>
          </w:p>
          <w:p w14:paraId="79B295EE" w14:textId="77777777" w:rsidR="008226FA" w:rsidRPr="000E4666" w:rsidRDefault="008226FA" w:rsidP="008226FA">
            <w:pPr>
              <w:rPr>
                <w:rFonts w:cstheme="minorHAnsi"/>
              </w:rPr>
            </w:pPr>
            <w:r>
              <w:rPr>
                <w:rFonts w:ascii="Calibri" w:hAnsi="Calibri" w:cs="Calibri"/>
                <w:color w:val="000000"/>
              </w:rPr>
              <w:t>(0.077)</w:t>
            </w:r>
          </w:p>
        </w:tc>
        <w:tc>
          <w:tcPr>
            <w:tcW w:w="709" w:type="dxa"/>
            <w:tcBorders>
              <w:top w:val="nil"/>
              <w:bottom w:val="nil"/>
            </w:tcBorders>
            <w:vAlign w:val="center"/>
          </w:tcPr>
          <w:p w14:paraId="532EB722" w14:textId="687C6CBC" w:rsidR="008226FA" w:rsidRPr="000E4666" w:rsidRDefault="008226FA" w:rsidP="008226FA">
            <w:pPr>
              <w:rPr>
                <w:rFonts w:cstheme="minorHAnsi"/>
              </w:rPr>
            </w:pPr>
            <w:r>
              <w:rPr>
                <w:rFonts w:cstheme="minorHAnsi"/>
              </w:rPr>
              <w:t>2888</w:t>
            </w:r>
          </w:p>
        </w:tc>
        <w:tc>
          <w:tcPr>
            <w:tcW w:w="1134" w:type="dxa"/>
            <w:tcBorders>
              <w:top w:val="nil"/>
              <w:bottom w:val="nil"/>
            </w:tcBorders>
            <w:vAlign w:val="center"/>
          </w:tcPr>
          <w:p w14:paraId="3AA5706E" w14:textId="77777777" w:rsidR="008226FA" w:rsidRDefault="008226FA" w:rsidP="008226FA">
            <w:pPr>
              <w:rPr>
                <w:rFonts w:cstheme="minorHAnsi"/>
              </w:rPr>
            </w:pPr>
            <w:r w:rsidRPr="007801A8">
              <w:rPr>
                <w:rFonts w:cstheme="minorHAnsi"/>
              </w:rPr>
              <w:t>0.178</w:t>
            </w:r>
          </w:p>
          <w:p w14:paraId="706A812D" w14:textId="06F75ADD" w:rsidR="002A2E4B" w:rsidRPr="000E4666" w:rsidRDefault="002A2E4B" w:rsidP="008226FA">
            <w:pPr>
              <w:rPr>
                <w:rFonts w:cstheme="minorHAnsi"/>
              </w:rPr>
            </w:pPr>
            <w:r>
              <w:rPr>
                <w:rFonts w:cstheme="minorHAnsi"/>
              </w:rPr>
              <w:t>(0.089)</w:t>
            </w:r>
          </w:p>
        </w:tc>
        <w:tc>
          <w:tcPr>
            <w:tcW w:w="708" w:type="dxa"/>
            <w:tcBorders>
              <w:top w:val="nil"/>
              <w:bottom w:val="nil"/>
            </w:tcBorders>
            <w:vAlign w:val="center"/>
          </w:tcPr>
          <w:p w14:paraId="40EA9841" w14:textId="6A27EABD" w:rsidR="008226FA" w:rsidRPr="000E4666" w:rsidRDefault="008226FA" w:rsidP="008226FA">
            <w:pPr>
              <w:rPr>
                <w:rFonts w:cstheme="minorHAnsi"/>
              </w:rPr>
            </w:pPr>
            <w:r w:rsidRPr="007801A8">
              <w:rPr>
                <w:rFonts w:cstheme="minorHAnsi"/>
              </w:rPr>
              <w:t>3788</w:t>
            </w:r>
          </w:p>
        </w:tc>
        <w:tc>
          <w:tcPr>
            <w:tcW w:w="1134" w:type="dxa"/>
            <w:tcBorders>
              <w:top w:val="nil"/>
              <w:bottom w:val="nil"/>
            </w:tcBorders>
            <w:vAlign w:val="center"/>
          </w:tcPr>
          <w:p w14:paraId="389FC4AB" w14:textId="77777777" w:rsidR="008226FA" w:rsidRDefault="008226FA" w:rsidP="008226FA">
            <w:pPr>
              <w:rPr>
                <w:rFonts w:cstheme="minorHAnsi"/>
              </w:rPr>
            </w:pPr>
            <w:r w:rsidRPr="007801A8">
              <w:rPr>
                <w:rFonts w:cstheme="minorHAnsi"/>
              </w:rPr>
              <w:t>0.157</w:t>
            </w:r>
          </w:p>
          <w:p w14:paraId="5DFB7443" w14:textId="544D2DF9" w:rsidR="002A2E4B" w:rsidRPr="000E4666" w:rsidRDefault="002A2E4B" w:rsidP="008226FA">
            <w:pPr>
              <w:rPr>
                <w:rFonts w:cstheme="minorHAnsi"/>
              </w:rPr>
            </w:pPr>
            <w:r>
              <w:rPr>
                <w:rFonts w:cstheme="minorHAnsi"/>
              </w:rPr>
              <w:t>(0.067)</w:t>
            </w:r>
          </w:p>
        </w:tc>
        <w:tc>
          <w:tcPr>
            <w:tcW w:w="1134" w:type="dxa"/>
            <w:tcBorders>
              <w:top w:val="nil"/>
              <w:bottom w:val="nil"/>
            </w:tcBorders>
            <w:vAlign w:val="center"/>
          </w:tcPr>
          <w:p w14:paraId="7465913A" w14:textId="2A893996" w:rsidR="008226FA" w:rsidRDefault="008226FA" w:rsidP="008226FA">
            <w:pPr>
              <w:rPr>
                <w:rFonts w:cstheme="minorHAnsi"/>
              </w:rPr>
            </w:pPr>
            <w:r w:rsidRPr="007801A8">
              <w:rPr>
                <w:rFonts w:cstheme="minorHAnsi"/>
              </w:rPr>
              <w:t>0.021</w:t>
            </w:r>
          </w:p>
          <w:p w14:paraId="543A6AC8" w14:textId="0FFDA471" w:rsidR="002A2E4B" w:rsidRPr="000E4666" w:rsidRDefault="002A2E4B" w:rsidP="008226FA">
            <w:pPr>
              <w:rPr>
                <w:rFonts w:cstheme="minorHAnsi"/>
              </w:rPr>
            </w:pPr>
            <w:r>
              <w:rPr>
                <w:rFonts w:cstheme="minorHAnsi"/>
              </w:rPr>
              <w:t>(0.022)</w:t>
            </w:r>
          </w:p>
        </w:tc>
        <w:tc>
          <w:tcPr>
            <w:tcW w:w="1276" w:type="dxa"/>
            <w:tcBorders>
              <w:top w:val="nil"/>
              <w:bottom w:val="nil"/>
            </w:tcBorders>
            <w:vAlign w:val="center"/>
          </w:tcPr>
          <w:p w14:paraId="6658A0F1" w14:textId="77777777" w:rsidR="008226FA" w:rsidRDefault="008226FA" w:rsidP="008226FA">
            <w:pPr>
              <w:rPr>
                <w:rFonts w:cstheme="minorHAnsi"/>
              </w:rPr>
            </w:pPr>
            <w:r w:rsidRPr="007801A8">
              <w:rPr>
                <w:rFonts w:cstheme="minorHAnsi"/>
              </w:rPr>
              <w:t>3.76</w:t>
            </w:r>
            <w:r w:rsidR="002A2E4B">
              <w:rPr>
                <w:rFonts w:cstheme="minorHAnsi"/>
              </w:rPr>
              <w:t>***</w:t>
            </w:r>
          </w:p>
          <w:p w14:paraId="601F5252" w14:textId="6EFF5D37" w:rsidR="002A2E4B" w:rsidRPr="000E4666" w:rsidRDefault="002A2E4B" w:rsidP="008226FA">
            <w:pPr>
              <w:rPr>
                <w:rFonts w:cstheme="minorHAnsi"/>
              </w:rPr>
            </w:pPr>
            <w:r>
              <w:rPr>
                <w:rFonts w:cstheme="minorHAnsi"/>
              </w:rPr>
              <w:t>(6.04)***</w:t>
            </w:r>
          </w:p>
        </w:tc>
      </w:tr>
      <w:tr w:rsidR="008226FA" w:rsidRPr="009D2F95" w14:paraId="6C8339FF" w14:textId="77777777" w:rsidTr="00BC1909">
        <w:tc>
          <w:tcPr>
            <w:tcW w:w="1271" w:type="dxa"/>
            <w:tcBorders>
              <w:top w:val="nil"/>
            </w:tcBorders>
            <w:vAlign w:val="center"/>
          </w:tcPr>
          <w:p w14:paraId="7796A8C2" w14:textId="77777777" w:rsidR="008226FA" w:rsidRPr="007801A8" w:rsidRDefault="008226FA">
            <w:pPr>
              <w:rPr>
                <w:rFonts w:cstheme="minorHAnsi"/>
                <w:i/>
              </w:rPr>
            </w:pPr>
            <w:r w:rsidRPr="007801A8">
              <w:rPr>
                <w:rFonts w:cstheme="minorHAnsi"/>
                <w:i/>
              </w:rPr>
              <w:t>Volatility</w:t>
            </w:r>
          </w:p>
        </w:tc>
        <w:tc>
          <w:tcPr>
            <w:tcW w:w="709" w:type="dxa"/>
            <w:tcBorders>
              <w:top w:val="nil"/>
            </w:tcBorders>
            <w:vAlign w:val="center"/>
          </w:tcPr>
          <w:p w14:paraId="69D50433" w14:textId="77777777" w:rsidR="008226FA" w:rsidRPr="007E0583" w:rsidRDefault="008226FA" w:rsidP="008226FA">
            <w:pPr>
              <w:rPr>
                <w:rFonts w:cstheme="minorHAnsi"/>
              </w:rPr>
            </w:pPr>
            <w:r w:rsidRPr="007E0583">
              <w:rPr>
                <w:rFonts w:ascii="Calibri" w:hAnsi="Calibri" w:cs="Calibri"/>
                <w:color w:val="000000"/>
              </w:rPr>
              <w:t>9159</w:t>
            </w:r>
          </w:p>
        </w:tc>
        <w:tc>
          <w:tcPr>
            <w:tcW w:w="1134" w:type="dxa"/>
            <w:tcBorders>
              <w:top w:val="nil"/>
            </w:tcBorders>
            <w:vAlign w:val="center"/>
          </w:tcPr>
          <w:p w14:paraId="2C0EFDC2" w14:textId="77777777" w:rsidR="008226FA" w:rsidRDefault="008226FA" w:rsidP="008226FA">
            <w:pPr>
              <w:rPr>
                <w:rFonts w:ascii="Calibri" w:hAnsi="Calibri" w:cs="Calibri"/>
                <w:color w:val="000000"/>
              </w:rPr>
            </w:pPr>
            <w:r>
              <w:rPr>
                <w:rFonts w:ascii="Calibri" w:hAnsi="Calibri" w:cs="Calibri"/>
                <w:color w:val="000000"/>
              </w:rPr>
              <w:t>0.028</w:t>
            </w:r>
          </w:p>
          <w:p w14:paraId="5629BE29" w14:textId="77777777" w:rsidR="008226FA" w:rsidRPr="000E4666" w:rsidRDefault="008226FA" w:rsidP="008226FA">
            <w:pPr>
              <w:rPr>
                <w:rFonts w:cstheme="minorHAnsi"/>
              </w:rPr>
            </w:pPr>
            <w:r>
              <w:rPr>
                <w:rFonts w:ascii="Calibri" w:hAnsi="Calibri" w:cs="Calibri"/>
                <w:color w:val="000000"/>
              </w:rPr>
              <w:t>(0.024)</w:t>
            </w:r>
          </w:p>
        </w:tc>
        <w:tc>
          <w:tcPr>
            <w:tcW w:w="709" w:type="dxa"/>
            <w:tcBorders>
              <w:top w:val="nil"/>
            </w:tcBorders>
            <w:vAlign w:val="center"/>
          </w:tcPr>
          <w:p w14:paraId="1A711E10" w14:textId="7001815F" w:rsidR="008226FA" w:rsidRPr="000E4666" w:rsidRDefault="008226FA" w:rsidP="008226FA">
            <w:pPr>
              <w:rPr>
                <w:rFonts w:cstheme="minorHAnsi"/>
              </w:rPr>
            </w:pPr>
            <w:r>
              <w:rPr>
                <w:rFonts w:cstheme="minorHAnsi"/>
              </w:rPr>
              <w:t>3631</w:t>
            </w:r>
          </w:p>
        </w:tc>
        <w:tc>
          <w:tcPr>
            <w:tcW w:w="1134" w:type="dxa"/>
            <w:tcBorders>
              <w:top w:val="nil"/>
            </w:tcBorders>
            <w:vAlign w:val="center"/>
          </w:tcPr>
          <w:p w14:paraId="49F88346" w14:textId="77777777" w:rsidR="008226FA" w:rsidRDefault="008226FA" w:rsidP="008226FA">
            <w:pPr>
              <w:rPr>
                <w:rFonts w:cstheme="minorHAnsi"/>
              </w:rPr>
            </w:pPr>
            <w:r w:rsidRPr="007801A8">
              <w:rPr>
                <w:rFonts w:cstheme="minorHAnsi"/>
              </w:rPr>
              <w:t>0.025</w:t>
            </w:r>
          </w:p>
          <w:p w14:paraId="564BDF87" w14:textId="5697FE54" w:rsidR="002A2E4B" w:rsidRPr="000E4666" w:rsidRDefault="002A2E4B" w:rsidP="008226FA">
            <w:pPr>
              <w:rPr>
                <w:rFonts w:cstheme="minorHAnsi"/>
              </w:rPr>
            </w:pPr>
            <w:r>
              <w:rPr>
                <w:rFonts w:cstheme="minorHAnsi"/>
              </w:rPr>
              <w:t>(0.021)</w:t>
            </w:r>
          </w:p>
        </w:tc>
        <w:tc>
          <w:tcPr>
            <w:tcW w:w="708" w:type="dxa"/>
            <w:tcBorders>
              <w:top w:val="nil"/>
            </w:tcBorders>
            <w:vAlign w:val="center"/>
          </w:tcPr>
          <w:p w14:paraId="37CB17CF" w14:textId="666E84EF" w:rsidR="008226FA" w:rsidRPr="000E4666" w:rsidRDefault="008226FA" w:rsidP="008226FA">
            <w:pPr>
              <w:rPr>
                <w:rFonts w:cstheme="minorHAnsi"/>
              </w:rPr>
            </w:pPr>
            <w:r w:rsidRPr="007801A8">
              <w:rPr>
                <w:rFonts w:cstheme="minorHAnsi"/>
              </w:rPr>
              <w:t>5528</w:t>
            </w:r>
          </w:p>
        </w:tc>
        <w:tc>
          <w:tcPr>
            <w:tcW w:w="1134" w:type="dxa"/>
            <w:tcBorders>
              <w:top w:val="nil"/>
            </w:tcBorders>
            <w:vAlign w:val="center"/>
          </w:tcPr>
          <w:p w14:paraId="2524DC50" w14:textId="77777777" w:rsidR="008226FA" w:rsidRDefault="008226FA" w:rsidP="008226FA">
            <w:pPr>
              <w:rPr>
                <w:rFonts w:cstheme="minorHAnsi"/>
              </w:rPr>
            </w:pPr>
            <w:r w:rsidRPr="007801A8">
              <w:rPr>
                <w:rFonts w:cstheme="minorHAnsi"/>
              </w:rPr>
              <w:t>0.030</w:t>
            </w:r>
          </w:p>
          <w:p w14:paraId="63FB89A4" w14:textId="3BD6CE65" w:rsidR="002A2E4B" w:rsidRPr="000E4666" w:rsidRDefault="002A2E4B" w:rsidP="008226FA">
            <w:pPr>
              <w:rPr>
                <w:rFonts w:cstheme="minorHAnsi"/>
              </w:rPr>
            </w:pPr>
            <w:r>
              <w:rPr>
                <w:rFonts w:cstheme="minorHAnsi"/>
              </w:rPr>
              <w:t>(0.026)</w:t>
            </w:r>
          </w:p>
        </w:tc>
        <w:tc>
          <w:tcPr>
            <w:tcW w:w="1134" w:type="dxa"/>
            <w:tcBorders>
              <w:top w:val="nil"/>
            </w:tcBorders>
            <w:vAlign w:val="center"/>
          </w:tcPr>
          <w:p w14:paraId="16E773A2" w14:textId="330D7532" w:rsidR="008226FA" w:rsidRDefault="008226FA" w:rsidP="008226FA">
            <w:pPr>
              <w:rPr>
                <w:rFonts w:cstheme="minorHAnsi"/>
              </w:rPr>
            </w:pPr>
            <w:r w:rsidRPr="007801A8">
              <w:rPr>
                <w:rFonts w:cstheme="minorHAnsi"/>
              </w:rPr>
              <w:t>-0.004</w:t>
            </w:r>
          </w:p>
          <w:p w14:paraId="72F9D3DB" w14:textId="644D5DEC" w:rsidR="002A2E4B" w:rsidRPr="000E4666" w:rsidRDefault="002A2E4B" w:rsidP="008226FA">
            <w:pPr>
              <w:rPr>
                <w:rFonts w:cstheme="minorHAnsi"/>
              </w:rPr>
            </w:pPr>
            <w:r>
              <w:rPr>
                <w:rFonts w:cstheme="minorHAnsi"/>
              </w:rPr>
              <w:t>(-0.005)</w:t>
            </w:r>
          </w:p>
        </w:tc>
        <w:tc>
          <w:tcPr>
            <w:tcW w:w="1276" w:type="dxa"/>
            <w:tcBorders>
              <w:top w:val="nil"/>
            </w:tcBorders>
            <w:vAlign w:val="center"/>
          </w:tcPr>
          <w:p w14:paraId="3589F26F" w14:textId="77777777" w:rsidR="008226FA" w:rsidRDefault="008226FA" w:rsidP="008226FA">
            <w:pPr>
              <w:rPr>
                <w:rFonts w:cstheme="minorHAnsi"/>
              </w:rPr>
            </w:pPr>
            <w:r w:rsidRPr="007801A8">
              <w:rPr>
                <w:rFonts w:cstheme="minorHAnsi"/>
              </w:rPr>
              <w:t>-14.09</w:t>
            </w:r>
            <w:r w:rsidR="002A2E4B">
              <w:rPr>
                <w:rFonts w:cstheme="minorHAnsi"/>
              </w:rPr>
              <w:t>***</w:t>
            </w:r>
          </w:p>
          <w:p w14:paraId="75417DC7" w14:textId="566A3D9B" w:rsidR="002A2E4B" w:rsidRPr="000E4666" w:rsidRDefault="00E82746" w:rsidP="008226FA">
            <w:pPr>
              <w:rPr>
                <w:rFonts w:cstheme="minorHAnsi"/>
              </w:rPr>
            </w:pPr>
            <w:r>
              <w:rPr>
                <w:rFonts w:cstheme="minorHAnsi"/>
              </w:rPr>
              <w:t>-15.73***</w:t>
            </w:r>
          </w:p>
        </w:tc>
      </w:tr>
    </w:tbl>
    <w:p w14:paraId="6D04A8B8" w14:textId="77777777" w:rsidR="006716DF" w:rsidRDefault="006716DF" w:rsidP="00A7508A">
      <w:pPr>
        <w:jc w:val="both"/>
      </w:pPr>
    </w:p>
    <w:p w14:paraId="565CEFA0" w14:textId="71DA32AD" w:rsidR="00A7508A" w:rsidRDefault="00492C81" w:rsidP="00A7508A">
      <w:pPr>
        <w:jc w:val="both"/>
        <w:rPr>
          <w:highlight w:val="yellow"/>
        </w:rPr>
      </w:pPr>
      <w:r>
        <w:t xml:space="preserve">This table reports the descriptive statistics </w:t>
      </w:r>
      <w:r w:rsidR="00FC7157">
        <w:t>for</w:t>
      </w:r>
      <w:r>
        <w:t xml:space="preserve"> the sample of project announcements</w:t>
      </w:r>
      <w:r w:rsidR="008226FA">
        <w:t xml:space="preserve"> by </w:t>
      </w:r>
      <w:r w:rsidR="00E82746">
        <w:t xml:space="preserve">level of </w:t>
      </w:r>
      <w:r w:rsidR="000D4918">
        <w:t>transparency</w:t>
      </w:r>
      <w:r>
        <w:t>.</w:t>
      </w:r>
      <w:r w:rsidR="008226FA">
        <w:t xml:space="preserve"> </w:t>
      </w:r>
      <w:r w:rsidR="00E82746">
        <w:t xml:space="preserve">Panel A presents the statistics relating to variables used in the </w:t>
      </w:r>
      <w:r w:rsidR="00E82746" w:rsidRPr="00CF4E8D">
        <w:rPr>
          <w:i/>
        </w:rPr>
        <w:t>CAR</w:t>
      </w:r>
      <w:r w:rsidR="00E82746">
        <w:t xml:space="preserve"> </w:t>
      </w:r>
      <w:r w:rsidR="000D4918" w:rsidRPr="002B6789">
        <w:t>[0,+2]</w:t>
      </w:r>
      <w:r w:rsidR="000D4918">
        <w:rPr>
          <w:i/>
        </w:rPr>
        <w:t xml:space="preserve"> </w:t>
      </w:r>
      <w:r w:rsidR="00E82746">
        <w:t xml:space="preserve">analysis for the sample of 239 project announcements, and Panel B presents the statistics relating to variables used in the bid-ask spread </w:t>
      </w:r>
      <w:r w:rsidR="007E0583">
        <w:t>analysis for</w:t>
      </w:r>
      <w:r w:rsidR="00E82746">
        <w:t xml:space="preserve"> the window </w:t>
      </w:r>
      <w:r w:rsidR="007B4598">
        <w:t>[</w:t>
      </w:r>
      <w:r w:rsidR="00E82746">
        <w:t>-20,+20</w:t>
      </w:r>
      <w:r w:rsidR="007B4598">
        <w:t>]</w:t>
      </w:r>
      <w:r w:rsidR="00E82746">
        <w:t xml:space="preserve"> surrounding the project announcements. </w:t>
      </w:r>
      <w:r w:rsidR="008226FA">
        <w:t xml:space="preserve">High </w:t>
      </w:r>
      <w:r w:rsidR="009D2B8C">
        <w:t>transparency</w:t>
      </w:r>
      <w:r>
        <w:t xml:space="preserve"> </w:t>
      </w:r>
      <w:r w:rsidR="008226FA">
        <w:t xml:space="preserve">denotes the group of new project announcements for which </w:t>
      </w:r>
      <w:r w:rsidR="008226FA">
        <w:rPr>
          <w:rFonts w:ascii="Calibri" w:eastAsia="Calibri" w:hAnsi="Calibri" w:cs="Times New Roman"/>
        </w:rPr>
        <w:t>t</w:t>
      </w:r>
      <w:r w:rsidR="008226FA" w:rsidRPr="00B91328">
        <w:rPr>
          <w:rFonts w:ascii="Calibri" w:eastAsia="Calibri" w:hAnsi="Calibri" w:cs="Times New Roman"/>
        </w:rPr>
        <w:t>he total number of quantitative measures disclosed regarding the profitability</w:t>
      </w:r>
      <w:r w:rsidR="008226FA">
        <w:rPr>
          <w:rFonts w:ascii="Calibri" w:eastAsia="Calibri" w:hAnsi="Calibri" w:cs="Times New Roman"/>
        </w:rPr>
        <w:t xml:space="preserve"> and</w:t>
      </w:r>
      <w:r w:rsidR="008226FA" w:rsidRPr="00B91328">
        <w:rPr>
          <w:rFonts w:ascii="Calibri" w:eastAsia="Calibri" w:hAnsi="Calibri" w:cs="Times New Roman"/>
        </w:rPr>
        <w:t xml:space="preserve"> cost of project  </w:t>
      </w:r>
      <w:r w:rsidR="008226FA" w:rsidRPr="00546729">
        <w:rPr>
          <w:rFonts w:ascii="Calibri" w:eastAsia="Calibri" w:hAnsi="Calibri" w:cs="Times New Roman"/>
          <w:i/>
        </w:rPr>
        <w:t>j</w:t>
      </w:r>
      <w:r w:rsidR="008226FA" w:rsidRPr="00B91328">
        <w:rPr>
          <w:rFonts w:ascii="Calibri" w:eastAsia="Calibri" w:hAnsi="Calibri" w:cs="Times New Roman"/>
        </w:rPr>
        <w:t xml:space="preserve"> </w:t>
      </w:r>
      <w:r w:rsidR="008226FA">
        <w:rPr>
          <w:rFonts w:ascii="Calibri" w:eastAsia="Calibri" w:hAnsi="Calibri" w:cs="Times New Roman"/>
        </w:rPr>
        <w:t xml:space="preserve">is greater than 1, and low </w:t>
      </w:r>
      <w:r w:rsidR="009D2B8C">
        <w:rPr>
          <w:rFonts w:ascii="Calibri" w:eastAsia="Calibri" w:hAnsi="Calibri" w:cs="Times New Roman"/>
        </w:rPr>
        <w:t>transparency</w:t>
      </w:r>
      <w:r w:rsidR="008226FA">
        <w:rPr>
          <w:rFonts w:ascii="Calibri" w:eastAsia="Calibri" w:hAnsi="Calibri" w:cs="Times New Roman"/>
        </w:rPr>
        <w:t xml:space="preserve"> </w:t>
      </w:r>
      <w:r w:rsidR="008226FA">
        <w:t xml:space="preserve">denotes the group of new project announcements for which </w:t>
      </w:r>
      <w:r w:rsidR="008226FA">
        <w:rPr>
          <w:rFonts w:ascii="Calibri" w:eastAsia="Calibri" w:hAnsi="Calibri" w:cs="Times New Roman"/>
        </w:rPr>
        <w:t>t</w:t>
      </w:r>
      <w:r w:rsidR="008226FA" w:rsidRPr="00B91328">
        <w:rPr>
          <w:rFonts w:ascii="Calibri" w:eastAsia="Calibri" w:hAnsi="Calibri" w:cs="Times New Roman"/>
        </w:rPr>
        <w:t>he total number of quantitative measures disclosed regarding the profitability</w:t>
      </w:r>
      <w:r w:rsidR="008226FA">
        <w:rPr>
          <w:rFonts w:ascii="Calibri" w:eastAsia="Calibri" w:hAnsi="Calibri" w:cs="Times New Roman"/>
        </w:rPr>
        <w:t xml:space="preserve"> and</w:t>
      </w:r>
      <w:r w:rsidR="008226FA" w:rsidRPr="00B91328">
        <w:rPr>
          <w:rFonts w:ascii="Calibri" w:eastAsia="Calibri" w:hAnsi="Calibri" w:cs="Times New Roman"/>
        </w:rPr>
        <w:t xml:space="preserve"> cost of project  </w:t>
      </w:r>
      <w:r w:rsidR="008226FA" w:rsidRPr="00546729">
        <w:rPr>
          <w:rFonts w:ascii="Calibri" w:eastAsia="Calibri" w:hAnsi="Calibri" w:cs="Times New Roman"/>
          <w:i/>
        </w:rPr>
        <w:t>j</w:t>
      </w:r>
      <w:r w:rsidR="008226FA" w:rsidRPr="00B91328">
        <w:rPr>
          <w:rFonts w:ascii="Calibri" w:eastAsia="Calibri" w:hAnsi="Calibri" w:cs="Times New Roman"/>
        </w:rPr>
        <w:t xml:space="preserve"> </w:t>
      </w:r>
      <w:r w:rsidR="008226FA">
        <w:rPr>
          <w:rFonts w:ascii="Calibri" w:eastAsia="Calibri" w:hAnsi="Calibri" w:cs="Times New Roman"/>
        </w:rPr>
        <w:t xml:space="preserve">is </w:t>
      </w:r>
      <w:r w:rsidR="00B673F5">
        <w:rPr>
          <w:rFonts w:ascii="Calibri" w:eastAsia="Calibri" w:hAnsi="Calibri" w:cs="Times New Roman"/>
        </w:rPr>
        <w:t xml:space="preserve">less than or equal to </w:t>
      </w:r>
      <w:r w:rsidR="008226FA">
        <w:rPr>
          <w:rFonts w:ascii="Calibri" w:eastAsia="Calibri" w:hAnsi="Calibri" w:cs="Times New Roman"/>
        </w:rPr>
        <w:t xml:space="preserve">1, </w:t>
      </w:r>
      <w:r w:rsidR="00A7508A">
        <w:rPr>
          <w:i/>
        </w:rPr>
        <w:t xml:space="preserve">CAR02 </w:t>
      </w:r>
      <w:r w:rsidR="00A7508A">
        <w:t xml:space="preserve">is the cumulative abnormal (market-adjusted) return across event window </w:t>
      </w:r>
      <w:r w:rsidR="009D2B8C">
        <w:t>[</w:t>
      </w:r>
      <w:r w:rsidR="00A7508A">
        <w:t>0,+2</w:t>
      </w:r>
      <w:r w:rsidR="009D2B8C">
        <w:t>]</w:t>
      </w:r>
      <w:r w:rsidR="00A7508A">
        <w:t xml:space="preserve">; </w:t>
      </w:r>
      <w:r w:rsidR="0079518B" w:rsidRPr="0079518B">
        <w:rPr>
          <w:i/>
        </w:rPr>
        <w:t xml:space="preserve">SDEarn </w:t>
      </w:r>
      <w:r w:rsidR="0079518B" w:rsidRPr="0079518B">
        <w:t xml:space="preserve">is the standard deviation of earnings before extraordinary items divided by average total assets from t-5 to t-1;  </w:t>
      </w:r>
      <w:r w:rsidR="00A7508A">
        <w:rPr>
          <w:i/>
        </w:rPr>
        <w:t>Debt</w:t>
      </w:r>
      <w:r w:rsidR="00A7508A">
        <w:t xml:space="preserve"> is total debt divided by total assets; </w:t>
      </w:r>
      <w:r w:rsidR="00A7508A" w:rsidRPr="008F41FA">
        <w:t xml:space="preserve"> </w:t>
      </w:r>
      <w:r w:rsidR="00B673F5" w:rsidRPr="004118AA">
        <w:rPr>
          <w:rFonts w:ascii="Calibri" w:eastAsia="Calibri" w:hAnsi="Calibri" w:cs="Calibri"/>
          <w:i/>
        </w:rPr>
        <w:t>CFD</w:t>
      </w:r>
      <w:r w:rsidR="00B673F5" w:rsidRPr="004118AA">
        <w:rPr>
          <w:rFonts w:ascii="Calibri" w:eastAsia="Calibri" w:hAnsi="Calibri" w:cs="Calibri"/>
          <w:i/>
          <w:vertAlign w:val="subscript"/>
        </w:rPr>
        <w:t>H</w:t>
      </w:r>
      <w:r w:rsidR="00B673F5" w:rsidRPr="004118AA">
        <w:rPr>
          <w:rFonts w:ascii="Calibri" w:eastAsia="Calibri" w:hAnsi="Calibri" w:cs="Times New Roman"/>
        </w:rPr>
        <w:t xml:space="preserve"> </w:t>
      </w:r>
      <w:r w:rsidR="00B673F5" w:rsidRPr="004118AA">
        <w:rPr>
          <w:rFonts w:ascii="Calibri" w:eastAsia="Calibri" w:hAnsi="Calibri" w:cs="Calibri"/>
        </w:rPr>
        <w:t xml:space="preserve"> is a </w:t>
      </w:r>
      <w:r w:rsidR="00B673F5">
        <w:rPr>
          <w:rFonts w:ascii="Calibri" w:eastAsia="Calibri" w:hAnsi="Calibri" w:cs="Calibri"/>
        </w:rPr>
        <w:t xml:space="preserve">high cash flow </w:t>
      </w:r>
      <w:r w:rsidR="00B673F5" w:rsidRPr="004118AA">
        <w:rPr>
          <w:rFonts w:ascii="Calibri" w:eastAsia="Calibri" w:hAnsi="Calibri" w:cs="Calibri"/>
        </w:rPr>
        <w:t xml:space="preserve">dummy = 1 when firm </w:t>
      </w:r>
      <w:r w:rsidR="00B673F5" w:rsidRPr="00546729">
        <w:rPr>
          <w:rFonts w:ascii="Calibri" w:eastAsia="Calibri" w:hAnsi="Calibri" w:cs="Calibri"/>
          <w:i/>
        </w:rPr>
        <w:t>i</w:t>
      </w:r>
      <w:r w:rsidR="00B673F5" w:rsidRPr="004118AA">
        <w:rPr>
          <w:rFonts w:ascii="Calibri" w:eastAsia="Calibri" w:hAnsi="Calibri" w:cs="Calibri"/>
        </w:rPr>
        <w:t xml:space="preserve"> </w:t>
      </w:r>
      <w:r w:rsidR="00B673F5" w:rsidRPr="004118AA">
        <w:rPr>
          <w:rFonts w:ascii="Calibri" w:eastAsia="Calibri" w:hAnsi="Calibri" w:cs="Times New Roman"/>
          <w:i/>
        </w:rPr>
        <w:t>CF</w:t>
      </w:r>
      <w:r w:rsidR="00B673F5" w:rsidRPr="004118AA">
        <w:rPr>
          <w:rFonts w:ascii="Calibri" w:eastAsia="Calibri" w:hAnsi="Calibri" w:cs="Times New Roman"/>
          <w:i/>
          <w:vertAlign w:val="subscript"/>
        </w:rPr>
        <w:t>i,t-1</w:t>
      </w:r>
      <w:r w:rsidR="00B673F5" w:rsidRPr="004118AA">
        <w:rPr>
          <w:rFonts w:ascii="Calibri" w:eastAsia="Calibri" w:hAnsi="Calibri" w:cs="Times New Roman"/>
        </w:rPr>
        <w:t xml:space="preserve"> is above the median </w:t>
      </w:r>
      <w:r w:rsidR="00B673F5" w:rsidRPr="004118AA">
        <w:rPr>
          <w:rFonts w:ascii="Calibri" w:eastAsia="Calibri" w:hAnsi="Calibri" w:cs="Times New Roman"/>
          <w:i/>
        </w:rPr>
        <w:t>CF</w:t>
      </w:r>
      <w:r w:rsidR="00B673F5" w:rsidRPr="004118AA">
        <w:rPr>
          <w:rFonts w:ascii="Calibri" w:eastAsia="Calibri" w:hAnsi="Calibri" w:cs="Times New Roman"/>
          <w:i/>
          <w:vertAlign w:val="subscript"/>
        </w:rPr>
        <w:t>t-1</w:t>
      </w:r>
      <w:r w:rsidR="00B673F5" w:rsidRPr="004118AA">
        <w:rPr>
          <w:rFonts w:ascii="Calibri" w:eastAsia="Calibri" w:hAnsi="Calibri" w:cs="Times New Roman"/>
        </w:rPr>
        <w:t xml:space="preserve"> for all firms</w:t>
      </w:r>
      <w:r w:rsidR="00B673F5">
        <w:rPr>
          <w:rFonts w:ascii="Calibri" w:eastAsia="Calibri" w:hAnsi="Calibri" w:cs="Times New Roman"/>
        </w:rPr>
        <w:t xml:space="preserve">, and zero otherwise, where </w:t>
      </w:r>
      <w:r w:rsidR="00B673F5">
        <w:rPr>
          <w:i/>
        </w:rPr>
        <w:t>CF</w:t>
      </w:r>
      <w:r w:rsidR="00B673F5">
        <w:t xml:space="preserve"> is cash flow divided by total assets; </w:t>
      </w:r>
      <w:r w:rsidR="00B673F5" w:rsidRPr="003E7172">
        <w:rPr>
          <w:rFonts w:ascii="Calibri" w:eastAsia="Calibri" w:hAnsi="Calibri" w:cs="Times New Roman"/>
          <w:i/>
        </w:rPr>
        <w:t>MBD</w:t>
      </w:r>
      <w:r w:rsidR="00B673F5" w:rsidRPr="003E7172">
        <w:rPr>
          <w:rFonts w:ascii="Calibri" w:eastAsia="Calibri" w:hAnsi="Calibri" w:cs="Times New Roman"/>
          <w:i/>
          <w:vertAlign w:val="subscript"/>
        </w:rPr>
        <w:t>L</w:t>
      </w:r>
      <w:r w:rsidR="00B673F5" w:rsidRPr="003E7172">
        <w:rPr>
          <w:rFonts w:ascii="Calibri" w:eastAsia="Calibri" w:hAnsi="Calibri" w:cs="Calibri"/>
        </w:rPr>
        <w:t xml:space="preserve"> is a </w:t>
      </w:r>
      <w:r w:rsidR="00B673F5">
        <w:rPr>
          <w:rFonts w:ascii="Calibri" w:eastAsia="Calibri" w:hAnsi="Calibri" w:cs="Calibri"/>
        </w:rPr>
        <w:t xml:space="preserve">low market to book value </w:t>
      </w:r>
      <w:r w:rsidR="00B673F5" w:rsidRPr="003E7172">
        <w:rPr>
          <w:rFonts w:ascii="Calibri" w:eastAsia="Calibri" w:hAnsi="Calibri" w:cs="Calibri"/>
        </w:rPr>
        <w:t xml:space="preserve">dummy = 1 when firm </w:t>
      </w:r>
      <w:r w:rsidR="00B673F5" w:rsidRPr="00546729">
        <w:rPr>
          <w:rFonts w:ascii="Calibri" w:eastAsia="Calibri" w:hAnsi="Calibri" w:cs="Calibri"/>
          <w:i/>
        </w:rPr>
        <w:t>i</w:t>
      </w:r>
      <w:r w:rsidR="00B673F5" w:rsidRPr="003E7172">
        <w:rPr>
          <w:rFonts w:ascii="Calibri" w:eastAsia="Calibri" w:hAnsi="Calibri" w:cs="Calibri"/>
        </w:rPr>
        <w:t xml:space="preserve"> </w:t>
      </w:r>
      <w:r w:rsidR="00B673F5" w:rsidRPr="00B91328">
        <w:rPr>
          <w:rFonts w:ascii="Calibri" w:eastAsia="Calibri" w:hAnsi="Calibri" w:cs="Times New Roman"/>
          <w:i/>
        </w:rPr>
        <w:t>MB</w:t>
      </w:r>
      <w:r w:rsidR="00B673F5" w:rsidRPr="00B91328">
        <w:rPr>
          <w:rFonts w:ascii="Calibri" w:eastAsia="Calibri" w:hAnsi="Calibri" w:cs="Times New Roman"/>
          <w:i/>
          <w:vertAlign w:val="subscript"/>
        </w:rPr>
        <w:t>i,t-1</w:t>
      </w:r>
      <w:r w:rsidR="00B673F5" w:rsidRPr="003E7172">
        <w:rPr>
          <w:rFonts w:ascii="Calibri" w:eastAsia="Calibri" w:hAnsi="Calibri" w:cs="Times New Roman"/>
        </w:rPr>
        <w:t xml:space="preserve"> is </w:t>
      </w:r>
      <w:r w:rsidR="00B673F5" w:rsidRPr="004118AA">
        <w:rPr>
          <w:rFonts w:ascii="Calibri" w:eastAsia="Calibri" w:hAnsi="Calibri" w:cs="Times New Roman"/>
        </w:rPr>
        <w:t xml:space="preserve">below the median </w:t>
      </w:r>
      <w:r w:rsidR="00B673F5" w:rsidRPr="004118AA">
        <w:rPr>
          <w:rFonts w:ascii="Calibri" w:eastAsia="Calibri" w:hAnsi="Calibri" w:cs="Times New Roman"/>
          <w:i/>
        </w:rPr>
        <w:t>MB</w:t>
      </w:r>
      <w:r w:rsidR="00B673F5" w:rsidRPr="004118AA">
        <w:rPr>
          <w:rFonts w:ascii="Calibri" w:eastAsia="Calibri" w:hAnsi="Calibri" w:cs="Times New Roman"/>
          <w:i/>
          <w:vertAlign w:val="subscript"/>
        </w:rPr>
        <w:t>t-1</w:t>
      </w:r>
      <w:r w:rsidR="00B673F5" w:rsidRPr="004118AA">
        <w:rPr>
          <w:rFonts w:ascii="Calibri" w:eastAsia="Calibri" w:hAnsi="Calibri" w:cs="Times New Roman"/>
        </w:rPr>
        <w:t xml:space="preserve"> for all firms</w:t>
      </w:r>
      <w:r w:rsidR="00B673F5">
        <w:rPr>
          <w:rFonts w:ascii="Calibri" w:eastAsia="Calibri" w:hAnsi="Calibri" w:cs="Times New Roman"/>
        </w:rPr>
        <w:t xml:space="preserve">, and zero otherwise, where </w:t>
      </w:r>
      <w:r w:rsidR="00B673F5" w:rsidRPr="00DE1359">
        <w:rPr>
          <w:i/>
        </w:rPr>
        <w:t>MB</w:t>
      </w:r>
      <w:r w:rsidR="00B673F5" w:rsidRPr="00DE1359">
        <w:t xml:space="preserve"> is the market value of equity plus total assets minus the book value of equity divided by total assets</w:t>
      </w:r>
      <w:r w:rsidR="00B673F5">
        <w:t>;</w:t>
      </w:r>
      <w:r w:rsidR="00B673F5" w:rsidRPr="00DE1359">
        <w:t xml:space="preserve"> </w:t>
      </w:r>
      <w:r w:rsidR="00A7508A" w:rsidRPr="008F41FA">
        <w:rPr>
          <w:i/>
        </w:rPr>
        <w:t xml:space="preserve">LnAssets </w:t>
      </w:r>
      <w:r w:rsidR="00A7508A" w:rsidRPr="008F41FA">
        <w:t>is the log of total assets;</w:t>
      </w:r>
      <w:r w:rsidR="00A7508A">
        <w:t xml:space="preserve"> </w:t>
      </w:r>
      <w:r w:rsidR="00A7508A" w:rsidRPr="00DE1359">
        <w:rPr>
          <w:i/>
        </w:rPr>
        <w:t xml:space="preserve">Cost </w:t>
      </w:r>
      <w:r w:rsidR="00A7508A" w:rsidRPr="00DE1359">
        <w:t xml:space="preserve">is the dollar value of project </w:t>
      </w:r>
      <w:r w:rsidR="00A7508A" w:rsidRPr="00546729">
        <w:rPr>
          <w:i/>
        </w:rPr>
        <w:t>j</w:t>
      </w:r>
      <w:r w:rsidR="00A7508A" w:rsidRPr="00DE1359">
        <w:t xml:space="preserve"> divided by total assets; </w:t>
      </w:r>
      <w:r w:rsidR="00A7508A" w:rsidRPr="00DE1359">
        <w:rPr>
          <w:i/>
        </w:rPr>
        <w:t>BAS</w:t>
      </w:r>
      <w:r w:rsidR="00A7508A" w:rsidRPr="00DE1359">
        <w:t xml:space="preserve"> is the closing percent quoted bid-ask spread for firm </w:t>
      </w:r>
      <w:r w:rsidR="00A7508A" w:rsidRPr="00546729">
        <w:rPr>
          <w:i/>
        </w:rPr>
        <w:t>i</w:t>
      </w:r>
      <w:r w:rsidR="00A7508A" w:rsidRPr="00DE1359">
        <w:t xml:space="preserve"> on day </w:t>
      </w:r>
      <w:r w:rsidR="00A7508A" w:rsidRPr="00546729">
        <w:rPr>
          <w:i/>
        </w:rPr>
        <w:lastRenderedPageBreak/>
        <w:t>d</w:t>
      </w:r>
      <w:r w:rsidR="00A7508A" w:rsidRPr="00DE1359">
        <w:t xml:space="preserve">, measured as: </w:t>
      </w:r>
      <m:oMath>
        <m:f>
          <m:fPr>
            <m:ctrlPr>
              <w:rPr>
                <w:rFonts w:ascii="Cambria Math" w:hAnsi="Cambria Math"/>
                <w:i/>
              </w:rPr>
            </m:ctrlPr>
          </m:fPr>
          <m:num>
            <m:sSub>
              <m:sSubPr>
                <m:ctrlPr>
                  <w:rPr>
                    <w:rFonts w:ascii="Cambria Math" w:hAnsi="Cambria Math"/>
                    <w:i/>
                  </w:rPr>
                </m:ctrlPr>
              </m:sSubPr>
              <m:e>
                <m:r>
                  <w:rPr>
                    <w:rFonts w:ascii="Cambria Math" w:hAnsi="Cambria Math"/>
                  </w:rPr>
                  <m:t>Closing ask</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Closing bid</m:t>
                </m:r>
              </m:e>
              <m:sub>
                <m:r>
                  <w:rPr>
                    <w:rFonts w:ascii="Cambria Math" w:hAnsi="Cambria Math"/>
                  </w:rPr>
                  <m:t>d</m:t>
                </m:r>
              </m:sub>
            </m:sSub>
          </m:num>
          <m:den>
            <m:f>
              <m:fPr>
                <m:type m:val="lin"/>
                <m:ctrlPr>
                  <w:rPr>
                    <w:rFonts w:ascii="Cambria Math" w:hAnsi="Cambria Math"/>
                    <w:i/>
                  </w:rPr>
                </m:ctrlPr>
              </m:fPr>
              <m:num>
                <m:sSub>
                  <m:sSubPr>
                    <m:ctrlPr>
                      <w:rPr>
                        <w:rFonts w:ascii="Cambria Math" w:hAnsi="Cambria Math"/>
                        <w:i/>
                      </w:rPr>
                    </m:ctrlPr>
                  </m:sSubPr>
                  <m:e>
                    <m:r>
                      <w:rPr>
                        <w:rFonts w:ascii="Cambria Math" w:hAnsi="Cambria Math"/>
                      </w:rPr>
                      <m:t>Closing ask</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Closing bid</m:t>
                    </m:r>
                  </m:e>
                  <m:sub>
                    <m:r>
                      <w:rPr>
                        <w:rFonts w:ascii="Cambria Math" w:hAnsi="Cambria Math"/>
                      </w:rPr>
                      <m:t>d</m:t>
                    </m:r>
                  </m:sub>
                </m:sSub>
              </m:num>
              <m:den>
                <m:r>
                  <w:rPr>
                    <w:rFonts w:ascii="Cambria Math" w:hAnsi="Cambria Math"/>
                  </w:rPr>
                  <m:t>2</m:t>
                </m:r>
              </m:den>
            </m:f>
          </m:den>
        </m:f>
      </m:oMath>
      <w:r w:rsidR="00A7508A" w:rsidRPr="00DE1359">
        <w:rPr>
          <w:rFonts w:eastAsiaTheme="minorEastAsia"/>
        </w:rPr>
        <w:t xml:space="preserve">; </w:t>
      </w:r>
      <w:r w:rsidR="00A7508A" w:rsidRPr="00DE1359">
        <w:rPr>
          <w:rFonts w:eastAsiaTheme="minorEastAsia"/>
          <w:i/>
        </w:rPr>
        <w:t>Price</w:t>
      </w:r>
      <w:r w:rsidR="00A7508A" w:rsidRPr="00DE1359">
        <w:rPr>
          <w:rFonts w:eastAsiaTheme="minorEastAsia"/>
        </w:rPr>
        <w:t xml:space="preserve"> is the closing stock price for firm </w:t>
      </w:r>
      <w:r w:rsidR="00A7508A" w:rsidRPr="00546729">
        <w:rPr>
          <w:rFonts w:eastAsiaTheme="minorEastAsia"/>
          <w:i/>
        </w:rPr>
        <w:t>i</w:t>
      </w:r>
      <w:r w:rsidR="00A7508A" w:rsidRPr="00DE1359">
        <w:rPr>
          <w:rFonts w:eastAsiaTheme="minorEastAsia"/>
        </w:rPr>
        <w:t xml:space="preserve"> on day </w:t>
      </w:r>
      <w:r w:rsidR="00A7508A" w:rsidRPr="00546729">
        <w:rPr>
          <w:rFonts w:eastAsiaTheme="minorEastAsia"/>
          <w:i/>
        </w:rPr>
        <w:t>d</w:t>
      </w:r>
      <w:r w:rsidR="00A7508A" w:rsidRPr="00DE1359">
        <w:rPr>
          <w:rFonts w:eastAsiaTheme="minorEastAsia"/>
        </w:rPr>
        <w:t xml:space="preserve">; </w:t>
      </w:r>
      <w:r w:rsidR="00A7508A" w:rsidRPr="00DE1359">
        <w:rPr>
          <w:rFonts w:eastAsiaTheme="minorEastAsia"/>
          <w:i/>
        </w:rPr>
        <w:t>Size</w:t>
      </w:r>
      <w:r w:rsidR="00A7508A" w:rsidRPr="00DE1359">
        <w:rPr>
          <w:rFonts w:eastAsiaTheme="minorEastAsia"/>
        </w:rPr>
        <w:t xml:space="preserve"> is the log of firm </w:t>
      </w:r>
      <w:r w:rsidR="00A7508A" w:rsidRPr="00546729">
        <w:rPr>
          <w:rFonts w:eastAsiaTheme="minorEastAsia"/>
          <w:i/>
        </w:rPr>
        <w:t>i</w:t>
      </w:r>
      <w:r w:rsidR="00A7508A" w:rsidRPr="00DE1359">
        <w:rPr>
          <w:rFonts w:eastAsiaTheme="minorEastAsia"/>
        </w:rPr>
        <w:t>’s average market value of equity for the 100 days ending 21 days before the announcement</w:t>
      </w:r>
      <w:r w:rsidR="00A7508A">
        <w:rPr>
          <w:rFonts w:eastAsiaTheme="minorEastAsia"/>
        </w:rPr>
        <w:t>;</w:t>
      </w:r>
      <w:r w:rsidR="00A7508A" w:rsidRPr="00DE1359">
        <w:rPr>
          <w:rFonts w:eastAsiaTheme="minorEastAsia"/>
        </w:rPr>
        <w:t xml:space="preserve"> </w:t>
      </w:r>
      <w:r w:rsidR="00A7508A" w:rsidRPr="00DE1359">
        <w:rPr>
          <w:rFonts w:eastAsiaTheme="minorEastAsia"/>
          <w:i/>
        </w:rPr>
        <w:t>Turnover</w:t>
      </w:r>
      <w:r w:rsidR="00A7508A" w:rsidRPr="00DE1359">
        <w:rPr>
          <w:rFonts w:eastAsiaTheme="minorEastAsia"/>
        </w:rPr>
        <w:t xml:space="preserve"> is the </w:t>
      </w:r>
      <w:r w:rsidR="005569C1">
        <w:rPr>
          <w:rFonts w:eastAsiaTheme="minorEastAsia"/>
        </w:rPr>
        <w:t>a</w:t>
      </w:r>
      <w:r w:rsidR="005569C1" w:rsidRPr="004F3632">
        <w:rPr>
          <w:rFonts w:ascii="Calibri" w:eastAsia="Calibri" w:hAnsi="Calibri" w:cs="Times New Roman"/>
        </w:rPr>
        <w:t>verage daily s</w:t>
      </w:r>
      <w:r w:rsidR="005569C1">
        <w:rPr>
          <w:rFonts w:ascii="Calibri" w:eastAsia="Calibri" w:hAnsi="Calibri" w:cs="Times New Roman"/>
        </w:rPr>
        <w:t>hare trading volume</w:t>
      </w:r>
      <w:r w:rsidR="005569C1" w:rsidRPr="004F3632">
        <w:rPr>
          <w:rFonts w:ascii="Calibri" w:eastAsia="Calibri" w:hAnsi="Calibri" w:cs="Times New Roman"/>
        </w:rPr>
        <w:t xml:space="preserve"> </w:t>
      </w:r>
      <w:r w:rsidR="00A7508A" w:rsidRPr="00DE1359">
        <w:rPr>
          <w:rFonts w:eastAsiaTheme="minorEastAsia"/>
        </w:rPr>
        <w:t xml:space="preserve">for firm </w:t>
      </w:r>
      <w:r w:rsidR="00A7508A" w:rsidRPr="00546729">
        <w:rPr>
          <w:rFonts w:eastAsiaTheme="minorEastAsia"/>
          <w:i/>
        </w:rPr>
        <w:t>i</w:t>
      </w:r>
      <w:r w:rsidR="00A7508A" w:rsidRPr="00DE1359">
        <w:rPr>
          <w:rFonts w:eastAsiaTheme="minorEastAsia"/>
        </w:rPr>
        <w:t xml:space="preserve"> for the 100 days ending 21 days before the announcement; </w:t>
      </w:r>
      <w:r w:rsidR="00A7508A" w:rsidRPr="00DE1359">
        <w:rPr>
          <w:rFonts w:eastAsiaTheme="minorEastAsia"/>
          <w:i/>
        </w:rPr>
        <w:t>Volume</w:t>
      </w:r>
      <w:r w:rsidR="00A7508A" w:rsidRPr="00DE1359">
        <w:rPr>
          <w:rFonts w:eastAsiaTheme="minorEastAsia"/>
        </w:rPr>
        <w:t xml:space="preserve"> is 100 multiplied by share trading volume for firm </w:t>
      </w:r>
      <w:r w:rsidR="00A7508A" w:rsidRPr="00546729">
        <w:rPr>
          <w:rFonts w:eastAsiaTheme="minorEastAsia"/>
          <w:i/>
        </w:rPr>
        <w:t>i</w:t>
      </w:r>
      <w:r w:rsidR="00A7508A" w:rsidRPr="00DE1359">
        <w:rPr>
          <w:rFonts w:eastAsiaTheme="minorEastAsia"/>
        </w:rPr>
        <w:t xml:space="preserve"> on day </w:t>
      </w:r>
      <w:r w:rsidR="00A7508A" w:rsidRPr="00546729">
        <w:rPr>
          <w:rFonts w:eastAsiaTheme="minorEastAsia"/>
          <w:i/>
        </w:rPr>
        <w:t>d</w:t>
      </w:r>
      <w:r w:rsidR="00A7508A" w:rsidRPr="00DE1359">
        <w:rPr>
          <w:rFonts w:eastAsiaTheme="minorEastAsia"/>
        </w:rPr>
        <w:t xml:space="preserve"> divided by the number of ordinary shares outstanding; </w:t>
      </w:r>
      <w:r w:rsidR="00B673F5">
        <w:rPr>
          <w:rFonts w:eastAsiaTheme="minorEastAsia"/>
        </w:rPr>
        <w:t xml:space="preserve">and </w:t>
      </w:r>
      <w:r w:rsidR="00A7508A" w:rsidRPr="00DE1359">
        <w:rPr>
          <w:rFonts w:eastAsiaTheme="minorEastAsia"/>
          <w:i/>
        </w:rPr>
        <w:t>Volatility</w:t>
      </w:r>
      <w:r w:rsidR="00A7508A" w:rsidRPr="00DE1359">
        <w:rPr>
          <w:rFonts w:eastAsiaTheme="minorEastAsia"/>
        </w:rPr>
        <w:t xml:space="preserve"> is the standard deviation of firm </w:t>
      </w:r>
      <w:r w:rsidR="00A7508A" w:rsidRPr="00546729">
        <w:rPr>
          <w:rFonts w:eastAsiaTheme="minorEastAsia"/>
          <w:i/>
        </w:rPr>
        <w:t>i</w:t>
      </w:r>
      <w:r w:rsidR="00A7508A" w:rsidRPr="00DE1359">
        <w:rPr>
          <w:rFonts w:eastAsiaTheme="minorEastAsia"/>
        </w:rPr>
        <w:t>’s daily stock returns for the 100 days ending 21 days before the announcement</w:t>
      </w:r>
      <w:r w:rsidR="00B673F5">
        <w:rPr>
          <w:rFonts w:eastAsiaTheme="minorEastAsia"/>
        </w:rPr>
        <w:t xml:space="preserve">. </w:t>
      </w:r>
      <w:r w:rsidR="00A7508A" w:rsidRPr="00DE1359">
        <w:rPr>
          <w:rFonts w:eastAsiaTheme="minorEastAsia"/>
        </w:rPr>
        <w:t>Unless otherwise indicated, a</w:t>
      </w:r>
      <w:r w:rsidR="00A7508A" w:rsidRPr="00DE1359">
        <w:t>ll financial</w:t>
      </w:r>
      <w:r w:rsidR="004A237F">
        <w:t xml:space="preserve"> </w:t>
      </w:r>
      <w:r w:rsidR="00A7508A" w:rsidRPr="00DE1359">
        <w:t xml:space="preserve">variables are at the beginning of the fiscal year. </w:t>
      </w:r>
      <w:r w:rsidR="00A7508A" w:rsidRPr="00DC6319">
        <w:t xml:space="preserve">We winsorise at the 1st and 99th percentiles all financial </w:t>
      </w:r>
      <w:r w:rsidR="004A237F">
        <w:t xml:space="preserve">and cost </w:t>
      </w:r>
      <w:r w:rsidR="00A7508A" w:rsidRPr="00436097">
        <w:t>variables</w:t>
      </w:r>
      <w:r w:rsidR="004A237F">
        <w:t>,</w:t>
      </w:r>
      <w:r w:rsidR="00A7508A" w:rsidRPr="00436097">
        <w:t xml:space="preserve"> </w:t>
      </w:r>
      <w:r w:rsidR="002E4EEF">
        <w:t>and the</w:t>
      </w:r>
      <w:r w:rsidR="00436097" w:rsidRPr="003D6E55">
        <w:t xml:space="preserve"> trading variables</w:t>
      </w:r>
      <w:r w:rsidR="00A7508A" w:rsidRPr="003D6E55">
        <w:t xml:space="preserve"> </w:t>
      </w:r>
      <w:r w:rsidR="00436097" w:rsidRPr="003D6E55">
        <w:rPr>
          <w:i/>
        </w:rPr>
        <w:t>BAS and Volume</w:t>
      </w:r>
      <w:r w:rsidR="00A7508A" w:rsidRPr="003D6E55">
        <w:t>.</w:t>
      </w:r>
      <w:r w:rsidR="00A7508A" w:rsidRPr="00436097">
        <w:t xml:space="preserve"> </w:t>
      </w:r>
      <w:r w:rsidR="00042BBC">
        <w:t>Differences are evaluated using t-statistics</w:t>
      </w:r>
      <w:r w:rsidR="00281F9A">
        <w:t xml:space="preserve"> (means) and </w:t>
      </w:r>
      <w:r w:rsidR="00042BBC">
        <w:t>Wilcoxon Z-statistics. *, ** and *** denote statistical significance at the 10%, 5% and 1% levels, respectively.</w:t>
      </w:r>
    </w:p>
    <w:p w14:paraId="34BCD8BA" w14:textId="77777777" w:rsidR="00073A3E" w:rsidRDefault="00073A3E">
      <w:pPr>
        <w:rPr>
          <w:highlight w:val="yellow"/>
        </w:rPr>
      </w:pPr>
    </w:p>
    <w:p w14:paraId="63DD9A23" w14:textId="38136A14" w:rsidR="00A7508A" w:rsidRDefault="00A7508A">
      <w:pPr>
        <w:rPr>
          <w:highlight w:val="yellow"/>
        </w:rPr>
      </w:pPr>
      <w:r>
        <w:rPr>
          <w:highlight w:val="yellow"/>
        </w:rPr>
        <w:br w:type="page"/>
      </w:r>
    </w:p>
    <w:p w14:paraId="617F77A3" w14:textId="1FAB3911" w:rsidR="00EB53D3" w:rsidRPr="004A6B0C" w:rsidRDefault="00EB53D3" w:rsidP="00EB53D3">
      <w:pPr>
        <w:rPr>
          <w:b/>
        </w:rPr>
      </w:pPr>
      <w:r w:rsidRPr="004A6B0C">
        <w:rPr>
          <w:b/>
        </w:rPr>
        <w:lastRenderedPageBreak/>
        <w:t xml:space="preserve">Table </w:t>
      </w:r>
      <w:r>
        <w:rPr>
          <w:b/>
        </w:rPr>
        <w:t>3</w:t>
      </w:r>
      <w:r w:rsidRPr="004A6B0C">
        <w:rPr>
          <w:b/>
        </w:rPr>
        <w:t xml:space="preserve">  Market-adjusted returns surrounding project announcements</w:t>
      </w:r>
    </w:p>
    <w:p w14:paraId="721D9263" w14:textId="77777777" w:rsidR="00EB53D3" w:rsidRDefault="00EB53D3" w:rsidP="00EB53D3"/>
    <w:tbl>
      <w:tblPr>
        <w:tblStyle w:val="TableGrid"/>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29"/>
        <w:gridCol w:w="1418"/>
        <w:gridCol w:w="1559"/>
        <w:gridCol w:w="1559"/>
        <w:gridCol w:w="1701"/>
        <w:gridCol w:w="1650"/>
      </w:tblGrid>
      <w:tr w:rsidR="00EB53D3" w14:paraId="77804836" w14:textId="77777777" w:rsidTr="005B655B">
        <w:tc>
          <w:tcPr>
            <w:tcW w:w="1129" w:type="dxa"/>
            <w:tcBorders>
              <w:bottom w:val="single" w:sz="4" w:space="0" w:color="auto"/>
            </w:tcBorders>
          </w:tcPr>
          <w:p w14:paraId="7385C890" w14:textId="77777777" w:rsidR="00EB53D3" w:rsidRPr="0053584A" w:rsidRDefault="00EB53D3" w:rsidP="005B655B">
            <w:r w:rsidRPr="0053584A">
              <w:t>Event days</w:t>
            </w:r>
          </w:p>
        </w:tc>
        <w:tc>
          <w:tcPr>
            <w:tcW w:w="1418" w:type="dxa"/>
            <w:tcBorders>
              <w:bottom w:val="single" w:sz="4" w:space="0" w:color="auto"/>
            </w:tcBorders>
          </w:tcPr>
          <w:p w14:paraId="6E6C2C07" w14:textId="77777777" w:rsidR="00EB53D3" w:rsidRPr="0053584A" w:rsidRDefault="00EB53D3" w:rsidP="005B655B">
            <w:pPr>
              <w:jc w:val="center"/>
            </w:pPr>
            <w:r w:rsidRPr="0053584A">
              <w:t>Mean</w:t>
            </w:r>
          </w:p>
        </w:tc>
        <w:tc>
          <w:tcPr>
            <w:tcW w:w="1559" w:type="dxa"/>
            <w:tcBorders>
              <w:bottom w:val="single" w:sz="4" w:space="0" w:color="auto"/>
            </w:tcBorders>
          </w:tcPr>
          <w:p w14:paraId="46E20227" w14:textId="77777777" w:rsidR="00EB53D3" w:rsidRPr="0053584A" w:rsidRDefault="00EB53D3" w:rsidP="005B655B">
            <w:pPr>
              <w:jc w:val="center"/>
            </w:pPr>
            <w:r w:rsidRPr="0053584A">
              <w:t>Median</w:t>
            </w:r>
          </w:p>
        </w:tc>
        <w:tc>
          <w:tcPr>
            <w:tcW w:w="1559" w:type="dxa"/>
            <w:tcBorders>
              <w:bottom w:val="single" w:sz="4" w:space="0" w:color="auto"/>
            </w:tcBorders>
          </w:tcPr>
          <w:p w14:paraId="67796483" w14:textId="77777777" w:rsidR="00EB53D3" w:rsidRPr="0053584A" w:rsidRDefault="00EB53D3" w:rsidP="005B655B">
            <w:pPr>
              <w:jc w:val="center"/>
            </w:pPr>
            <w:r w:rsidRPr="0053584A">
              <w:t>Propn</w:t>
            </w:r>
            <w:r>
              <w:t>.</w:t>
            </w:r>
            <w:r w:rsidRPr="0053584A">
              <w:t xml:space="preserve"> positive</w:t>
            </w:r>
          </w:p>
        </w:tc>
        <w:tc>
          <w:tcPr>
            <w:tcW w:w="1701" w:type="dxa"/>
            <w:tcBorders>
              <w:bottom w:val="single" w:sz="4" w:space="0" w:color="auto"/>
            </w:tcBorders>
          </w:tcPr>
          <w:p w14:paraId="3711E755" w14:textId="77777777" w:rsidR="00EB53D3" w:rsidRPr="0053584A" w:rsidRDefault="00EB53D3" w:rsidP="005B655B">
            <w:pPr>
              <w:jc w:val="center"/>
            </w:pPr>
            <w:r w:rsidRPr="0053584A">
              <w:t>Std</w:t>
            </w:r>
            <w:r>
              <w:t>.</w:t>
            </w:r>
            <w:r w:rsidRPr="0053584A">
              <w:t>Csect</w:t>
            </w:r>
            <w:r>
              <w:t>.</w:t>
            </w:r>
            <w:r w:rsidRPr="0053584A">
              <w:t xml:space="preserve"> </w:t>
            </w:r>
          </w:p>
          <w:p w14:paraId="44E47761" w14:textId="77777777" w:rsidR="00EB53D3" w:rsidRPr="0053584A" w:rsidRDefault="00EB53D3" w:rsidP="005B655B">
            <w:pPr>
              <w:jc w:val="center"/>
              <w:rPr>
                <w:vertAlign w:val="subscript"/>
              </w:rPr>
            </w:pPr>
            <w:r w:rsidRPr="00624D91">
              <w:rPr>
                <w:i/>
              </w:rPr>
              <w:t>Z-</w:t>
            </w:r>
            <w:r w:rsidRPr="0053584A">
              <w:t>statistic</w:t>
            </w:r>
          </w:p>
        </w:tc>
        <w:tc>
          <w:tcPr>
            <w:tcW w:w="1650" w:type="dxa"/>
            <w:tcBorders>
              <w:bottom w:val="single" w:sz="4" w:space="0" w:color="auto"/>
            </w:tcBorders>
          </w:tcPr>
          <w:p w14:paraId="0BC4935E" w14:textId="77777777" w:rsidR="00EB53D3" w:rsidRPr="0053584A" w:rsidRDefault="00EB53D3" w:rsidP="005B655B">
            <w:pPr>
              <w:jc w:val="center"/>
            </w:pPr>
            <w:r w:rsidRPr="0053584A">
              <w:t>Rank</w:t>
            </w:r>
            <w:r>
              <w:t xml:space="preserve"> test</w:t>
            </w:r>
          </w:p>
          <w:p w14:paraId="0F56296F" w14:textId="77777777" w:rsidR="00EB53D3" w:rsidRPr="0053584A" w:rsidRDefault="00EB53D3" w:rsidP="005B655B">
            <w:pPr>
              <w:jc w:val="center"/>
            </w:pPr>
            <w:r w:rsidRPr="0053584A">
              <w:t>statistic</w:t>
            </w:r>
          </w:p>
        </w:tc>
      </w:tr>
      <w:tr w:rsidR="00EB53D3" w14:paraId="39766F5D" w14:textId="77777777" w:rsidTr="005B655B">
        <w:tc>
          <w:tcPr>
            <w:tcW w:w="1129" w:type="dxa"/>
            <w:tcBorders>
              <w:bottom w:val="nil"/>
            </w:tcBorders>
          </w:tcPr>
          <w:p w14:paraId="0F5F2500" w14:textId="77777777" w:rsidR="00EB53D3" w:rsidRPr="0053584A" w:rsidRDefault="00EB53D3" w:rsidP="005B655B">
            <w:pPr>
              <w:ind w:firstLine="29"/>
            </w:pPr>
            <w:r w:rsidRPr="0053584A">
              <w:t>-2</w:t>
            </w:r>
          </w:p>
        </w:tc>
        <w:tc>
          <w:tcPr>
            <w:tcW w:w="1418" w:type="dxa"/>
            <w:tcBorders>
              <w:bottom w:val="nil"/>
            </w:tcBorders>
            <w:vAlign w:val="center"/>
          </w:tcPr>
          <w:p w14:paraId="501B1B55" w14:textId="77777777" w:rsidR="00EB53D3" w:rsidRPr="0053584A" w:rsidRDefault="00EB53D3" w:rsidP="005B655B">
            <w:pPr>
              <w:ind w:right="21"/>
              <w:jc w:val="center"/>
            </w:pPr>
            <w:r>
              <w:rPr>
                <w:rFonts w:ascii="Calibri" w:hAnsi="Calibri" w:cs="Calibri"/>
                <w:color w:val="000000"/>
              </w:rPr>
              <w:t>-0.35%</w:t>
            </w:r>
          </w:p>
        </w:tc>
        <w:tc>
          <w:tcPr>
            <w:tcW w:w="1559" w:type="dxa"/>
            <w:tcBorders>
              <w:bottom w:val="nil"/>
            </w:tcBorders>
            <w:vAlign w:val="center"/>
          </w:tcPr>
          <w:p w14:paraId="3AF47DC5" w14:textId="77777777" w:rsidR="00EB53D3" w:rsidRPr="0053584A" w:rsidRDefault="00EB53D3" w:rsidP="005B655B">
            <w:pPr>
              <w:ind w:right="299"/>
              <w:jc w:val="right"/>
            </w:pPr>
            <w:r>
              <w:rPr>
                <w:rFonts w:ascii="Calibri" w:hAnsi="Calibri" w:cs="Calibri"/>
                <w:color w:val="000000"/>
              </w:rPr>
              <w:t>-0.14%</w:t>
            </w:r>
          </w:p>
        </w:tc>
        <w:tc>
          <w:tcPr>
            <w:tcW w:w="1559" w:type="dxa"/>
            <w:tcBorders>
              <w:bottom w:val="nil"/>
            </w:tcBorders>
            <w:vAlign w:val="center"/>
          </w:tcPr>
          <w:p w14:paraId="5089CC00" w14:textId="77777777" w:rsidR="00EB53D3" w:rsidRPr="0053584A" w:rsidRDefault="00EB53D3" w:rsidP="005B655B">
            <w:pPr>
              <w:ind w:firstLine="461"/>
            </w:pPr>
            <w:r>
              <w:rPr>
                <w:rFonts w:ascii="Calibri" w:hAnsi="Calibri" w:cs="Calibri"/>
                <w:color w:val="000000"/>
              </w:rPr>
              <w:t>46%</w:t>
            </w:r>
          </w:p>
        </w:tc>
        <w:tc>
          <w:tcPr>
            <w:tcW w:w="1701" w:type="dxa"/>
            <w:tcBorders>
              <w:bottom w:val="nil"/>
            </w:tcBorders>
            <w:vAlign w:val="center"/>
          </w:tcPr>
          <w:p w14:paraId="5164093F" w14:textId="77777777" w:rsidR="00EB53D3" w:rsidRPr="0053584A" w:rsidRDefault="00EB53D3" w:rsidP="005B655B">
            <w:pPr>
              <w:ind w:left="260" w:right="180" w:firstLine="56"/>
              <w:jc w:val="both"/>
            </w:pPr>
            <w:r>
              <w:rPr>
                <w:rFonts w:ascii="Calibri" w:hAnsi="Calibri" w:cs="Calibri"/>
                <w:color w:val="000000"/>
              </w:rPr>
              <w:t>-0.711</w:t>
            </w:r>
          </w:p>
        </w:tc>
        <w:tc>
          <w:tcPr>
            <w:tcW w:w="1650" w:type="dxa"/>
            <w:tcBorders>
              <w:bottom w:val="nil"/>
            </w:tcBorders>
            <w:vAlign w:val="center"/>
          </w:tcPr>
          <w:p w14:paraId="05C38949" w14:textId="77777777" w:rsidR="00EB53D3" w:rsidRPr="0053584A" w:rsidRDefault="00EB53D3" w:rsidP="005B655B">
            <w:pPr>
              <w:ind w:left="319"/>
            </w:pPr>
            <w:r>
              <w:rPr>
                <w:rFonts w:ascii="Calibri" w:hAnsi="Calibri" w:cs="Calibri"/>
                <w:color w:val="000000"/>
              </w:rPr>
              <w:t>-1.498</w:t>
            </w:r>
          </w:p>
        </w:tc>
      </w:tr>
      <w:tr w:rsidR="00EB53D3" w14:paraId="5DC1E5C9" w14:textId="77777777" w:rsidTr="005B655B">
        <w:tc>
          <w:tcPr>
            <w:tcW w:w="1129" w:type="dxa"/>
            <w:tcBorders>
              <w:top w:val="nil"/>
              <w:bottom w:val="nil"/>
            </w:tcBorders>
          </w:tcPr>
          <w:p w14:paraId="0F9B2552" w14:textId="77777777" w:rsidR="00EB53D3" w:rsidRPr="0053584A" w:rsidRDefault="00EB53D3" w:rsidP="005B655B">
            <w:pPr>
              <w:ind w:firstLine="29"/>
            </w:pPr>
            <w:r w:rsidRPr="0053584A">
              <w:t>-1</w:t>
            </w:r>
          </w:p>
        </w:tc>
        <w:tc>
          <w:tcPr>
            <w:tcW w:w="1418" w:type="dxa"/>
            <w:tcBorders>
              <w:top w:val="nil"/>
              <w:bottom w:val="nil"/>
            </w:tcBorders>
            <w:vAlign w:val="center"/>
          </w:tcPr>
          <w:p w14:paraId="4DF368CB" w14:textId="77777777" w:rsidR="00EB53D3" w:rsidRPr="0053584A" w:rsidRDefault="00EB53D3" w:rsidP="005B655B">
            <w:pPr>
              <w:ind w:right="21"/>
              <w:jc w:val="center"/>
            </w:pPr>
            <w:r>
              <w:rPr>
                <w:rFonts w:ascii="Calibri" w:hAnsi="Calibri" w:cs="Calibri"/>
                <w:color w:val="000000"/>
              </w:rPr>
              <w:t>0.26%</w:t>
            </w:r>
          </w:p>
        </w:tc>
        <w:tc>
          <w:tcPr>
            <w:tcW w:w="1559" w:type="dxa"/>
            <w:tcBorders>
              <w:top w:val="nil"/>
              <w:bottom w:val="nil"/>
            </w:tcBorders>
            <w:vAlign w:val="center"/>
          </w:tcPr>
          <w:p w14:paraId="0E0821D2" w14:textId="77777777" w:rsidR="00EB53D3" w:rsidRPr="0053584A" w:rsidRDefault="00EB53D3" w:rsidP="005B655B">
            <w:pPr>
              <w:ind w:right="299"/>
              <w:jc w:val="right"/>
            </w:pPr>
            <w:r>
              <w:rPr>
                <w:rFonts w:ascii="Calibri" w:hAnsi="Calibri" w:cs="Calibri"/>
                <w:color w:val="000000"/>
              </w:rPr>
              <w:t>0.03%</w:t>
            </w:r>
          </w:p>
        </w:tc>
        <w:tc>
          <w:tcPr>
            <w:tcW w:w="1559" w:type="dxa"/>
            <w:tcBorders>
              <w:top w:val="nil"/>
              <w:bottom w:val="nil"/>
            </w:tcBorders>
            <w:vAlign w:val="center"/>
          </w:tcPr>
          <w:p w14:paraId="6906223E" w14:textId="77777777" w:rsidR="00EB53D3" w:rsidRPr="0053584A" w:rsidRDefault="00EB53D3" w:rsidP="005B655B">
            <w:pPr>
              <w:ind w:firstLine="461"/>
            </w:pPr>
            <w:r>
              <w:rPr>
                <w:rFonts w:ascii="Calibri" w:hAnsi="Calibri" w:cs="Calibri"/>
                <w:color w:val="000000"/>
              </w:rPr>
              <w:t>52%</w:t>
            </w:r>
          </w:p>
        </w:tc>
        <w:tc>
          <w:tcPr>
            <w:tcW w:w="1701" w:type="dxa"/>
            <w:tcBorders>
              <w:top w:val="nil"/>
              <w:bottom w:val="nil"/>
            </w:tcBorders>
            <w:vAlign w:val="center"/>
          </w:tcPr>
          <w:p w14:paraId="2B5CA421" w14:textId="77777777" w:rsidR="00EB53D3" w:rsidRPr="0053584A" w:rsidRDefault="00EB53D3" w:rsidP="005B655B">
            <w:pPr>
              <w:ind w:left="260" w:right="180" w:firstLine="56"/>
              <w:jc w:val="both"/>
            </w:pPr>
            <w:r>
              <w:rPr>
                <w:rFonts w:ascii="Calibri" w:hAnsi="Calibri" w:cs="Calibri"/>
                <w:color w:val="000000"/>
              </w:rPr>
              <w:t>1.082</w:t>
            </w:r>
          </w:p>
        </w:tc>
        <w:tc>
          <w:tcPr>
            <w:tcW w:w="1650" w:type="dxa"/>
            <w:tcBorders>
              <w:top w:val="nil"/>
              <w:bottom w:val="nil"/>
            </w:tcBorders>
            <w:vAlign w:val="center"/>
          </w:tcPr>
          <w:p w14:paraId="1C114647" w14:textId="77777777" w:rsidR="00EB53D3" w:rsidRPr="0053584A" w:rsidRDefault="00EB53D3" w:rsidP="005B655B">
            <w:pPr>
              <w:ind w:left="319"/>
            </w:pPr>
            <w:r>
              <w:rPr>
                <w:rFonts w:ascii="Calibri" w:hAnsi="Calibri" w:cs="Calibri"/>
                <w:color w:val="000000"/>
              </w:rPr>
              <w:t>0.727</w:t>
            </w:r>
          </w:p>
        </w:tc>
      </w:tr>
      <w:tr w:rsidR="00EB53D3" w14:paraId="3EFC6128" w14:textId="77777777" w:rsidTr="005B655B">
        <w:tc>
          <w:tcPr>
            <w:tcW w:w="1129" w:type="dxa"/>
            <w:tcBorders>
              <w:top w:val="nil"/>
              <w:bottom w:val="nil"/>
            </w:tcBorders>
          </w:tcPr>
          <w:p w14:paraId="7299419C" w14:textId="77777777" w:rsidR="00EB53D3" w:rsidRPr="0053584A" w:rsidRDefault="00EB53D3" w:rsidP="005B655B">
            <w:pPr>
              <w:ind w:firstLine="29"/>
            </w:pPr>
            <w:r w:rsidRPr="0053584A">
              <w:t>0</w:t>
            </w:r>
          </w:p>
        </w:tc>
        <w:tc>
          <w:tcPr>
            <w:tcW w:w="1418" w:type="dxa"/>
            <w:tcBorders>
              <w:top w:val="nil"/>
              <w:bottom w:val="nil"/>
            </w:tcBorders>
            <w:vAlign w:val="center"/>
          </w:tcPr>
          <w:p w14:paraId="7C76E598" w14:textId="77777777" w:rsidR="00EB53D3" w:rsidRPr="0053584A" w:rsidRDefault="00EB53D3" w:rsidP="005B655B">
            <w:pPr>
              <w:ind w:right="21"/>
              <w:jc w:val="center"/>
            </w:pPr>
            <w:r>
              <w:rPr>
                <w:rFonts w:ascii="Calibri" w:hAnsi="Calibri" w:cs="Calibri"/>
                <w:color w:val="000000"/>
              </w:rPr>
              <w:t>0.97%</w:t>
            </w:r>
          </w:p>
        </w:tc>
        <w:tc>
          <w:tcPr>
            <w:tcW w:w="1559" w:type="dxa"/>
            <w:tcBorders>
              <w:top w:val="nil"/>
              <w:bottom w:val="nil"/>
            </w:tcBorders>
            <w:vAlign w:val="center"/>
          </w:tcPr>
          <w:p w14:paraId="7852F605" w14:textId="77777777" w:rsidR="00EB53D3" w:rsidRPr="0053584A" w:rsidRDefault="00EB53D3" w:rsidP="005B655B">
            <w:pPr>
              <w:ind w:right="299"/>
              <w:jc w:val="right"/>
            </w:pPr>
            <w:r>
              <w:rPr>
                <w:rFonts w:ascii="Calibri" w:hAnsi="Calibri" w:cs="Calibri"/>
                <w:color w:val="000000"/>
              </w:rPr>
              <w:t>0.20%</w:t>
            </w:r>
          </w:p>
        </w:tc>
        <w:tc>
          <w:tcPr>
            <w:tcW w:w="1559" w:type="dxa"/>
            <w:tcBorders>
              <w:top w:val="nil"/>
              <w:bottom w:val="nil"/>
            </w:tcBorders>
            <w:vAlign w:val="center"/>
          </w:tcPr>
          <w:p w14:paraId="21B51D1F" w14:textId="77777777" w:rsidR="00EB53D3" w:rsidRPr="0053584A" w:rsidRDefault="00EB53D3" w:rsidP="005B655B">
            <w:pPr>
              <w:ind w:firstLine="461"/>
            </w:pPr>
            <w:r>
              <w:rPr>
                <w:rFonts w:ascii="Calibri" w:hAnsi="Calibri" w:cs="Calibri"/>
                <w:color w:val="000000"/>
              </w:rPr>
              <w:t>55%*</w:t>
            </w:r>
          </w:p>
        </w:tc>
        <w:tc>
          <w:tcPr>
            <w:tcW w:w="1701" w:type="dxa"/>
            <w:tcBorders>
              <w:top w:val="nil"/>
              <w:bottom w:val="nil"/>
            </w:tcBorders>
            <w:vAlign w:val="center"/>
          </w:tcPr>
          <w:p w14:paraId="3C2AF91E" w14:textId="77777777" w:rsidR="00EB53D3" w:rsidRPr="0053584A" w:rsidRDefault="00EB53D3" w:rsidP="005B655B">
            <w:pPr>
              <w:ind w:left="260" w:right="180" w:firstLine="56"/>
              <w:jc w:val="both"/>
            </w:pPr>
            <w:r>
              <w:rPr>
                <w:rFonts w:ascii="Calibri" w:hAnsi="Calibri" w:cs="Calibri"/>
                <w:color w:val="000000"/>
              </w:rPr>
              <w:t>2.418**</w:t>
            </w:r>
          </w:p>
        </w:tc>
        <w:tc>
          <w:tcPr>
            <w:tcW w:w="1650" w:type="dxa"/>
            <w:tcBorders>
              <w:top w:val="nil"/>
              <w:bottom w:val="nil"/>
            </w:tcBorders>
            <w:vAlign w:val="center"/>
          </w:tcPr>
          <w:p w14:paraId="57A3B8FB" w14:textId="77777777" w:rsidR="00EB53D3" w:rsidRPr="0053584A" w:rsidRDefault="00EB53D3" w:rsidP="005B655B">
            <w:pPr>
              <w:ind w:left="319"/>
            </w:pPr>
            <w:r>
              <w:rPr>
                <w:rFonts w:ascii="Calibri" w:hAnsi="Calibri" w:cs="Calibri"/>
                <w:color w:val="000000"/>
              </w:rPr>
              <w:t>3.035***</w:t>
            </w:r>
          </w:p>
        </w:tc>
      </w:tr>
      <w:tr w:rsidR="00EB53D3" w14:paraId="5577D1A8" w14:textId="77777777" w:rsidTr="005B655B">
        <w:tc>
          <w:tcPr>
            <w:tcW w:w="1129" w:type="dxa"/>
            <w:tcBorders>
              <w:top w:val="nil"/>
              <w:bottom w:val="nil"/>
            </w:tcBorders>
          </w:tcPr>
          <w:p w14:paraId="73280B8D" w14:textId="77777777" w:rsidR="00EB53D3" w:rsidRPr="0053584A" w:rsidRDefault="00EB53D3" w:rsidP="005B655B">
            <w:pPr>
              <w:ind w:firstLine="29"/>
            </w:pPr>
            <w:r w:rsidRPr="0053584A">
              <w:t>1</w:t>
            </w:r>
          </w:p>
        </w:tc>
        <w:tc>
          <w:tcPr>
            <w:tcW w:w="1418" w:type="dxa"/>
            <w:tcBorders>
              <w:top w:val="nil"/>
              <w:bottom w:val="nil"/>
            </w:tcBorders>
            <w:vAlign w:val="center"/>
          </w:tcPr>
          <w:p w14:paraId="62502020" w14:textId="77777777" w:rsidR="00EB53D3" w:rsidRPr="0053584A" w:rsidRDefault="00EB53D3" w:rsidP="005B655B">
            <w:pPr>
              <w:ind w:right="21"/>
              <w:jc w:val="center"/>
            </w:pPr>
            <w:r>
              <w:rPr>
                <w:rFonts w:ascii="Calibri" w:hAnsi="Calibri" w:cs="Calibri"/>
                <w:color w:val="000000"/>
              </w:rPr>
              <w:t>0.14%</w:t>
            </w:r>
          </w:p>
        </w:tc>
        <w:tc>
          <w:tcPr>
            <w:tcW w:w="1559" w:type="dxa"/>
            <w:tcBorders>
              <w:top w:val="nil"/>
              <w:bottom w:val="nil"/>
            </w:tcBorders>
            <w:vAlign w:val="center"/>
          </w:tcPr>
          <w:p w14:paraId="36ED47DD" w14:textId="77777777" w:rsidR="00EB53D3" w:rsidRPr="0053584A" w:rsidRDefault="00EB53D3" w:rsidP="005B655B">
            <w:pPr>
              <w:ind w:right="299"/>
              <w:jc w:val="right"/>
            </w:pPr>
            <w:r>
              <w:rPr>
                <w:rFonts w:ascii="Calibri" w:hAnsi="Calibri" w:cs="Calibri"/>
                <w:color w:val="000000"/>
              </w:rPr>
              <w:t>-0.01%</w:t>
            </w:r>
          </w:p>
        </w:tc>
        <w:tc>
          <w:tcPr>
            <w:tcW w:w="1559" w:type="dxa"/>
            <w:tcBorders>
              <w:top w:val="nil"/>
              <w:bottom w:val="nil"/>
            </w:tcBorders>
            <w:vAlign w:val="center"/>
          </w:tcPr>
          <w:p w14:paraId="47EAB3C4" w14:textId="77777777" w:rsidR="00EB53D3" w:rsidRPr="0053584A" w:rsidRDefault="00EB53D3" w:rsidP="005B655B">
            <w:pPr>
              <w:ind w:firstLine="461"/>
            </w:pPr>
            <w:r>
              <w:rPr>
                <w:rFonts w:ascii="Calibri" w:hAnsi="Calibri" w:cs="Calibri"/>
                <w:color w:val="000000"/>
              </w:rPr>
              <w:t>49%</w:t>
            </w:r>
          </w:p>
        </w:tc>
        <w:tc>
          <w:tcPr>
            <w:tcW w:w="1701" w:type="dxa"/>
            <w:tcBorders>
              <w:top w:val="nil"/>
              <w:bottom w:val="nil"/>
            </w:tcBorders>
            <w:vAlign w:val="center"/>
          </w:tcPr>
          <w:p w14:paraId="11FF2ED0" w14:textId="77777777" w:rsidR="00EB53D3" w:rsidRPr="0053584A" w:rsidRDefault="00EB53D3" w:rsidP="005B655B">
            <w:pPr>
              <w:ind w:left="260" w:right="180" w:firstLine="56"/>
              <w:jc w:val="both"/>
            </w:pPr>
            <w:r>
              <w:rPr>
                <w:rFonts w:ascii="Calibri" w:hAnsi="Calibri" w:cs="Calibri"/>
                <w:color w:val="000000"/>
              </w:rPr>
              <w:t>0.363</w:t>
            </w:r>
          </w:p>
        </w:tc>
        <w:tc>
          <w:tcPr>
            <w:tcW w:w="1650" w:type="dxa"/>
            <w:tcBorders>
              <w:top w:val="nil"/>
              <w:bottom w:val="nil"/>
            </w:tcBorders>
            <w:vAlign w:val="center"/>
          </w:tcPr>
          <w:p w14:paraId="05B3956B" w14:textId="77777777" w:rsidR="00EB53D3" w:rsidRPr="0053584A" w:rsidRDefault="00EB53D3" w:rsidP="005B655B">
            <w:pPr>
              <w:ind w:left="319"/>
            </w:pPr>
            <w:r>
              <w:rPr>
                <w:rFonts w:ascii="Calibri" w:hAnsi="Calibri" w:cs="Calibri"/>
                <w:color w:val="000000"/>
              </w:rPr>
              <w:t>0.186</w:t>
            </w:r>
          </w:p>
        </w:tc>
      </w:tr>
      <w:tr w:rsidR="00EB53D3" w14:paraId="10A74413" w14:textId="77777777" w:rsidTr="005B655B">
        <w:tc>
          <w:tcPr>
            <w:tcW w:w="1129" w:type="dxa"/>
            <w:tcBorders>
              <w:top w:val="nil"/>
            </w:tcBorders>
          </w:tcPr>
          <w:p w14:paraId="70B3052D" w14:textId="77777777" w:rsidR="00EB53D3" w:rsidRPr="0053584A" w:rsidRDefault="00EB53D3" w:rsidP="005B655B">
            <w:pPr>
              <w:ind w:firstLine="29"/>
            </w:pPr>
            <w:r w:rsidRPr="0053584A">
              <w:t>2</w:t>
            </w:r>
          </w:p>
        </w:tc>
        <w:tc>
          <w:tcPr>
            <w:tcW w:w="1418" w:type="dxa"/>
            <w:tcBorders>
              <w:top w:val="nil"/>
            </w:tcBorders>
            <w:vAlign w:val="center"/>
          </w:tcPr>
          <w:p w14:paraId="1EDA85D0" w14:textId="77777777" w:rsidR="00EB53D3" w:rsidRPr="0053584A" w:rsidRDefault="00EB53D3" w:rsidP="005B655B">
            <w:pPr>
              <w:ind w:right="21"/>
              <w:jc w:val="center"/>
            </w:pPr>
            <w:r>
              <w:rPr>
                <w:rFonts w:ascii="Calibri" w:hAnsi="Calibri" w:cs="Calibri"/>
                <w:color w:val="000000"/>
              </w:rPr>
              <w:t>0.14%</w:t>
            </w:r>
          </w:p>
        </w:tc>
        <w:tc>
          <w:tcPr>
            <w:tcW w:w="1559" w:type="dxa"/>
            <w:tcBorders>
              <w:top w:val="nil"/>
            </w:tcBorders>
            <w:vAlign w:val="center"/>
          </w:tcPr>
          <w:p w14:paraId="404C36C8" w14:textId="77777777" w:rsidR="00EB53D3" w:rsidRPr="0053584A" w:rsidRDefault="00EB53D3" w:rsidP="005B655B">
            <w:pPr>
              <w:ind w:right="299"/>
              <w:jc w:val="right"/>
            </w:pPr>
            <w:r>
              <w:rPr>
                <w:rFonts w:ascii="Calibri" w:hAnsi="Calibri" w:cs="Calibri"/>
                <w:color w:val="000000"/>
              </w:rPr>
              <w:t>0.02%</w:t>
            </w:r>
          </w:p>
        </w:tc>
        <w:tc>
          <w:tcPr>
            <w:tcW w:w="1559" w:type="dxa"/>
            <w:tcBorders>
              <w:top w:val="nil"/>
            </w:tcBorders>
            <w:vAlign w:val="center"/>
          </w:tcPr>
          <w:p w14:paraId="46DE75AA" w14:textId="77777777" w:rsidR="00EB53D3" w:rsidRPr="0053584A" w:rsidRDefault="00EB53D3" w:rsidP="005B655B">
            <w:pPr>
              <w:ind w:firstLine="461"/>
            </w:pPr>
            <w:r>
              <w:rPr>
                <w:rFonts w:ascii="Calibri" w:hAnsi="Calibri" w:cs="Calibri"/>
                <w:color w:val="000000"/>
              </w:rPr>
              <w:t>53%</w:t>
            </w:r>
          </w:p>
        </w:tc>
        <w:tc>
          <w:tcPr>
            <w:tcW w:w="1701" w:type="dxa"/>
            <w:tcBorders>
              <w:top w:val="nil"/>
            </w:tcBorders>
            <w:vAlign w:val="center"/>
          </w:tcPr>
          <w:p w14:paraId="5F54E0E2" w14:textId="77777777" w:rsidR="00EB53D3" w:rsidRPr="0053584A" w:rsidRDefault="00EB53D3" w:rsidP="005B655B">
            <w:pPr>
              <w:ind w:left="260" w:right="180" w:firstLine="56"/>
              <w:jc w:val="both"/>
            </w:pPr>
            <w:r>
              <w:rPr>
                <w:rFonts w:ascii="Calibri" w:hAnsi="Calibri" w:cs="Calibri"/>
                <w:color w:val="000000"/>
              </w:rPr>
              <w:t>1.562</w:t>
            </w:r>
          </w:p>
        </w:tc>
        <w:tc>
          <w:tcPr>
            <w:tcW w:w="1650" w:type="dxa"/>
            <w:tcBorders>
              <w:top w:val="nil"/>
            </w:tcBorders>
            <w:vAlign w:val="center"/>
          </w:tcPr>
          <w:p w14:paraId="56442E0B" w14:textId="77777777" w:rsidR="00EB53D3" w:rsidRPr="0053584A" w:rsidRDefault="00EB53D3" w:rsidP="005B655B">
            <w:pPr>
              <w:ind w:left="319"/>
              <w:jc w:val="both"/>
            </w:pPr>
            <w:r>
              <w:rPr>
                <w:rFonts w:ascii="Calibri" w:hAnsi="Calibri" w:cs="Calibri"/>
                <w:color w:val="000000"/>
              </w:rPr>
              <w:t>0.863</w:t>
            </w:r>
          </w:p>
        </w:tc>
      </w:tr>
      <w:tr w:rsidR="00EB53D3" w14:paraId="04C617B3" w14:textId="77777777" w:rsidTr="005B655B">
        <w:trPr>
          <w:trHeight w:val="350"/>
        </w:trPr>
        <w:tc>
          <w:tcPr>
            <w:tcW w:w="2547" w:type="dxa"/>
            <w:gridSpan w:val="2"/>
            <w:tcBorders>
              <w:bottom w:val="single" w:sz="4" w:space="0" w:color="auto"/>
            </w:tcBorders>
            <w:vAlign w:val="bottom"/>
          </w:tcPr>
          <w:p w14:paraId="7BEB4BD7" w14:textId="77777777" w:rsidR="00EB53D3" w:rsidRPr="0053584A" w:rsidRDefault="00EB53D3" w:rsidP="005B655B">
            <w:r w:rsidRPr="0053584A">
              <w:t>Event window</w:t>
            </w:r>
            <w:r>
              <w:rPr>
                <w:rFonts w:ascii="Calibri" w:hAnsi="Calibri" w:cs="Calibri"/>
                <w:color w:val="000000"/>
              </w:rPr>
              <w:t> </w:t>
            </w:r>
          </w:p>
        </w:tc>
        <w:tc>
          <w:tcPr>
            <w:tcW w:w="1559" w:type="dxa"/>
            <w:tcBorders>
              <w:bottom w:val="single" w:sz="4" w:space="0" w:color="auto"/>
            </w:tcBorders>
            <w:vAlign w:val="center"/>
          </w:tcPr>
          <w:p w14:paraId="0CC96720" w14:textId="77777777" w:rsidR="00EB53D3" w:rsidRPr="0053584A" w:rsidRDefault="00EB53D3" w:rsidP="005B655B">
            <w:r>
              <w:rPr>
                <w:rFonts w:ascii="Calibri" w:hAnsi="Calibri" w:cs="Calibri"/>
                <w:color w:val="000000"/>
              </w:rPr>
              <w:t> </w:t>
            </w:r>
          </w:p>
        </w:tc>
        <w:tc>
          <w:tcPr>
            <w:tcW w:w="1559" w:type="dxa"/>
            <w:tcBorders>
              <w:bottom w:val="single" w:sz="4" w:space="0" w:color="auto"/>
            </w:tcBorders>
            <w:vAlign w:val="center"/>
          </w:tcPr>
          <w:p w14:paraId="2585FF62" w14:textId="77777777" w:rsidR="00EB53D3" w:rsidRPr="0053584A" w:rsidRDefault="00EB53D3" w:rsidP="005B655B">
            <w:pPr>
              <w:ind w:firstLine="343"/>
            </w:pPr>
            <w:r>
              <w:rPr>
                <w:rFonts w:ascii="Calibri" w:hAnsi="Calibri" w:cs="Calibri"/>
                <w:color w:val="000000"/>
              </w:rPr>
              <w:t> </w:t>
            </w:r>
          </w:p>
        </w:tc>
        <w:tc>
          <w:tcPr>
            <w:tcW w:w="1701" w:type="dxa"/>
            <w:tcBorders>
              <w:bottom w:val="single" w:sz="4" w:space="0" w:color="auto"/>
            </w:tcBorders>
            <w:vAlign w:val="center"/>
          </w:tcPr>
          <w:p w14:paraId="20A31464" w14:textId="77777777" w:rsidR="00EB53D3" w:rsidRPr="0053584A" w:rsidRDefault="00EB53D3" w:rsidP="005B655B">
            <w:r>
              <w:rPr>
                <w:rFonts w:ascii="Calibri" w:hAnsi="Calibri" w:cs="Calibri"/>
                <w:color w:val="000000"/>
              </w:rPr>
              <w:t> </w:t>
            </w:r>
          </w:p>
        </w:tc>
        <w:tc>
          <w:tcPr>
            <w:tcW w:w="1650" w:type="dxa"/>
            <w:tcBorders>
              <w:bottom w:val="single" w:sz="4" w:space="0" w:color="auto"/>
            </w:tcBorders>
            <w:vAlign w:val="center"/>
          </w:tcPr>
          <w:p w14:paraId="2B52063D" w14:textId="77777777" w:rsidR="00EB53D3" w:rsidRPr="0053584A" w:rsidRDefault="00EB53D3" w:rsidP="005B655B">
            <w:pPr>
              <w:ind w:left="319"/>
            </w:pPr>
            <w:r>
              <w:rPr>
                <w:rFonts w:ascii="Calibri" w:hAnsi="Calibri" w:cs="Calibri"/>
                <w:color w:val="000000"/>
              </w:rPr>
              <w:t> </w:t>
            </w:r>
          </w:p>
        </w:tc>
      </w:tr>
      <w:tr w:rsidR="00EB53D3" w14:paraId="737A0B72" w14:textId="77777777" w:rsidTr="005B655B">
        <w:tc>
          <w:tcPr>
            <w:tcW w:w="1129" w:type="dxa"/>
            <w:tcBorders>
              <w:bottom w:val="nil"/>
            </w:tcBorders>
          </w:tcPr>
          <w:p w14:paraId="3E87D0B8" w14:textId="77777777" w:rsidR="00EB53D3" w:rsidRPr="00DD1417" w:rsidRDefault="00EB53D3" w:rsidP="005B655B">
            <w:r>
              <w:t>[</w:t>
            </w:r>
            <w:r w:rsidRPr="00DD1417">
              <w:t>-10,-2</w:t>
            </w:r>
            <w:r>
              <w:t>]</w:t>
            </w:r>
          </w:p>
        </w:tc>
        <w:tc>
          <w:tcPr>
            <w:tcW w:w="1418" w:type="dxa"/>
            <w:tcBorders>
              <w:bottom w:val="nil"/>
            </w:tcBorders>
            <w:vAlign w:val="center"/>
          </w:tcPr>
          <w:p w14:paraId="7B5F0080" w14:textId="77777777" w:rsidR="00EB53D3" w:rsidRPr="007801A8" w:rsidRDefault="00EB53D3" w:rsidP="005B655B">
            <w:pPr>
              <w:ind w:right="343"/>
              <w:jc w:val="right"/>
              <w:rPr>
                <w:highlight w:val="yellow"/>
              </w:rPr>
            </w:pPr>
            <w:r>
              <w:rPr>
                <w:rFonts w:ascii="Calibri" w:hAnsi="Calibri" w:cs="Calibri"/>
                <w:color w:val="000000"/>
              </w:rPr>
              <w:t>-0.10%</w:t>
            </w:r>
          </w:p>
        </w:tc>
        <w:tc>
          <w:tcPr>
            <w:tcW w:w="1559" w:type="dxa"/>
            <w:tcBorders>
              <w:bottom w:val="nil"/>
            </w:tcBorders>
            <w:vAlign w:val="center"/>
          </w:tcPr>
          <w:p w14:paraId="06A330A7" w14:textId="77777777" w:rsidR="00EB53D3" w:rsidRPr="007801A8" w:rsidRDefault="00EB53D3" w:rsidP="005B655B">
            <w:pPr>
              <w:ind w:right="299"/>
              <w:jc w:val="right"/>
              <w:rPr>
                <w:highlight w:val="yellow"/>
              </w:rPr>
            </w:pPr>
            <w:r>
              <w:rPr>
                <w:rFonts w:ascii="Calibri" w:hAnsi="Calibri" w:cs="Calibri"/>
                <w:color w:val="000000"/>
              </w:rPr>
              <w:t>-0.35%</w:t>
            </w:r>
          </w:p>
        </w:tc>
        <w:tc>
          <w:tcPr>
            <w:tcW w:w="1559" w:type="dxa"/>
            <w:tcBorders>
              <w:bottom w:val="nil"/>
            </w:tcBorders>
            <w:vAlign w:val="center"/>
          </w:tcPr>
          <w:p w14:paraId="3D8E3DC7" w14:textId="77777777" w:rsidR="00EB53D3" w:rsidRPr="007801A8" w:rsidRDefault="00EB53D3" w:rsidP="005B655B">
            <w:pPr>
              <w:ind w:firstLine="343"/>
              <w:rPr>
                <w:highlight w:val="yellow"/>
              </w:rPr>
            </w:pPr>
            <w:r>
              <w:rPr>
                <w:rFonts w:ascii="Calibri" w:hAnsi="Calibri" w:cs="Calibri"/>
                <w:color w:val="000000"/>
              </w:rPr>
              <w:t>48%</w:t>
            </w:r>
          </w:p>
        </w:tc>
        <w:tc>
          <w:tcPr>
            <w:tcW w:w="1701" w:type="dxa"/>
            <w:tcBorders>
              <w:bottom w:val="nil"/>
            </w:tcBorders>
            <w:vAlign w:val="center"/>
          </w:tcPr>
          <w:p w14:paraId="14E4BD3C" w14:textId="77777777" w:rsidR="00EB53D3" w:rsidRPr="007801A8" w:rsidRDefault="00EB53D3" w:rsidP="005B655B">
            <w:pPr>
              <w:ind w:firstLine="260"/>
              <w:rPr>
                <w:highlight w:val="yellow"/>
              </w:rPr>
            </w:pPr>
            <w:r>
              <w:rPr>
                <w:rFonts w:ascii="Calibri" w:hAnsi="Calibri" w:cs="Calibri"/>
                <w:color w:val="000000"/>
              </w:rPr>
              <w:t>0.452</w:t>
            </w:r>
          </w:p>
        </w:tc>
        <w:tc>
          <w:tcPr>
            <w:tcW w:w="1650" w:type="dxa"/>
            <w:tcBorders>
              <w:bottom w:val="nil"/>
            </w:tcBorders>
            <w:vAlign w:val="center"/>
          </w:tcPr>
          <w:p w14:paraId="263C5448" w14:textId="77777777" w:rsidR="00EB53D3" w:rsidRPr="007801A8" w:rsidRDefault="00EB53D3" w:rsidP="005B655B">
            <w:pPr>
              <w:ind w:left="319"/>
              <w:rPr>
                <w:highlight w:val="yellow"/>
              </w:rPr>
            </w:pPr>
            <w:r>
              <w:rPr>
                <w:rFonts w:ascii="Calibri" w:hAnsi="Calibri" w:cs="Calibri"/>
                <w:color w:val="000000"/>
              </w:rPr>
              <w:t>-0.356</w:t>
            </w:r>
          </w:p>
        </w:tc>
      </w:tr>
      <w:tr w:rsidR="00EB53D3" w14:paraId="6DDF0D87" w14:textId="77777777" w:rsidTr="005B655B">
        <w:tc>
          <w:tcPr>
            <w:tcW w:w="1129" w:type="dxa"/>
            <w:tcBorders>
              <w:top w:val="nil"/>
              <w:bottom w:val="nil"/>
            </w:tcBorders>
          </w:tcPr>
          <w:p w14:paraId="2C160495" w14:textId="77777777" w:rsidR="00EB53D3" w:rsidRPr="007801A8" w:rsidRDefault="00EB53D3" w:rsidP="005B655B">
            <w:r>
              <w:t>[</w:t>
            </w:r>
            <w:r w:rsidRPr="00DD1417">
              <w:t>-2,+2</w:t>
            </w:r>
            <w:r>
              <w:t>]</w:t>
            </w:r>
          </w:p>
        </w:tc>
        <w:tc>
          <w:tcPr>
            <w:tcW w:w="1418" w:type="dxa"/>
            <w:tcBorders>
              <w:top w:val="nil"/>
              <w:bottom w:val="nil"/>
            </w:tcBorders>
            <w:vAlign w:val="center"/>
          </w:tcPr>
          <w:p w14:paraId="63BA9ED2" w14:textId="77777777" w:rsidR="00EB53D3" w:rsidRPr="004D0063" w:rsidRDefault="00EB53D3" w:rsidP="005B655B">
            <w:pPr>
              <w:ind w:right="343"/>
              <w:jc w:val="right"/>
              <w:rPr>
                <w:highlight w:val="yellow"/>
              </w:rPr>
            </w:pPr>
            <w:r>
              <w:rPr>
                <w:rFonts w:ascii="Calibri" w:hAnsi="Calibri" w:cs="Calibri"/>
                <w:color w:val="000000"/>
              </w:rPr>
              <w:t>1.16%</w:t>
            </w:r>
          </w:p>
        </w:tc>
        <w:tc>
          <w:tcPr>
            <w:tcW w:w="1559" w:type="dxa"/>
            <w:tcBorders>
              <w:top w:val="nil"/>
              <w:bottom w:val="nil"/>
            </w:tcBorders>
            <w:vAlign w:val="center"/>
          </w:tcPr>
          <w:p w14:paraId="096BBE33" w14:textId="77777777" w:rsidR="00EB53D3" w:rsidRPr="004D0063" w:rsidRDefault="00EB53D3" w:rsidP="005B655B">
            <w:pPr>
              <w:ind w:right="299"/>
              <w:jc w:val="right"/>
              <w:rPr>
                <w:highlight w:val="yellow"/>
              </w:rPr>
            </w:pPr>
            <w:r>
              <w:rPr>
                <w:rFonts w:ascii="Calibri" w:hAnsi="Calibri" w:cs="Calibri"/>
                <w:color w:val="000000"/>
              </w:rPr>
              <w:t>0.46%</w:t>
            </w:r>
          </w:p>
        </w:tc>
        <w:tc>
          <w:tcPr>
            <w:tcW w:w="1559" w:type="dxa"/>
            <w:tcBorders>
              <w:top w:val="nil"/>
              <w:bottom w:val="nil"/>
            </w:tcBorders>
            <w:vAlign w:val="center"/>
          </w:tcPr>
          <w:p w14:paraId="056C7130" w14:textId="77777777" w:rsidR="00EB53D3" w:rsidRPr="004D0063" w:rsidRDefault="00EB53D3" w:rsidP="005B655B">
            <w:pPr>
              <w:ind w:firstLine="343"/>
              <w:rPr>
                <w:highlight w:val="yellow"/>
              </w:rPr>
            </w:pPr>
            <w:r>
              <w:rPr>
                <w:rFonts w:ascii="Calibri" w:hAnsi="Calibri" w:cs="Calibri"/>
                <w:color w:val="000000"/>
              </w:rPr>
              <w:t>54%</w:t>
            </w:r>
          </w:p>
        </w:tc>
        <w:tc>
          <w:tcPr>
            <w:tcW w:w="1701" w:type="dxa"/>
            <w:tcBorders>
              <w:top w:val="nil"/>
              <w:bottom w:val="nil"/>
            </w:tcBorders>
            <w:vAlign w:val="center"/>
          </w:tcPr>
          <w:p w14:paraId="2C3EFCEE" w14:textId="77777777" w:rsidR="00EB53D3" w:rsidRPr="004D0063" w:rsidRDefault="00EB53D3" w:rsidP="005B655B">
            <w:pPr>
              <w:ind w:firstLine="260"/>
              <w:rPr>
                <w:highlight w:val="yellow"/>
              </w:rPr>
            </w:pPr>
            <w:r>
              <w:rPr>
                <w:rFonts w:ascii="Calibri" w:hAnsi="Calibri" w:cs="Calibri"/>
                <w:color w:val="000000"/>
              </w:rPr>
              <w:t>2.538**</w:t>
            </w:r>
          </w:p>
        </w:tc>
        <w:tc>
          <w:tcPr>
            <w:tcW w:w="1650" w:type="dxa"/>
            <w:tcBorders>
              <w:top w:val="nil"/>
              <w:bottom w:val="nil"/>
            </w:tcBorders>
            <w:vAlign w:val="center"/>
          </w:tcPr>
          <w:p w14:paraId="0779FCAC" w14:textId="77777777" w:rsidR="00EB53D3" w:rsidRPr="004D0063" w:rsidRDefault="00EB53D3" w:rsidP="005B655B">
            <w:pPr>
              <w:ind w:left="319"/>
              <w:rPr>
                <w:highlight w:val="yellow"/>
              </w:rPr>
            </w:pPr>
            <w:r>
              <w:rPr>
                <w:rFonts w:ascii="Calibri" w:hAnsi="Calibri" w:cs="Calibri"/>
                <w:color w:val="000000"/>
              </w:rPr>
              <w:t>1.482</w:t>
            </w:r>
          </w:p>
        </w:tc>
      </w:tr>
      <w:tr w:rsidR="00EB53D3" w14:paraId="64EE7A9D" w14:textId="77777777" w:rsidTr="005B655B">
        <w:tc>
          <w:tcPr>
            <w:tcW w:w="1129" w:type="dxa"/>
            <w:tcBorders>
              <w:top w:val="nil"/>
              <w:bottom w:val="nil"/>
            </w:tcBorders>
          </w:tcPr>
          <w:p w14:paraId="2116D2FB" w14:textId="77777777" w:rsidR="00EB53D3" w:rsidRPr="007801A8" w:rsidRDefault="00EB53D3" w:rsidP="005B655B">
            <w:r>
              <w:t>[</w:t>
            </w:r>
            <w:r w:rsidRPr="00DD1417">
              <w:t>0,+2</w:t>
            </w:r>
            <w:r>
              <w:t>]</w:t>
            </w:r>
          </w:p>
        </w:tc>
        <w:tc>
          <w:tcPr>
            <w:tcW w:w="1418" w:type="dxa"/>
            <w:tcBorders>
              <w:top w:val="nil"/>
              <w:bottom w:val="nil"/>
            </w:tcBorders>
            <w:vAlign w:val="center"/>
          </w:tcPr>
          <w:p w14:paraId="03A8A00F" w14:textId="77777777" w:rsidR="00EB53D3" w:rsidRPr="004D0063" w:rsidRDefault="00EB53D3" w:rsidP="005B655B">
            <w:pPr>
              <w:ind w:right="343"/>
              <w:jc w:val="right"/>
              <w:rPr>
                <w:highlight w:val="yellow"/>
              </w:rPr>
            </w:pPr>
            <w:r>
              <w:rPr>
                <w:rFonts w:ascii="Calibri" w:hAnsi="Calibri" w:cs="Calibri"/>
                <w:color w:val="000000"/>
              </w:rPr>
              <w:t>1.26%</w:t>
            </w:r>
          </w:p>
        </w:tc>
        <w:tc>
          <w:tcPr>
            <w:tcW w:w="1559" w:type="dxa"/>
            <w:tcBorders>
              <w:top w:val="nil"/>
              <w:bottom w:val="nil"/>
            </w:tcBorders>
            <w:vAlign w:val="center"/>
          </w:tcPr>
          <w:p w14:paraId="77110DC0" w14:textId="77777777" w:rsidR="00EB53D3" w:rsidRPr="004D0063" w:rsidRDefault="00EB53D3" w:rsidP="005B655B">
            <w:pPr>
              <w:ind w:right="299"/>
              <w:jc w:val="right"/>
              <w:rPr>
                <w:highlight w:val="yellow"/>
              </w:rPr>
            </w:pPr>
            <w:r>
              <w:rPr>
                <w:rFonts w:ascii="Calibri" w:hAnsi="Calibri" w:cs="Calibri"/>
                <w:color w:val="000000"/>
              </w:rPr>
              <w:t>0.40%</w:t>
            </w:r>
          </w:p>
        </w:tc>
        <w:tc>
          <w:tcPr>
            <w:tcW w:w="1559" w:type="dxa"/>
            <w:tcBorders>
              <w:top w:val="nil"/>
              <w:bottom w:val="nil"/>
            </w:tcBorders>
            <w:vAlign w:val="center"/>
          </w:tcPr>
          <w:p w14:paraId="644988B1" w14:textId="77777777" w:rsidR="00EB53D3" w:rsidRPr="004D0063" w:rsidRDefault="00EB53D3" w:rsidP="005B655B">
            <w:pPr>
              <w:ind w:firstLine="343"/>
              <w:rPr>
                <w:highlight w:val="yellow"/>
              </w:rPr>
            </w:pPr>
            <w:r>
              <w:rPr>
                <w:rFonts w:ascii="Calibri" w:hAnsi="Calibri" w:cs="Calibri"/>
                <w:color w:val="000000"/>
              </w:rPr>
              <w:t>55%*</w:t>
            </w:r>
          </w:p>
        </w:tc>
        <w:tc>
          <w:tcPr>
            <w:tcW w:w="1701" w:type="dxa"/>
            <w:tcBorders>
              <w:top w:val="nil"/>
              <w:bottom w:val="nil"/>
            </w:tcBorders>
            <w:vAlign w:val="center"/>
          </w:tcPr>
          <w:p w14:paraId="740DD792" w14:textId="77777777" w:rsidR="00EB53D3" w:rsidRPr="004D0063" w:rsidRDefault="00EB53D3" w:rsidP="005B655B">
            <w:pPr>
              <w:ind w:firstLine="260"/>
              <w:rPr>
                <w:highlight w:val="yellow"/>
              </w:rPr>
            </w:pPr>
            <w:r>
              <w:rPr>
                <w:rFonts w:ascii="Calibri" w:hAnsi="Calibri" w:cs="Calibri"/>
                <w:color w:val="000000"/>
              </w:rPr>
              <w:t>2.589***</w:t>
            </w:r>
          </w:p>
        </w:tc>
        <w:tc>
          <w:tcPr>
            <w:tcW w:w="1650" w:type="dxa"/>
            <w:tcBorders>
              <w:top w:val="nil"/>
              <w:bottom w:val="nil"/>
            </w:tcBorders>
            <w:vAlign w:val="center"/>
          </w:tcPr>
          <w:p w14:paraId="5214041C" w14:textId="77777777" w:rsidR="00EB53D3" w:rsidRPr="004D0063" w:rsidRDefault="00EB53D3" w:rsidP="005B655B">
            <w:pPr>
              <w:ind w:left="319"/>
              <w:rPr>
                <w:highlight w:val="yellow"/>
              </w:rPr>
            </w:pPr>
            <w:r>
              <w:rPr>
                <w:rFonts w:ascii="Calibri" w:hAnsi="Calibri" w:cs="Calibri"/>
                <w:color w:val="000000"/>
              </w:rPr>
              <w:t>2.358**</w:t>
            </w:r>
          </w:p>
        </w:tc>
      </w:tr>
      <w:tr w:rsidR="00EB53D3" w14:paraId="1B18F831" w14:textId="77777777" w:rsidTr="005B655B">
        <w:tc>
          <w:tcPr>
            <w:tcW w:w="1129" w:type="dxa"/>
            <w:tcBorders>
              <w:top w:val="nil"/>
              <w:bottom w:val="nil"/>
            </w:tcBorders>
          </w:tcPr>
          <w:p w14:paraId="2BE2CE13" w14:textId="77777777" w:rsidR="00EB53D3" w:rsidRPr="007801A8" w:rsidRDefault="00EB53D3" w:rsidP="005B655B">
            <w:r>
              <w:t>[</w:t>
            </w:r>
            <w:r w:rsidRPr="007801A8">
              <w:t>-10,+10</w:t>
            </w:r>
            <w:r>
              <w:t>]</w:t>
            </w:r>
          </w:p>
        </w:tc>
        <w:tc>
          <w:tcPr>
            <w:tcW w:w="1418" w:type="dxa"/>
            <w:tcBorders>
              <w:top w:val="nil"/>
              <w:bottom w:val="nil"/>
            </w:tcBorders>
            <w:vAlign w:val="center"/>
          </w:tcPr>
          <w:p w14:paraId="37087E1A" w14:textId="77777777" w:rsidR="00EB53D3" w:rsidRPr="004D0063" w:rsidRDefault="00EB53D3" w:rsidP="005B655B">
            <w:pPr>
              <w:ind w:right="343"/>
              <w:jc w:val="right"/>
              <w:rPr>
                <w:highlight w:val="yellow"/>
              </w:rPr>
            </w:pPr>
            <w:r>
              <w:rPr>
                <w:rFonts w:ascii="Calibri" w:hAnsi="Calibri" w:cs="Calibri"/>
                <w:color w:val="000000"/>
              </w:rPr>
              <w:t>1.40%</w:t>
            </w:r>
          </w:p>
        </w:tc>
        <w:tc>
          <w:tcPr>
            <w:tcW w:w="1559" w:type="dxa"/>
            <w:tcBorders>
              <w:top w:val="nil"/>
              <w:bottom w:val="nil"/>
            </w:tcBorders>
            <w:vAlign w:val="center"/>
          </w:tcPr>
          <w:p w14:paraId="5BDA850F" w14:textId="77777777" w:rsidR="00EB53D3" w:rsidRPr="004D0063" w:rsidRDefault="00EB53D3" w:rsidP="005B655B">
            <w:pPr>
              <w:ind w:right="299"/>
              <w:jc w:val="right"/>
              <w:rPr>
                <w:highlight w:val="yellow"/>
              </w:rPr>
            </w:pPr>
            <w:r>
              <w:rPr>
                <w:rFonts w:ascii="Calibri" w:hAnsi="Calibri" w:cs="Calibri"/>
                <w:color w:val="000000"/>
              </w:rPr>
              <w:t>0.94%</w:t>
            </w:r>
          </w:p>
        </w:tc>
        <w:tc>
          <w:tcPr>
            <w:tcW w:w="1559" w:type="dxa"/>
            <w:tcBorders>
              <w:top w:val="nil"/>
              <w:bottom w:val="nil"/>
            </w:tcBorders>
            <w:vAlign w:val="center"/>
          </w:tcPr>
          <w:p w14:paraId="692F7394" w14:textId="77777777" w:rsidR="00EB53D3" w:rsidRPr="004D0063" w:rsidRDefault="00EB53D3" w:rsidP="005B655B">
            <w:pPr>
              <w:ind w:firstLine="343"/>
              <w:rPr>
                <w:highlight w:val="yellow"/>
              </w:rPr>
            </w:pPr>
            <w:r>
              <w:rPr>
                <w:rFonts w:ascii="Calibri" w:hAnsi="Calibri" w:cs="Calibri"/>
                <w:color w:val="000000"/>
              </w:rPr>
              <w:t>56%**</w:t>
            </w:r>
          </w:p>
        </w:tc>
        <w:tc>
          <w:tcPr>
            <w:tcW w:w="1701" w:type="dxa"/>
            <w:tcBorders>
              <w:top w:val="nil"/>
              <w:bottom w:val="nil"/>
            </w:tcBorders>
            <w:vAlign w:val="center"/>
          </w:tcPr>
          <w:p w14:paraId="5C71DA84" w14:textId="77777777" w:rsidR="00EB53D3" w:rsidRPr="004D0063" w:rsidRDefault="00EB53D3" w:rsidP="005B655B">
            <w:pPr>
              <w:ind w:firstLine="260"/>
              <w:rPr>
                <w:highlight w:val="yellow"/>
              </w:rPr>
            </w:pPr>
            <w:r>
              <w:rPr>
                <w:rFonts w:ascii="Calibri" w:hAnsi="Calibri" w:cs="Calibri"/>
                <w:color w:val="000000"/>
              </w:rPr>
              <w:t>2.433**</w:t>
            </w:r>
          </w:p>
        </w:tc>
        <w:tc>
          <w:tcPr>
            <w:tcW w:w="1650" w:type="dxa"/>
            <w:tcBorders>
              <w:top w:val="nil"/>
              <w:bottom w:val="nil"/>
            </w:tcBorders>
            <w:vAlign w:val="center"/>
          </w:tcPr>
          <w:p w14:paraId="16D8ED6C" w14:textId="77777777" w:rsidR="00EB53D3" w:rsidRPr="004D0063" w:rsidRDefault="00EB53D3" w:rsidP="005B655B">
            <w:pPr>
              <w:ind w:left="319"/>
              <w:rPr>
                <w:highlight w:val="yellow"/>
              </w:rPr>
            </w:pPr>
            <w:r>
              <w:rPr>
                <w:rFonts w:ascii="Calibri" w:hAnsi="Calibri" w:cs="Calibri"/>
                <w:color w:val="000000"/>
              </w:rPr>
              <w:t>1.302</w:t>
            </w:r>
          </w:p>
        </w:tc>
      </w:tr>
      <w:tr w:rsidR="00EB53D3" w14:paraId="01CC1DD3" w14:textId="77777777" w:rsidTr="005B655B">
        <w:tc>
          <w:tcPr>
            <w:tcW w:w="1129" w:type="dxa"/>
            <w:tcBorders>
              <w:top w:val="nil"/>
              <w:bottom w:val="nil"/>
            </w:tcBorders>
          </w:tcPr>
          <w:p w14:paraId="27F62CDE" w14:textId="77777777" w:rsidR="00EB53D3" w:rsidRPr="007801A8" w:rsidRDefault="00EB53D3" w:rsidP="005B655B">
            <w:r>
              <w:t>[-10,+20]</w:t>
            </w:r>
          </w:p>
        </w:tc>
        <w:tc>
          <w:tcPr>
            <w:tcW w:w="1418" w:type="dxa"/>
            <w:tcBorders>
              <w:top w:val="nil"/>
              <w:bottom w:val="nil"/>
            </w:tcBorders>
            <w:vAlign w:val="center"/>
          </w:tcPr>
          <w:p w14:paraId="2A241BEA" w14:textId="77777777" w:rsidR="00EB53D3" w:rsidRPr="004D0063" w:rsidRDefault="00EB53D3" w:rsidP="005B655B">
            <w:pPr>
              <w:ind w:right="343"/>
              <w:jc w:val="right"/>
              <w:rPr>
                <w:highlight w:val="yellow"/>
              </w:rPr>
            </w:pPr>
            <w:r>
              <w:rPr>
                <w:rFonts w:ascii="Calibri" w:hAnsi="Calibri" w:cs="Calibri"/>
                <w:color w:val="000000"/>
              </w:rPr>
              <w:t>2.15%</w:t>
            </w:r>
          </w:p>
        </w:tc>
        <w:tc>
          <w:tcPr>
            <w:tcW w:w="1559" w:type="dxa"/>
            <w:tcBorders>
              <w:top w:val="nil"/>
              <w:bottom w:val="nil"/>
            </w:tcBorders>
            <w:vAlign w:val="center"/>
          </w:tcPr>
          <w:p w14:paraId="464F9CA0" w14:textId="77777777" w:rsidR="00EB53D3" w:rsidRPr="004D0063" w:rsidRDefault="00EB53D3" w:rsidP="005B655B">
            <w:pPr>
              <w:ind w:right="299"/>
              <w:jc w:val="right"/>
              <w:rPr>
                <w:highlight w:val="yellow"/>
              </w:rPr>
            </w:pPr>
            <w:r>
              <w:rPr>
                <w:rFonts w:ascii="Calibri" w:hAnsi="Calibri" w:cs="Calibri"/>
                <w:color w:val="000000"/>
              </w:rPr>
              <w:t>1.61%</w:t>
            </w:r>
          </w:p>
        </w:tc>
        <w:tc>
          <w:tcPr>
            <w:tcW w:w="1559" w:type="dxa"/>
            <w:tcBorders>
              <w:top w:val="nil"/>
              <w:bottom w:val="nil"/>
            </w:tcBorders>
            <w:vAlign w:val="center"/>
          </w:tcPr>
          <w:p w14:paraId="77387DF0" w14:textId="77777777" w:rsidR="00EB53D3" w:rsidRPr="004D0063" w:rsidRDefault="00EB53D3" w:rsidP="005B655B">
            <w:pPr>
              <w:ind w:firstLine="343"/>
              <w:rPr>
                <w:highlight w:val="yellow"/>
              </w:rPr>
            </w:pPr>
            <w:r>
              <w:rPr>
                <w:rFonts w:ascii="Calibri" w:hAnsi="Calibri" w:cs="Calibri"/>
                <w:color w:val="000000"/>
              </w:rPr>
              <w:t>57%**</w:t>
            </w:r>
          </w:p>
        </w:tc>
        <w:tc>
          <w:tcPr>
            <w:tcW w:w="1701" w:type="dxa"/>
            <w:tcBorders>
              <w:top w:val="nil"/>
              <w:bottom w:val="nil"/>
            </w:tcBorders>
            <w:vAlign w:val="center"/>
          </w:tcPr>
          <w:p w14:paraId="4D445BE5" w14:textId="77777777" w:rsidR="00EB53D3" w:rsidRPr="004D0063" w:rsidRDefault="00EB53D3" w:rsidP="005B655B">
            <w:pPr>
              <w:ind w:firstLine="260"/>
              <w:rPr>
                <w:highlight w:val="yellow"/>
              </w:rPr>
            </w:pPr>
            <w:r>
              <w:rPr>
                <w:rFonts w:ascii="Calibri" w:hAnsi="Calibri" w:cs="Calibri"/>
                <w:color w:val="000000"/>
              </w:rPr>
              <w:t>3.225***</w:t>
            </w:r>
          </w:p>
        </w:tc>
        <w:tc>
          <w:tcPr>
            <w:tcW w:w="1650" w:type="dxa"/>
            <w:tcBorders>
              <w:top w:val="nil"/>
              <w:bottom w:val="nil"/>
            </w:tcBorders>
            <w:vAlign w:val="center"/>
          </w:tcPr>
          <w:p w14:paraId="528635D5" w14:textId="77777777" w:rsidR="00EB53D3" w:rsidRPr="004D0063" w:rsidRDefault="00EB53D3" w:rsidP="005B655B">
            <w:pPr>
              <w:ind w:left="319"/>
              <w:rPr>
                <w:highlight w:val="yellow"/>
              </w:rPr>
            </w:pPr>
            <w:r>
              <w:rPr>
                <w:rFonts w:ascii="Calibri" w:hAnsi="Calibri" w:cs="Calibri"/>
                <w:color w:val="000000"/>
              </w:rPr>
              <w:t>1.474</w:t>
            </w:r>
          </w:p>
        </w:tc>
      </w:tr>
      <w:tr w:rsidR="00EB53D3" w14:paraId="58C4050F" w14:textId="77777777" w:rsidTr="005B655B">
        <w:tc>
          <w:tcPr>
            <w:tcW w:w="1129" w:type="dxa"/>
            <w:tcBorders>
              <w:top w:val="nil"/>
            </w:tcBorders>
          </w:tcPr>
          <w:p w14:paraId="0EA0DB48" w14:textId="77777777" w:rsidR="00EB53D3" w:rsidRPr="007801A8" w:rsidRDefault="00EB53D3" w:rsidP="005B655B">
            <w:r>
              <w:t>[-20,+20]</w:t>
            </w:r>
          </w:p>
        </w:tc>
        <w:tc>
          <w:tcPr>
            <w:tcW w:w="1418" w:type="dxa"/>
            <w:tcBorders>
              <w:top w:val="nil"/>
            </w:tcBorders>
            <w:vAlign w:val="center"/>
          </w:tcPr>
          <w:p w14:paraId="4C091267" w14:textId="77777777" w:rsidR="00EB53D3" w:rsidRPr="004D0063" w:rsidRDefault="00EB53D3" w:rsidP="005B655B">
            <w:pPr>
              <w:ind w:right="343"/>
              <w:jc w:val="right"/>
              <w:rPr>
                <w:highlight w:val="yellow"/>
              </w:rPr>
            </w:pPr>
            <w:r>
              <w:rPr>
                <w:rFonts w:ascii="Calibri" w:hAnsi="Calibri" w:cs="Calibri"/>
                <w:color w:val="000000"/>
              </w:rPr>
              <w:t>1.24%</w:t>
            </w:r>
          </w:p>
        </w:tc>
        <w:tc>
          <w:tcPr>
            <w:tcW w:w="1559" w:type="dxa"/>
            <w:tcBorders>
              <w:top w:val="nil"/>
            </w:tcBorders>
            <w:vAlign w:val="center"/>
          </w:tcPr>
          <w:p w14:paraId="1313E192" w14:textId="77777777" w:rsidR="00EB53D3" w:rsidRPr="004D0063" w:rsidRDefault="00EB53D3" w:rsidP="005B655B">
            <w:pPr>
              <w:ind w:right="299"/>
              <w:jc w:val="right"/>
              <w:rPr>
                <w:highlight w:val="yellow"/>
              </w:rPr>
            </w:pPr>
            <w:r>
              <w:rPr>
                <w:rFonts w:ascii="Calibri" w:hAnsi="Calibri" w:cs="Calibri"/>
                <w:color w:val="000000"/>
              </w:rPr>
              <w:t>1.89%</w:t>
            </w:r>
          </w:p>
        </w:tc>
        <w:tc>
          <w:tcPr>
            <w:tcW w:w="1559" w:type="dxa"/>
            <w:tcBorders>
              <w:top w:val="nil"/>
            </w:tcBorders>
            <w:vAlign w:val="center"/>
          </w:tcPr>
          <w:p w14:paraId="7CC163F2" w14:textId="77777777" w:rsidR="00EB53D3" w:rsidRPr="004D0063" w:rsidRDefault="00EB53D3" w:rsidP="005B655B">
            <w:pPr>
              <w:ind w:firstLine="343"/>
              <w:rPr>
                <w:highlight w:val="yellow"/>
              </w:rPr>
            </w:pPr>
            <w:r>
              <w:rPr>
                <w:rFonts w:ascii="Calibri" w:hAnsi="Calibri" w:cs="Calibri"/>
                <w:color w:val="000000"/>
              </w:rPr>
              <w:t>60%***</w:t>
            </w:r>
          </w:p>
        </w:tc>
        <w:tc>
          <w:tcPr>
            <w:tcW w:w="1701" w:type="dxa"/>
            <w:tcBorders>
              <w:top w:val="nil"/>
            </w:tcBorders>
            <w:vAlign w:val="center"/>
          </w:tcPr>
          <w:p w14:paraId="222426D0" w14:textId="77777777" w:rsidR="00EB53D3" w:rsidRPr="004D0063" w:rsidRDefault="00EB53D3" w:rsidP="005B655B">
            <w:pPr>
              <w:ind w:firstLine="260"/>
              <w:rPr>
                <w:highlight w:val="yellow"/>
              </w:rPr>
            </w:pPr>
            <w:r>
              <w:rPr>
                <w:rFonts w:ascii="Calibri" w:hAnsi="Calibri" w:cs="Calibri"/>
                <w:color w:val="000000"/>
              </w:rPr>
              <w:t>2.405**</w:t>
            </w:r>
          </w:p>
        </w:tc>
        <w:tc>
          <w:tcPr>
            <w:tcW w:w="1650" w:type="dxa"/>
            <w:tcBorders>
              <w:top w:val="nil"/>
            </w:tcBorders>
            <w:vAlign w:val="center"/>
          </w:tcPr>
          <w:p w14:paraId="5FF1C29E" w14:textId="77777777" w:rsidR="00EB53D3" w:rsidRPr="004D0063" w:rsidRDefault="00EB53D3" w:rsidP="005B655B">
            <w:pPr>
              <w:ind w:left="319"/>
              <w:rPr>
                <w:highlight w:val="yellow"/>
              </w:rPr>
            </w:pPr>
            <w:r>
              <w:rPr>
                <w:rFonts w:ascii="Calibri" w:hAnsi="Calibri" w:cs="Calibri"/>
                <w:color w:val="000000"/>
              </w:rPr>
              <w:t>0.643</w:t>
            </w:r>
          </w:p>
        </w:tc>
      </w:tr>
    </w:tbl>
    <w:p w14:paraId="7302EC3C" w14:textId="77777777" w:rsidR="00EB53D3" w:rsidRDefault="00EB53D3" w:rsidP="00EB53D3"/>
    <w:p w14:paraId="072A220C" w14:textId="522DA731" w:rsidR="00EB53D3" w:rsidRDefault="00EB53D3" w:rsidP="00EB53D3">
      <w:pPr>
        <w:rPr>
          <w:b/>
        </w:rPr>
      </w:pPr>
      <w:r w:rsidRPr="00BF2772">
        <w:t xml:space="preserve">This table reports the </w:t>
      </w:r>
      <w:r>
        <w:t>mean and median market-adjusted abnormal returns and market-adjusted cumulative abnormal returns (</w:t>
      </w:r>
      <w:r w:rsidRPr="00654228">
        <w:rPr>
          <w:i/>
        </w:rPr>
        <w:t>CAR</w:t>
      </w:r>
      <w:r>
        <w:t>) around 239 project announcements from 2008 to 2014. Statistical significance is evaluated using the Boehmer, Musumeci and Poulsen (1991) standardised cross-sectional test. The generalised sign test for the proportion of positive returns, and the Corrado (1989) rank test are also reported. *, ** and *** denote statistical significance at the 10%, 5% and 1% levels, respectively.</w:t>
      </w:r>
      <w:r>
        <w:rPr>
          <w:b/>
        </w:rPr>
        <w:br w:type="page"/>
      </w:r>
    </w:p>
    <w:p w14:paraId="0E5064E8" w14:textId="4ECC1ABA" w:rsidR="000E6AFD" w:rsidRDefault="000E6AFD" w:rsidP="000E6AFD">
      <w:pPr>
        <w:rPr>
          <w:b/>
        </w:rPr>
      </w:pPr>
      <w:r w:rsidRPr="00212E7B">
        <w:rPr>
          <w:b/>
        </w:rPr>
        <w:lastRenderedPageBreak/>
        <w:t xml:space="preserve">Table </w:t>
      </w:r>
      <w:r w:rsidR="007C3ED5">
        <w:rPr>
          <w:b/>
        </w:rPr>
        <w:t>4</w:t>
      </w:r>
      <w:r w:rsidRPr="00212E7B">
        <w:rPr>
          <w:b/>
        </w:rPr>
        <w:t xml:space="preserve">  </w:t>
      </w:r>
      <w:r w:rsidR="004A6B0C">
        <w:rPr>
          <w:b/>
        </w:rPr>
        <w:t>Cross-sectional regression of p</w:t>
      </w:r>
      <w:r w:rsidR="00A91611" w:rsidRPr="00212E7B">
        <w:rPr>
          <w:b/>
        </w:rPr>
        <w:t>roject announcement returns</w:t>
      </w:r>
      <w:r w:rsidR="00FF2CB8" w:rsidRPr="00212E7B">
        <w:rPr>
          <w:b/>
        </w:rPr>
        <w:t xml:space="preserve"> </w:t>
      </w:r>
      <w:r w:rsidR="006716DF">
        <w:rPr>
          <w:b/>
        </w:rPr>
        <w:t>[</w:t>
      </w:r>
      <w:r w:rsidR="00654228" w:rsidRPr="00654228">
        <w:rPr>
          <w:b/>
          <w:i/>
        </w:rPr>
        <w:t>CAR</w:t>
      </w:r>
      <w:r w:rsidR="00FF2CB8" w:rsidRPr="00212E7B">
        <w:rPr>
          <w:b/>
        </w:rPr>
        <w:t xml:space="preserve"> </w:t>
      </w:r>
      <w:r w:rsidR="00FF2CB8" w:rsidRPr="00624D91">
        <w:rPr>
          <w:b/>
          <w:i/>
        </w:rPr>
        <w:t>0,+2</w:t>
      </w:r>
      <w:r w:rsidR="006716DF">
        <w:rPr>
          <w:b/>
        </w:rPr>
        <w:t>]</w:t>
      </w:r>
    </w:p>
    <w:p w14:paraId="45052E8A" w14:textId="77777777" w:rsidR="004A6B0C" w:rsidRPr="00212E7B" w:rsidRDefault="004A6B0C" w:rsidP="000E6AFD">
      <w:pPr>
        <w:rPr>
          <w:b/>
        </w:rPr>
      </w:pPr>
    </w:p>
    <w:tbl>
      <w:tblPr>
        <w:tblStyle w:val="TableGrid"/>
        <w:tblW w:w="789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43"/>
        <w:gridCol w:w="1487"/>
        <w:gridCol w:w="1487"/>
        <w:gridCol w:w="1487"/>
        <w:gridCol w:w="1487"/>
      </w:tblGrid>
      <w:tr w:rsidR="005A33B7" w:rsidRPr="00A21800" w14:paraId="5811314E" w14:textId="5596D044" w:rsidTr="007801A8">
        <w:tc>
          <w:tcPr>
            <w:tcW w:w="1943" w:type="dxa"/>
            <w:tcBorders>
              <w:top w:val="single" w:sz="4" w:space="0" w:color="auto"/>
              <w:bottom w:val="single" w:sz="4" w:space="0" w:color="auto"/>
            </w:tcBorders>
          </w:tcPr>
          <w:p w14:paraId="3D3BC77D" w14:textId="77777777" w:rsidR="005A33B7" w:rsidRPr="00595CF8" w:rsidRDefault="005A33B7" w:rsidP="00C774E8"/>
        </w:tc>
        <w:tc>
          <w:tcPr>
            <w:tcW w:w="1487" w:type="dxa"/>
            <w:tcBorders>
              <w:top w:val="single" w:sz="4" w:space="0" w:color="auto"/>
              <w:bottom w:val="single" w:sz="4" w:space="0" w:color="auto"/>
            </w:tcBorders>
          </w:tcPr>
          <w:p w14:paraId="04D02C00" w14:textId="10814785" w:rsidR="005A33B7" w:rsidRPr="00B376A1" w:rsidRDefault="005A33B7">
            <w:r w:rsidRPr="00B376A1">
              <w:t>(1)</w:t>
            </w:r>
          </w:p>
          <w:p w14:paraId="3C90C20C" w14:textId="2047BEC0" w:rsidR="005A33B7" w:rsidRPr="007801A8" w:rsidRDefault="005A33B7">
            <w:r>
              <w:t>Full</w:t>
            </w:r>
          </w:p>
        </w:tc>
        <w:tc>
          <w:tcPr>
            <w:tcW w:w="1487" w:type="dxa"/>
            <w:tcBorders>
              <w:top w:val="single" w:sz="4" w:space="0" w:color="auto"/>
              <w:bottom w:val="single" w:sz="4" w:space="0" w:color="auto"/>
            </w:tcBorders>
          </w:tcPr>
          <w:p w14:paraId="6543DFE3" w14:textId="77777777" w:rsidR="005A33B7" w:rsidRDefault="005A33B7">
            <w:r>
              <w:t>(2)</w:t>
            </w:r>
          </w:p>
          <w:p w14:paraId="050CABDB" w14:textId="74A132E7" w:rsidR="005A33B7" w:rsidRPr="00EC49D0" w:rsidRDefault="005A33B7">
            <w:r>
              <w:t>Full+Int</w:t>
            </w:r>
          </w:p>
        </w:tc>
        <w:tc>
          <w:tcPr>
            <w:tcW w:w="1487" w:type="dxa"/>
            <w:tcBorders>
              <w:top w:val="single" w:sz="4" w:space="0" w:color="auto"/>
              <w:bottom w:val="single" w:sz="4" w:space="0" w:color="auto"/>
            </w:tcBorders>
          </w:tcPr>
          <w:p w14:paraId="45B07987" w14:textId="0973313E" w:rsidR="005A33B7" w:rsidRPr="00CF30FF" w:rsidRDefault="005A33B7" w:rsidP="00212E7B">
            <w:r w:rsidRPr="00CF30FF">
              <w:t>(</w:t>
            </w:r>
            <w:r w:rsidR="00855977">
              <w:t>3</w:t>
            </w:r>
            <w:r w:rsidRPr="00CF30FF">
              <w:t>)</w:t>
            </w:r>
          </w:p>
          <w:p w14:paraId="15C0A064" w14:textId="23DF1A35" w:rsidR="005A33B7" w:rsidRPr="00CF30FF" w:rsidRDefault="003B13F2" w:rsidP="00212E7B">
            <w:r w:rsidRPr="003B13F2">
              <w:rPr>
                <w:i/>
              </w:rPr>
              <w:t>CAR</w:t>
            </w:r>
            <w:r w:rsidR="005A33B7" w:rsidRPr="00CF30FF">
              <w:t>&gt;0</w:t>
            </w:r>
          </w:p>
        </w:tc>
        <w:tc>
          <w:tcPr>
            <w:tcW w:w="1487" w:type="dxa"/>
            <w:tcBorders>
              <w:top w:val="single" w:sz="4" w:space="0" w:color="auto"/>
              <w:bottom w:val="single" w:sz="4" w:space="0" w:color="auto"/>
            </w:tcBorders>
          </w:tcPr>
          <w:p w14:paraId="079D929F" w14:textId="2334DEEF" w:rsidR="005A33B7" w:rsidRPr="0041265C" w:rsidRDefault="005A33B7" w:rsidP="00212E7B">
            <w:r w:rsidRPr="0041265C">
              <w:t>(</w:t>
            </w:r>
            <w:r w:rsidR="00855977">
              <w:t>4</w:t>
            </w:r>
            <w:r w:rsidRPr="0041265C">
              <w:t>)</w:t>
            </w:r>
          </w:p>
          <w:p w14:paraId="19D5CE15" w14:textId="40FD184E" w:rsidR="005A33B7" w:rsidRPr="0041265C" w:rsidRDefault="003B13F2" w:rsidP="00212E7B">
            <w:r w:rsidRPr="003B13F2">
              <w:rPr>
                <w:i/>
              </w:rPr>
              <w:t>CAR</w:t>
            </w:r>
            <w:r w:rsidR="005A33B7" w:rsidRPr="0041265C">
              <w:t>&lt;0</w:t>
            </w:r>
          </w:p>
        </w:tc>
      </w:tr>
      <w:tr w:rsidR="005A33B7" w:rsidRPr="00A21800" w14:paraId="61372643" w14:textId="3A4FC67C" w:rsidTr="007801A8">
        <w:trPr>
          <w:trHeight w:val="288"/>
        </w:trPr>
        <w:tc>
          <w:tcPr>
            <w:tcW w:w="1943" w:type="dxa"/>
            <w:tcBorders>
              <w:top w:val="single" w:sz="4" w:space="0" w:color="auto"/>
            </w:tcBorders>
            <w:noWrap/>
            <w:hideMark/>
          </w:tcPr>
          <w:p w14:paraId="269D5E98" w14:textId="77777777" w:rsidR="005A33B7" w:rsidRPr="00B376A1" w:rsidRDefault="005A33B7" w:rsidP="00C774E8">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DQ</w:t>
            </w:r>
          </w:p>
        </w:tc>
        <w:tc>
          <w:tcPr>
            <w:tcW w:w="1487" w:type="dxa"/>
            <w:tcBorders>
              <w:top w:val="single" w:sz="4" w:space="0" w:color="auto"/>
            </w:tcBorders>
            <w:noWrap/>
            <w:hideMark/>
          </w:tcPr>
          <w:p w14:paraId="0F0EA981" w14:textId="7B6DA13D" w:rsidR="005A33B7" w:rsidRPr="00B376A1" w:rsidRDefault="005A33B7" w:rsidP="00C774E8">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w:t>
            </w:r>
            <w:r w:rsidRPr="00B376A1" w:rsidDel="006D7AD8">
              <w:rPr>
                <w:rFonts w:ascii="Calibri" w:eastAsia="Times New Roman" w:hAnsi="Calibri" w:cs="Times New Roman"/>
                <w:color w:val="000000"/>
                <w:lang w:eastAsia="en-NZ"/>
              </w:rPr>
              <w:t xml:space="preserve"> </w:t>
            </w: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05</w:t>
            </w:r>
          </w:p>
          <w:p w14:paraId="392EDEF8" w14:textId="37CFAB07"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w:t>
            </w:r>
            <w:r>
              <w:rPr>
                <w:rFonts w:ascii="Calibri" w:eastAsia="Times New Roman" w:hAnsi="Calibri" w:cs="Times New Roman"/>
                <w:color w:val="000000"/>
                <w:lang w:eastAsia="en-NZ"/>
              </w:rPr>
              <w:t>0.44</w:t>
            </w:r>
            <w:r w:rsidRPr="00B376A1">
              <w:rPr>
                <w:rFonts w:ascii="Calibri" w:eastAsia="Times New Roman" w:hAnsi="Calibri" w:cs="Times New Roman"/>
                <w:color w:val="000000"/>
                <w:lang w:eastAsia="en-NZ"/>
              </w:rPr>
              <w:t>)</w:t>
            </w:r>
          </w:p>
        </w:tc>
        <w:tc>
          <w:tcPr>
            <w:tcW w:w="1487" w:type="dxa"/>
            <w:tcBorders>
              <w:top w:val="single" w:sz="4" w:space="0" w:color="auto"/>
            </w:tcBorders>
          </w:tcPr>
          <w:p w14:paraId="4D341F7E" w14:textId="77777777" w:rsidR="005A33B7" w:rsidRDefault="005A33B7" w:rsidP="00C774E8">
            <w:pPr>
              <w:rPr>
                <w:rFonts w:ascii="Calibri" w:hAnsi="Calibri"/>
                <w:color w:val="000000"/>
              </w:rPr>
            </w:pPr>
            <w:r>
              <w:rPr>
                <w:rFonts w:ascii="Calibri" w:hAnsi="Calibri"/>
                <w:color w:val="000000"/>
              </w:rPr>
              <w:t>0.019</w:t>
            </w:r>
          </w:p>
          <w:p w14:paraId="230AF8FF" w14:textId="683A974F" w:rsidR="005A33B7" w:rsidRPr="00EC49D0" w:rsidRDefault="005A33B7" w:rsidP="00C774E8">
            <w:pPr>
              <w:rPr>
                <w:rFonts w:ascii="Calibri" w:hAnsi="Calibri"/>
                <w:color w:val="000000"/>
              </w:rPr>
            </w:pPr>
            <w:r>
              <w:rPr>
                <w:rFonts w:ascii="Calibri" w:hAnsi="Calibri"/>
                <w:color w:val="000000"/>
              </w:rPr>
              <w:t>(1.17)</w:t>
            </w:r>
          </w:p>
        </w:tc>
        <w:tc>
          <w:tcPr>
            <w:tcW w:w="1487" w:type="dxa"/>
            <w:tcBorders>
              <w:top w:val="single" w:sz="4" w:space="0" w:color="auto"/>
            </w:tcBorders>
          </w:tcPr>
          <w:p w14:paraId="03AED8E8" w14:textId="34E10DC6" w:rsidR="005A33B7" w:rsidRPr="007801A8" w:rsidRDefault="005A33B7" w:rsidP="00C774E8">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0.041***</w:t>
            </w:r>
          </w:p>
          <w:p w14:paraId="217E4822" w14:textId="38DA43CA"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(2.71)</w:t>
            </w:r>
          </w:p>
        </w:tc>
        <w:tc>
          <w:tcPr>
            <w:tcW w:w="1487" w:type="dxa"/>
            <w:tcBorders>
              <w:top w:val="single" w:sz="4" w:space="0" w:color="auto"/>
            </w:tcBorders>
          </w:tcPr>
          <w:p w14:paraId="5811BDDA" w14:textId="5AF6FBFE" w:rsidR="005A33B7" w:rsidRPr="007801A8" w:rsidRDefault="005A33B7" w:rsidP="00C774E8">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0.008</w:t>
            </w:r>
          </w:p>
          <w:p w14:paraId="04A205F7" w14:textId="4A3018AB"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(0.78)</w:t>
            </w:r>
          </w:p>
        </w:tc>
      </w:tr>
      <w:tr w:rsidR="005A33B7" w:rsidRPr="00A21800" w14:paraId="09C6ED6A" w14:textId="56CB7E64" w:rsidTr="007801A8">
        <w:trPr>
          <w:trHeight w:val="288"/>
        </w:trPr>
        <w:tc>
          <w:tcPr>
            <w:tcW w:w="1943" w:type="dxa"/>
            <w:noWrap/>
            <w:hideMark/>
          </w:tcPr>
          <w:p w14:paraId="1BC3CA15" w14:textId="489A32E4" w:rsidR="005A33B7" w:rsidRPr="00B376A1" w:rsidRDefault="005A33B7">
            <w:pPr>
              <w:rPr>
                <w:rFonts w:ascii="Calibri" w:eastAsia="Times New Roman" w:hAnsi="Calibri" w:cs="Times New Roman"/>
                <w:i/>
                <w:color w:val="000000"/>
                <w:lang w:eastAsia="en-NZ"/>
              </w:rPr>
            </w:pPr>
            <w:r>
              <w:rPr>
                <w:rFonts w:ascii="Calibri" w:eastAsia="Times New Roman" w:hAnsi="Calibri" w:cs="Times New Roman"/>
                <w:i/>
                <w:color w:val="000000"/>
                <w:lang w:eastAsia="en-NZ"/>
              </w:rPr>
              <w:t>SDEarn</w:t>
            </w:r>
          </w:p>
        </w:tc>
        <w:tc>
          <w:tcPr>
            <w:tcW w:w="1487" w:type="dxa"/>
            <w:noWrap/>
            <w:hideMark/>
          </w:tcPr>
          <w:p w14:paraId="2C3C4196" w14:textId="23EFFD3A" w:rsidR="005A33B7" w:rsidRPr="00B376A1" w:rsidRDefault="005A33B7" w:rsidP="00212E7B">
            <w:pPr>
              <w:rPr>
                <w:rFonts w:ascii="Calibri" w:eastAsia="Times New Roman" w:hAnsi="Calibri" w:cs="Times New Roman"/>
                <w:color w:val="000000"/>
                <w:lang w:eastAsia="en-NZ"/>
              </w:rPr>
            </w:pPr>
            <w:r>
              <w:rPr>
                <w:rFonts w:ascii="Calibri" w:eastAsia="Times New Roman" w:hAnsi="Calibri" w:cs="Times New Roman"/>
                <w:color w:val="000000"/>
                <w:lang w:eastAsia="en-NZ"/>
              </w:rPr>
              <w:t>0.100</w:t>
            </w:r>
          </w:p>
          <w:p w14:paraId="76F5A6F6" w14:textId="48D25B08"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w:t>
            </w:r>
            <w:r>
              <w:rPr>
                <w:rFonts w:ascii="Calibri" w:eastAsia="Times New Roman" w:hAnsi="Calibri" w:cs="Times New Roman"/>
                <w:color w:val="000000"/>
                <w:lang w:eastAsia="en-NZ"/>
              </w:rPr>
              <w:t>1.15</w:t>
            </w:r>
            <w:r w:rsidRPr="00B376A1">
              <w:rPr>
                <w:rFonts w:ascii="Calibri" w:eastAsia="Times New Roman" w:hAnsi="Calibri" w:cs="Times New Roman"/>
                <w:color w:val="000000"/>
                <w:lang w:eastAsia="en-NZ"/>
              </w:rPr>
              <w:t>)</w:t>
            </w:r>
          </w:p>
        </w:tc>
        <w:tc>
          <w:tcPr>
            <w:tcW w:w="1487" w:type="dxa"/>
          </w:tcPr>
          <w:p w14:paraId="07FBD3FA" w14:textId="77777777" w:rsidR="005A33B7" w:rsidRDefault="005A33B7" w:rsidP="00212E7B">
            <w:r>
              <w:t>0.167</w:t>
            </w:r>
          </w:p>
          <w:p w14:paraId="3045E11B" w14:textId="6F5D54B4" w:rsidR="005A33B7" w:rsidRPr="00EC49D0" w:rsidRDefault="005A33B7" w:rsidP="00212E7B">
            <w:r>
              <w:t>(0.97)</w:t>
            </w:r>
          </w:p>
        </w:tc>
        <w:tc>
          <w:tcPr>
            <w:tcW w:w="1487" w:type="dxa"/>
          </w:tcPr>
          <w:p w14:paraId="423A2BA4" w14:textId="48FB2E41" w:rsidR="005A33B7" w:rsidRPr="007801A8" w:rsidRDefault="005A33B7" w:rsidP="00212E7B">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0.425***</w:t>
            </w:r>
          </w:p>
          <w:p w14:paraId="57BC9BDE" w14:textId="5AEA83D5"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(2.95)</w:t>
            </w:r>
          </w:p>
        </w:tc>
        <w:tc>
          <w:tcPr>
            <w:tcW w:w="1487" w:type="dxa"/>
          </w:tcPr>
          <w:p w14:paraId="190A5C1E" w14:textId="7FE653F4" w:rsidR="005A33B7" w:rsidRPr="007801A8" w:rsidRDefault="005A33B7" w:rsidP="00212E7B">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-0.051</w:t>
            </w:r>
            <w:r>
              <w:rPr>
                <w:rFonts w:ascii="Calibri" w:eastAsia="Times New Roman" w:hAnsi="Calibri" w:cs="Times New Roman"/>
                <w:color w:val="000000"/>
                <w:lang w:eastAsia="en-NZ"/>
              </w:rPr>
              <w:t>*</w:t>
            </w:r>
          </w:p>
          <w:p w14:paraId="79B46FCF" w14:textId="35CBAD4A"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(-1.72)</w:t>
            </w:r>
          </w:p>
        </w:tc>
      </w:tr>
      <w:tr w:rsidR="005A33B7" w:rsidRPr="00A21800" w14:paraId="2A49803F" w14:textId="768F7B13" w:rsidTr="007801A8">
        <w:trPr>
          <w:trHeight w:val="288"/>
        </w:trPr>
        <w:tc>
          <w:tcPr>
            <w:tcW w:w="1943" w:type="dxa"/>
            <w:noWrap/>
            <w:hideMark/>
          </w:tcPr>
          <w:p w14:paraId="48E7D0E2" w14:textId="33165491" w:rsidR="005A33B7" w:rsidRPr="00B376A1" w:rsidRDefault="005A33B7" w:rsidP="00750D7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Debt</w:t>
            </w:r>
          </w:p>
        </w:tc>
        <w:tc>
          <w:tcPr>
            <w:tcW w:w="1487" w:type="dxa"/>
            <w:noWrap/>
            <w:hideMark/>
          </w:tcPr>
          <w:p w14:paraId="3C6179D3" w14:textId="620F9AC6"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023</w:t>
            </w:r>
          </w:p>
          <w:p w14:paraId="2D39042F" w14:textId="0BB176E0"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w:t>
            </w:r>
            <w:r>
              <w:rPr>
                <w:rFonts w:ascii="Calibri" w:eastAsia="Times New Roman" w:hAnsi="Calibri" w:cs="Times New Roman"/>
                <w:color w:val="000000"/>
                <w:lang w:eastAsia="en-NZ"/>
              </w:rPr>
              <w:t>1.07</w:t>
            </w:r>
            <w:r w:rsidRPr="00B376A1">
              <w:rPr>
                <w:rFonts w:ascii="Calibri" w:eastAsia="Times New Roman" w:hAnsi="Calibri" w:cs="Times New Roman"/>
                <w:color w:val="000000"/>
                <w:lang w:eastAsia="en-NZ"/>
              </w:rPr>
              <w:t>)</w:t>
            </w:r>
          </w:p>
        </w:tc>
        <w:tc>
          <w:tcPr>
            <w:tcW w:w="1487" w:type="dxa"/>
          </w:tcPr>
          <w:p w14:paraId="17400624" w14:textId="77777777" w:rsidR="005A33B7" w:rsidRDefault="005A33B7" w:rsidP="00750D7C">
            <w:r>
              <w:t>0.010</w:t>
            </w:r>
          </w:p>
          <w:p w14:paraId="4BE332C6" w14:textId="2FC42360" w:rsidR="005A33B7" w:rsidRPr="00EC49D0" w:rsidRDefault="005A33B7" w:rsidP="00750D7C">
            <w:r>
              <w:t>(0.29)</w:t>
            </w:r>
          </w:p>
        </w:tc>
        <w:tc>
          <w:tcPr>
            <w:tcW w:w="1487" w:type="dxa"/>
            <w:tcBorders>
              <w:top w:val="nil"/>
              <w:left w:val="nil"/>
              <w:bottom w:val="nil"/>
              <w:right w:val="nil"/>
            </w:tcBorders>
            <w:shd w:val="clear" w:color="auto" w:fill="auto"/>
          </w:tcPr>
          <w:p w14:paraId="61BE1998" w14:textId="134610DD"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-0.061*</w:t>
            </w:r>
          </w:p>
          <w:p w14:paraId="79718807" w14:textId="0201B805"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(1.86)</w:t>
            </w:r>
          </w:p>
        </w:tc>
        <w:tc>
          <w:tcPr>
            <w:tcW w:w="1487" w:type="dxa"/>
          </w:tcPr>
          <w:p w14:paraId="3F619AC6" w14:textId="6BD28768"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-0.027</w:t>
            </w:r>
          </w:p>
          <w:p w14:paraId="137C65C3" w14:textId="39E58FCE"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(-1.35)</w:t>
            </w:r>
          </w:p>
        </w:tc>
      </w:tr>
      <w:tr w:rsidR="005A33B7" w:rsidRPr="00A21800" w14:paraId="739623EF" w14:textId="2658AF00" w:rsidTr="007801A8">
        <w:trPr>
          <w:trHeight w:val="288"/>
        </w:trPr>
        <w:tc>
          <w:tcPr>
            <w:tcW w:w="1943" w:type="dxa"/>
            <w:noWrap/>
            <w:hideMark/>
          </w:tcPr>
          <w:p w14:paraId="60C9CC39" w14:textId="4658DF1F" w:rsidR="005A33B7" w:rsidRPr="00B376A1" w:rsidRDefault="005A33B7" w:rsidP="00750D7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CFD</w:t>
            </w:r>
            <w:r w:rsidRPr="00B376A1">
              <w:rPr>
                <w:rFonts w:ascii="Calibri" w:eastAsia="Times New Roman" w:hAnsi="Calibri" w:cs="Times New Roman"/>
                <w:i/>
                <w:color w:val="000000"/>
                <w:vertAlign w:val="subscript"/>
                <w:lang w:eastAsia="en-NZ"/>
              </w:rPr>
              <w:t>H</w:t>
            </w:r>
          </w:p>
        </w:tc>
        <w:tc>
          <w:tcPr>
            <w:tcW w:w="1487" w:type="dxa"/>
            <w:noWrap/>
            <w:hideMark/>
          </w:tcPr>
          <w:p w14:paraId="1304C0C1" w14:textId="16FD411B"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-0.01</w:t>
            </w:r>
            <w:r>
              <w:rPr>
                <w:rFonts w:ascii="Calibri" w:eastAsia="Times New Roman" w:hAnsi="Calibri" w:cs="Times New Roman"/>
                <w:color w:val="000000"/>
                <w:lang w:eastAsia="en-NZ"/>
              </w:rPr>
              <w:t>3</w:t>
            </w:r>
          </w:p>
          <w:p w14:paraId="7E7479ED" w14:textId="0CB75F83"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67</w:t>
            </w:r>
            <w:r w:rsidRPr="00B376A1">
              <w:rPr>
                <w:rFonts w:ascii="Calibri" w:eastAsia="Times New Roman" w:hAnsi="Calibri" w:cs="Times New Roman"/>
                <w:color w:val="000000"/>
                <w:lang w:eastAsia="en-NZ"/>
              </w:rPr>
              <w:t>)</w:t>
            </w:r>
          </w:p>
        </w:tc>
        <w:tc>
          <w:tcPr>
            <w:tcW w:w="1487" w:type="dxa"/>
          </w:tcPr>
          <w:p w14:paraId="526228DC" w14:textId="77777777" w:rsidR="005A33B7" w:rsidRDefault="005A33B7" w:rsidP="00750D7C">
            <w:r>
              <w:t>-0.008</w:t>
            </w:r>
          </w:p>
          <w:p w14:paraId="69E31C03" w14:textId="56C3140A" w:rsidR="005A33B7" w:rsidRPr="00EC49D0" w:rsidRDefault="005A33B7">
            <w:r>
              <w:t>(-0.45)</w:t>
            </w:r>
          </w:p>
        </w:tc>
        <w:tc>
          <w:tcPr>
            <w:tcW w:w="1487" w:type="dxa"/>
            <w:tcBorders>
              <w:top w:val="nil"/>
              <w:left w:val="nil"/>
              <w:bottom w:val="nil"/>
              <w:right w:val="nil"/>
            </w:tcBorders>
            <w:shd w:val="clear" w:color="auto" w:fill="auto"/>
          </w:tcPr>
          <w:p w14:paraId="67ED9CCD" w14:textId="01AB28CA"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0.022</w:t>
            </w:r>
          </w:p>
          <w:p w14:paraId="333E5F94" w14:textId="5F534048"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(1.41)</w:t>
            </w:r>
          </w:p>
        </w:tc>
        <w:tc>
          <w:tcPr>
            <w:tcW w:w="1487" w:type="dxa"/>
          </w:tcPr>
          <w:p w14:paraId="61F2849B" w14:textId="77777777"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-0.007</w:t>
            </w:r>
          </w:p>
          <w:p w14:paraId="7AE57CAA" w14:textId="3D0AA825"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(-0.40)</w:t>
            </w:r>
          </w:p>
        </w:tc>
      </w:tr>
      <w:tr w:rsidR="005A33B7" w:rsidRPr="00A21800" w14:paraId="28916488" w14:textId="50EC8609" w:rsidTr="007801A8">
        <w:trPr>
          <w:trHeight w:val="288"/>
        </w:trPr>
        <w:tc>
          <w:tcPr>
            <w:tcW w:w="1943" w:type="dxa"/>
            <w:noWrap/>
            <w:hideMark/>
          </w:tcPr>
          <w:p w14:paraId="61ED804F" w14:textId="15EB67BB" w:rsidR="005A33B7" w:rsidRPr="00B376A1" w:rsidRDefault="005A33B7" w:rsidP="00750D7C">
            <w:pPr>
              <w:rPr>
                <w:rFonts w:ascii="Calibri" w:eastAsia="Times New Roman" w:hAnsi="Calibri" w:cs="Times New Roman"/>
                <w:i/>
                <w:color w:val="000000"/>
                <w:vertAlign w:val="subscript"/>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L</w:t>
            </w:r>
          </w:p>
        </w:tc>
        <w:tc>
          <w:tcPr>
            <w:tcW w:w="1487" w:type="dxa"/>
            <w:noWrap/>
            <w:hideMark/>
          </w:tcPr>
          <w:p w14:paraId="08579A6B" w14:textId="17D604BE"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-0.00</w:t>
            </w:r>
            <w:r>
              <w:rPr>
                <w:rFonts w:ascii="Calibri" w:eastAsia="Times New Roman" w:hAnsi="Calibri" w:cs="Times New Roman"/>
                <w:color w:val="000000"/>
                <w:lang w:eastAsia="en-NZ"/>
              </w:rPr>
              <w:t>2</w:t>
            </w:r>
          </w:p>
          <w:p w14:paraId="26AA4626" w14:textId="4A8B954F"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23</w:t>
            </w:r>
            <w:r w:rsidRPr="00B376A1">
              <w:rPr>
                <w:rFonts w:ascii="Calibri" w:eastAsia="Times New Roman" w:hAnsi="Calibri" w:cs="Times New Roman"/>
                <w:color w:val="000000"/>
                <w:lang w:eastAsia="en-NZ"/>
              </w:rPr>
              <w:t>)</w:t>
            </w:r>
          </w:p>
        </w:tc>
        <w:tc>
          <w:tcPr>
            <w:tcW w:w="1487" w:type="dxa"/>
          </w:tcPr>
          <w:p w14:paraId="1A105BF6" w14:textId="77777777" w:rsidR="005A33B7" w:rsidRDefault="005A33B7" w:rsidP="00750D7C">
            <w:r>
              <w:t>0.002</w:t>
            </w:r>
          </w:p>
          <w:p w14:paraId="1C4708C1" w14:textId="0AACEC57" w:rsidR="005A33B7" w:rsidRPr="00EC49D0" w:rsidRDefault="005A33B7">
            <w:r>
              <w:t>(0.14)</w:t>
            </w:r>
          </w:p>
        </w:tc>
        <w:tc>
          <w:tcPr>
            <w:tcW w:w="1487" w:type="dxa"/>
            <w:tcBorders>
              <w:top w:val="nil"/>
              <w:left w:val="nil"/>
              <w:bottom w:val="nil"/>
              <w:right w:val="nil"/>
            </w:tcBorders>
            <w:shd w:val="clear" w:color="auto" w:fill="auto"/>
          </w:tcPr>
          <w:p w14:paraId="386A4EAB" w14:textId="5C9EAF22"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0.016</w:t>
            </w:r>
          </w:p>
          <w:p w14:paraId="1CDEDFEA" w14:textId="0ADC7FA6"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(1.35)</w:t>
            </w:r>
          </w:p>
        </w:tc>
        <w:tc>
          <w:tcPr>
            <w:tcW w:w="1487" w:type="dxa"/>
          </w:tcPr>
          <w:p w14:paraId="15EA2720" w14:textId="77777777"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-0.004</w:t>
            </w:r>
          </w:p>
          <w:p w14:paraId="2D40C2EA" w14:textId="6944FB18" w:rsidR="005A33B7" w:rsidRPr="0041265C"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(-0.38)</w:t>
            </w:r>
          </w:p>
        </w:tc>
      </w:tr>
      <w:tr w:rsidR="005A33B7" w:rsidRPr="00A21800" w14:paraId="4C98A3E3" w14:textId="2882599C" w:rsidTr="007801A8">
        <w:trPr>
          <w:trHeight w:val="288"/>
        </w:trPr>
        <w:tc>
          <w:tcPr>
            <w:tcW w:w="1943" w:type="dxa"/>
            <w:noWrap/>
            <w:hideMark/>
          </w:tcPr>
          <w:p w14:paraId="6CCA79F7" w14:textId="5258551A" w:rsidR="005A33B7" w:rsidRPr="00B376A1" w:rsidRDefault="005A33B7" w:rsidP="00750D7C">
            <w:pPr>
              <w:rPr>
                <w:rFonts w:ascii="Calibri" w:eastAsia="Times New Roman" w:hAnsi="Calibri" w:cs="Times New Roman"/>
                <w:i/>
                <w:color w:val="000000"/>
                <w:vertAlign w:val="subscript"/>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 xml:space="preserve">L </w:t>
            </w:r>
            <w:r w:rsidRPr="00B376A1">
              <w:rPr>
                <w:rFonts w:ascii="Calibri" w:eastAsia="Times New Roman" w:hAnsi="Calibri" w:cs="Calibri"/>
                <w:i/>
                <w:color w:val="000000"/>
                <w:lang w:eastAsia="en-NZ"/>
              </w:rPr>
              <w:t>×</w:t>
            </w:r>
            <w:r w:rsidRPr="00B376A1">
              <w:rPr>
                <w:rFonts w:ascii="Calibri" w:eastAsia="Times New Roman" w:hAnsi="Calibri" w:cs="Times New Roman"/>
                <w:i/>
                <w:color w:val="000000"/>
                <w:lang w:eastAsia="en-NZ"/>
              </w:rPr>
              <w:t xml:space="preserve"> CFD</w:t>
            </w:r>
            <w:r w:rsidRPr="00B376A1">
              <w:rPr>
                <w:rFonts w:ascii="Calibri" w:eastAsia="Times New Roman" w:hAnsi="Calibri" w:cs="Times New Roman"/>
                <w:i/>
                <w:color w:val="000000"/>
                <w:vertAlign w:val="subscript"/>
                <w:lang w:eastAsia="en-NZ"/>
              </w:rPr>
              <w:t>H</w:t>
            </w:r>
          </w:p>
        </w:tc>
        <w:tc>
          <w:tcPr>
            <w:tcW w:w="1487" w:type="dxa"/>
            <w:noWrap/>
            <w:hideMark/>
          </w:tcPr>
          <w:p w14:paraId="40E41E18" w14:textId="4819C1B8"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w:t>
            </w:r>
            <w:r w:rsidRPr="007801A8">
              <w:rPr>
                <w:rFonts w:ascii="Calibri" w:eastAsia="Times New Roman" w:hAnsi="Calibri" w:cs="Times New Roman"/>
                <w:color w:val="000000"/>
                <w:lang w:eastAsia="en-NZ"/>
              </w:rPr>
              <w:t>1</w:t>
            </w:r>
            <w:r>
              <w:rPr>
                <w:rFonts w:ascii="Calibri" w:eastAsia="Times New Roman" w:hAnsi="Calibri" w:cs="Times New Roman"/>
                <w:color w:val="000000"/>
                <w:lang w:eastAsia="en-NZ"/>
              </w:rPr>
              <w:t>6</w:t>
            </w:r>
          </w:p>
          <w:p w14:paraId="62D3811E" w14:textId="1F299573"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84</w:t>
            </w:r>
            <w:r w:rsidRPr="00B376A1">
              <w:rPr>
                <w:rFonts w:ascii="Calibri" w:eastAsia="Times New Roman" w:hAnsi="Calibri" w:cs="Times New Roman"/>
                <w:color w:val="000000"/>
                <w:lang w:eastAsia="en-NZ"/>
              </w:rPr>
              <w:t>)</w:t>
            </w:r>
          </w:p>
        </w:tc>
        <w:tc>
          <w:tcPr>
            <w:tcW w:w="1487" w:type="dxa"/>
          </w:tcPr>
          <w:p w14:paraId="41EFED6A" w14:textId="77777777" w:rsidR="005A33B7" w:rsidRDefault="005A33B7" w:rsidP="00750D7C">
            <w:r>
              <w:t>0.012</w:t>
            </w:r>
          </w:p>
          <w:p w14:paraId="469D1A18" w14:textId="4DB2277D" w:rsidR="005A33B7" w:rsidRPr="00EC49D0" w:rsidRDefault="005A33B7" w:rsidP="00750D7C">
            <w:r>
              <w:t>(0.62)</w:t>
            </w:r>
          </w:p>
        </w:tc>
        <w:tc>
          <w:tcPr>
            <w:tcW w:w="1487" w:type="dxa"/>
            <w:tcBorders>
              <w:top w:val="nil"/>
              <w:left w:val="nil"/>
              <w:bottom w:val="nil"/>
              <w:right w:val="nil"/>
            </w:tcBorders>
            <w:shd w:val="clear" w:color="auto" w:fill="auto"/>
          </w:tcPr>
          <w:p w14:paraId="7D26C431" w14:textId="19571BF2"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-0.023</w:t>
            </w:r>
          </w:p>
          <w:p w14:paraId="2BB47DE8" w14:textId="1A97D3DB"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(-1.48)</w:t>
            </w:r>
          </w:p>
        </w:tc>
        <w:tc>
          <w:tcPr>
            <w:tcW w:w="1487" w:type="dxa"/>
          </w:tcPr>
          <w:p w14:paraId="66FD5A3F" w14:textId="77777777" w:rsidR="005A33B7" w:rsidRPr="007801A8"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0.019</w:t>
            </w:r>
          </w:p>
          <w:p w14:paraId="464EE4A7" w14:textId="7E20E9BE"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(0.98)</w:t>
            </w:r>
          </w:p>
        </w:tc>
      </w:tr>
      <w:tr w:rsidR="005A33B7" w:rsidRPr="00A21800" w14:paraId="289C6869" w14:textId="77777777" w:rsidTr="007801A8">
        <w:trPr>
          <w:trHeight w:val="288"/>
        </w:trPr>
        <w:tc>
          <w:tcPr>
            <w:tcW w:w="1943" w:type="dxa"/>
            <w:noWrap/>
          </w:tcPr>
          <w:p w14:paraId="095C8473" w14:textId="48209D72" w:rsidR="005A33B7" w:rsidRPr="00B376A1" w:rsidRDefault="005A33B7" w:rsidP="00D025C6">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LnAssets</w:t>
            </w:r>
          </w:p>
        </w:tc>
        <w:tc>
          <w:tcPr>
            <w:tcW w:w="1487" w:type="dxa"/>
            <w:noWrap/>
          </w:tcPr>
          <w:p w14:paraId="2644EE5D" w14:textId="2295F854" w:rsidR="005A33B7" w:rsidRPr="00B376A1" w:rsidRDefault="005A33B7" w:rsidP="00D025C6">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0.00</w:t>
            </w:r>
            <w:r>
              <w:rPr>
                <w:rFonts w:ascii="Calibri" w:eastAsia="Times New Roman" w:hAnsi="Calibri" w:cs="Times New Roman"/>
                <w:color w:val="000000"/>
                <w:lang w:eastAsia="en-NZ"/>
              </w:rPr>
              <w:t>2</w:t>
            </w:r>
          </w:p>
          <w:p w14:paraId="3D51E713" w14:textId="31BABDA3"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0.</w:t>
            </w:r>
            <w:r>
              <w:rPr>
                <w:rFonts w:ascii="Calibri" w:eastAsia="Times New Roman" w:hAnsi="Calibri" w:cs="Times New Roman"/>
                <w:color w:val="000000"/>
                <w:lang w:eastAsia="en-NZ"/>
              </w:rPr>
              <w:t>75</w:t>
            </w:r>
            <w:r w:rsidRPr="00B376A1">
              <w:rPr>
                <w:rFonts w:ascii="Calibri" w:eastAsia="Times New Roman" w:hAnsi="Calibri" w:cs="Times New Roman"/>
                <w:color w:val="000000"/>
                <w:lang w:eastAsia="en-NZ"/>
              </w:rPr>
              <w:t>)</w:t>
            </w:r>
          </w:p>
        </w:tc>
        <w:tc>
          <w:tcPr>
            <w:tcW w:w="1487" w:type="dxa"/>
          </w:tcPr>
          <w:p w14:paraId="06936C4E" w14:textId="77777777" w:rsidR="005A33B7" w:rsidRDefault="005A33B7" w:rsidP="00D025C6">
            <w:r>
              <w:t>0.002</w:t>
            </w:r>
          </w:p>
          <w:p w14:paraId="3203B11C" w14:textId="394FBE2B" w:rsidR="005A33B7" w:rsidRPr="00EC49D0" w:rsidRDefault="005A33B7" w:rsidP="00D025C6">
            <w:r>
              <w:t>(0.88)</w:t>
            </w:r>
          </w:p>
        </w:tc>
        <w:tc>
          <w:tcPr>
            <w:tcW w:w="1487" w:type="dxa"/>
          </w:tcPr>
          <w:p w14:paraId="4158E227" w14:textId="69F535A8" w:rsidR="005A33B7" w:rsidRPr="007801A8" w:rsidRDefault="005A33B7" w:rsidP="00D025C6">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0.000</w:t>
            </w:r>
          </w:p>
          <w:p w14:paraId="05186E37" w14:textId="4217EF60"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(0.13)</w:t>
            </w:r>
          </w:p>
        </w:tc>
        <w:tc>
          <w:tcPr>
            <w:tcW w:w="1487" w:type="dxa"/>
          </w:tcPr>
          <w:p w14:paraId="56D545D9" w14:textId="7BAE6EB8" w:rsidR="005A33B7" w:rsidRPr="007801A8" w:rsidRDefault="005A33B7" w:rsidP="00D025C6">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0.004</w:t>
            </w:r>
            <w:r>
              <w:rPr>
                <w:rFonts w:ascii="Calibri" w:eastAsia="Times New Roman" w:hAnsi="Calibri" w:cs="Times New Roman"/>
                <w:color w:val="000000"/>
                <w:lang w:eastAsia="en-NZ"/>
              </w:rPr>
              <w:t>*</w:t>
            </w:r>
          </w:p>
          <w:p w14:paraId="1548E596" w14:textId="5FD1D119"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(1.94)</w:t>
            </w:r>
          </w:p>
        </w:tc>
      </w:tr>
      <w:tr w:rsidR="005A33B7" w:rsidRPr="00A21800" w14:paraId="744B2100" w14:textId="5BA6BD6C" w:rsidTr="007801A8">
        <w:trPr>
          <w:trHeight w:val="288"/>
        </w:trPr>
        <w:tc>
          <w:tcPr>
            <w:tcW w:w="1943" w:type="dxa"/>
            <w:noWrap/>
          </w:tcPr>
          <w:p w14:paraId="23E12414" w14:textId="3E592E46" w:rsidR="005A33B7" w:rsidRPr="00B376A1" w:rsidRDefault="005A33B7" w:rsidP="007C3ED5">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 xml:space="preserve">DQ </w:t>
            </w:r>
            <w:r w:rsidRPr="00B376A1">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SDEarn</w:t>
            </w:r>
          </w:p>
        </w:tc>
        <w:tc>
          <w:tcPr>
            <w:tcW w:w="1487" w:type="dxa"/>
            <w:noWrap/>
          </w:tcPr>
          <w:p w14:paraId="089A2F79" w14:textId="1C709D63" w:rsidR="005A33B7" w:rsidRPr="00B376A1" w:rsidRDefault="005A33B7">
            <w:pPr>
              <w:rPr>
                <w:rFonts w:ascii="Calibri" w:eastAsia="Times New Roman" w:hAnsi="Calibri" w:cs="Times New Roman"/>
                <w:color w:val="000000"/>
                <w:lang w:eastAsia="en-NZ"/>
              </w:rPr>
            </w:pPr>
          </w:p>
        </w:tc>
        <w:tc>
          <w:tcPr>
            <w:tcW w:w="1487" w:type="dxa"/>
          </w:tcPr>
          <w:p w14:paraId="3E213510" w14:textId="30331034" w:rsidR="005A33B7" w:rsidRDefault="005A33B7" w:rsidP="00212E7B">
            <w:r>
              <w:t>-0.118</w:t>
            </w:r>
          </w:p>
          <w:p w14:paraId="626FE881" w14:textId="5C4D96D3" w:rsidR="005A33B7" w:rsidRPr="00EC49D0" w:rsidRDefault="005A33B7">
            <w:r>
              <w:t>(-0.67)</w:t>
            </w:r>
          </w:p>
        </w:tc>
        <w:tc>
          <w:tcPr>
            <w:tcW w:w="1487" w:type="dxa"/>
          </w:tcPr>
          <w:p w14:paraId="00EDB6FC" w14:textId="25055385" w:rsidR="005A33B7" w:rsidRPr="007801A8" w:rsidRDefault="005A33B7" w:rsidP="00212E7B">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-0.4</w:t>
            </w:r>
            <w:r>
              <w:rPr>
                <w:rFonts w:ascii="Calibri" w:eastAsia="Times New Roman" w:hAnsi="Calibri" w:cs="Times New Roman"/>
                <w:color w:val="000000"/>
                <w:lang w:eastAsia="en-NZ"/>
              </w:rPr>
              <w:t>06***</w:t>
            </w:r>
          </w:p>
          <w:p w14:paraId="26BDC183" w14:textId="3C101205"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w:t>
            </w:r>
            <w:r>
              <w:rPr>
                <w:rFonts w:ascii="Calibri" w:eastAsia="Times New Roman" w:hAnsi="Calibri" w:cs="Times New Roman"/>
                <w:color w:val="000000"/>
                <w:lang w:eastAsia="en-NZ"/>
              </w:rPr>
              <w:t>2.80</w:t>
            </w:r>
            <w:r w:rsidRPr="007801A8">
              <w:rPr>
                <w:rFonts w:ascii="Calibri" w:eastAsia="Times New Roman" w:hAnsi="Calibri" w:cs="Times New Roman"/>
                <w:color w:val="000000"/>
                <w:lang w:eastAsia="en-NZ"/>
              </w:rPr>
              <w:t>)</w:t>
            </w:r>
          </w:p>
        </w:tc>
        <w:tc>
          <w:tcPr>
            <w:tcW w:w="1487" w:type="dxa"/>
          </w:tcPr>
          <w:p w14:paraId="41F18895" w14:textId="394CEA26" w:rsidR="005A33B7" w:rsidRPr="007801A8" w:rsidRDefault="005A33B7" w:rsidP="00212E7B">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-0.137</w:t>
            </w:r>
            <w:r>
              <w:rPr>
                <w:rFonts w:ascii="Calibri" w:eastAsia="Times New Roman" w:hAnsi="Calibri" w:cs="Times New Roman"/>
                <w:color w:val="000000"/>
                <w:lang w:eastAsia="en-NZ"/>
              </w:rPr>
              <w:t>**</w:t>
            </w:r>
          </w:p>
          <w:p w14:paraId="58B579EF" w14:textId="392D3E5E"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(-2.28)</w:t>
            </w:r>
          </w:p>
        </w:tc>
      </w:tr>
      <w:tr w:rsidR="005A33B7" w:rsidRPr="00A21800" w14:paraId="78957BDD" w14:textId="040D6235" w:rsidTr="007801A8">
        <w:trPr>
          <w:trHeight w:val="288"/>
        </w:trPr>
        <w:tc>
          <w:tcPr>
            <w:tcW w:w="1943" w:type="dxa"/>
            <w:noWrap/>
            <w:hideMark/>
          </w:tcPr>
          <w:p w14:paraId="49A12119" w14:textId="77777777" w:rsidR="005A33B7" w:rsidRPr="00B376A1" w:rsidRDefault="005A33B7" w:rsidP="00C774E8">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Intercept</w:t>
            </w:r>
          </w:p>
        </w:tc>
        <w:tc>
          <w:tcPr>
            <w:tcW w:w="1487" w:type="dxa"/>
            <w:noWrap/>
            <w:hideMark/>
          </w:tcPr>
          <w:p w14:paraId="60BCC28E" w14:textId="4F901EDC" w:rsidR="005A33B7" w:rsidRPr="00B376A1" w:rsidRDefault="005A33B7" w:rsidP="00C774E8">
            <w:pPr>
              <w:rPr>
                <w:rFonts w:ascii="Calibri" w:eastAsia="Times New Roman" w:hAnsi="Calibri" w:cs="Times New Roman"/>
                <w:color w:val="000000"/>
                <w:lang w:eastAsia="en-NZ"/>
              </w:rPr>
            </w:pPr>
            <w:r>
              <w:rPr>
                <w:rFonts w:ascii="Calibri" w:eastAsia="Times New Roman" w:hAnsi="Calibri" w:cs="Times New Roman"/>
                <w:color w:val="000000"/>
                <w:lang w:eastAsia="en-NZ"/>
              </w:rPr>
              <w:t>-</w:t>
            </w:r>
            <w:r w:rsidRPr="00B376A1">
              <w:rPr>
                <w:rFonts w:ascii="Calibri" w:eastAsia="Times New Roman" w:hAnsi="Calibri" w:cs="Times New Roman"/>
                <w:color w:val="000000"/>
                <w:lang w:eastAsia="en-NZ"/>
              </w:rPr>
              <w:t>0.0</w:t>
            </w:r>
            <w:r>
              <w:rPr>
                <w:rFonts w:ascii="Calibri" w:eastAsia="Times New Roman" w:hAnsi="Calibri" w:cs="Times New Roman"/>
                <w:color w:val="000000"/>
                <w:lang w:eastAsia="en-NZ"/>
              </w:rPr>
              <w:t>29</w:t>
            </w:r>
          </w:p>
          <w:p w14:paraId="417A5CB2" w14:textId="66FCBDFA"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w:t>
            </w:r>
            <w:r>
              <w:rPr>
                <w:rFonts w:ascii="Calibri" w:eastAsia="Times New Roman" w:hAnsi="Calibri" w:cs="Times New Roman"/>
                <w:color w:val="000000"/>
                <w:lang w:eastAsia="en-NZ"/>
              </w:rPr>
              <w:t>-</w:t>
            </w:r>
            <w:r w:rsidRPr="00B376A1">
              <w:rPr>
                <w:rFonts w:ascii="Calibri" w:eastAsia="Times New Roman" w:hAnsi="Calibri" w:cs="Times New Roman"/>
                <w:color w:val="000000"/>
                <w:lang w:eastAsia="en-NZ"/>
              </w:rPr>
              <w:t>0.</w:t>
            </w:r>
            <w:r>
              <w:rPr>
                <w:rFonts w:ascii="Calibri" w:eastAsia="Times New Roman" w:hAnsi="Calibri" w:cs="Times New Roman"/>
                <w:color w:val="000000"/>
                <w:lang w:eastAsia="en-NZ"/>
              </w:rPr>
              <w:t>90</w:t>
            </w:r>
            <w:r w:rsidRPr="00B376A1">
              <w:rPr>
                <w:rFonts w:ascii="Calibri" w:eastAsia="Times New Roman" w:hAnsi="Calibri" w:cs="Times New Roman"/>
                <w:color w:val="000000"/>
                <w:lang w:eastAsia="en-NZ"/>
              </w:rPr>
              <w:t>)</w:t>
            </w:r>
          </w:p>
        </w:tc>
        <w:tc>
          <w:tcPr>
            <w:tcW w:w="1487" w:type="dxa"/>
          </w:tcPr>
          <w:p w14:paraId="35A00747" w14:textId="77777777" w:rsidR="005A33B7" w:rsidRDefault="005A33B7" w:rsidP="00C774E8">
            <w:pPr>
              <w:rPr>
                <w:rFonts w:ascii="Calibri" w:hAnsi="Calibri"/>
                <w:color w:val="000000"/>
              </w:rPr>
            </w:pPr>
            <w:r>
              <w:rPr>
                <w:rFonts w:ascii="Calibri" w:hAnsi="Calibri"/>
                <w:color w:val="000000"/>
              </w:rPr>
              <w:t>-0.043</w:t>
            </w:r>
          </w:p>
          <w:p w14:paraId="2677F424" w14:textId="5B3692B0" w:rsidR="005A33B7" w:rsidRPr="00EC49D0" w:rsidRDefault="005A33B7" w:rsidP="00C774E8">
            <w:pPr>
              <w:rPr>
                <w:rFonts w:ascii="Calibri" w:hAnsi="Calibri"/>
                <w:color w:val="000000"/>
              </w:rPr>
            </w:pPr>
            <w:r>
              <w:rPr>
                <w:rFonts w:ascii="Calibri" w:hAnsi="Calibri"/>
                <w:color w:val="000000"/>
              </w:rPr>
              <w:t>(-1.02)</w:t>
            </w:r>
          </w:p>
        </w:tc>
        <w:tc>
          <w:tcPr>
            <w:tcW w:w="1487" w:type="dxa"/>
          </w:tcPr>
          <w:p w14:paraId="6490A3A0" w14:textId="09111AC8" w:rsidR="005A33B7" w:rsidRPr="007801A8" w:rsidRDefault="005A33B7" w:rsidP="00C774E8">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w:t>
            </w:r>
            <w:r>
              <w:rPr>
                <w:rFonts w:ascii="Calibri" w:eastAsia="Times New Roman" w:hAnsi="Calibri" w:cs="Times New Roman"/>
                <w:color w:val="000000"/>
                <w:lang w:eastAsia="en-NZ"/>
              </w:rPr>
              <w:t>27</w:t>
            </w:r>
          </w:p>
          <w:p w14:paraId="107D2B8D" w14:textId="703D20E7"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w:t>
            </w:r>
            <w:r>
              <w:rPr>
                <w:rFonts w:ascii="Calibri" w:eastAsia="Times New Roman" w:hAnsi="Calibri" w:cs="Times New Roman"/>
                <w:color w:val="000000"/>
                <w:lang w:eastAsia="en-NZ"/>
              </w:rPr>
              <w:t>55</w:t>
            </w:r>
            <w:r w:rsidRPr="007801A8">
              <w:rPr>
                <w:rFonts w:ascii="Calibri" w:eastAsia="Times New Roman" w:hAnsi="Calibri" w:cs="Times New Roman"/>
                <w:color w:val="000000"/>
                <w:lang w:eastAsia="en-NZ"/>
              </w:rPr>
              <w:t>)</w:t>
            </w:r>
          </w:p>
        </w:tc>
        <w:tc>
          <w:tcPr>
            <w:tcW w:w="1487" w:type="dxa"/>
            <w:shd w:val="clear" w:color="auto" w:fill="auto"/>
          </w:tcPr>
          <w:p w14:paraId="1DE6A404" w14:textId="5A168802" w:rsidR="005A33B7" w:rsidRPr="007801A8" w:rsidRDefault="005A33B7" w:rsidP="00C774E8">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-0.069***</w:t>
            </w:r>
          </w:p>
          <w:p w14:paraId="2CFC7EB7" w14:textId="0219536C" w:rsidR="005A33B7" w:rsidRPr="0041265C"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(-2.66)</w:t>
            </w:r>
          </w:p>
        </w:tc>
      </w:tr>
      <w:tr w:rsidR="005A33B7" w:rsidRPr="00A21800" w14:paraId="781FCCD9" w14:textId="6D95F8B0" w:rsidTr="007801A8">
        <w:trPr>
          <w:trHeight w:val="288"/>
        </w:trPr>
        <w:tc>
          <w:tcPr>
            <w:tcW w:w="1943" w:type="dxa"/>
            <w:tcBorders>
              <w:bottom w:val="nil"/>
            </w:tcBorders>
            <w:noWrap/>
            <w:hideMark/>
          </w:tcPr>
          <w:p w14:paraId="19BDBE34" w14:textId="77777777" w:rsidR="005A33B7" w:rsidRPr="00B376A1" w:rsidRDefault="005A33B7" w:rsidP="00542DCF">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Industry dummies</w:t>
            </w:r>
          </w:p>
        </w:tc>
        <w:tc>
          <w:tcPr>
            <w:tcW w:w="1487" w:type="dxa"/>
            <w:tcBorders>
              <w:bottom w:val="nil"/>
            </w:tcBorders>
            <w:noWrap/>
            <w:hideMark/>
          </w:tcPr>
          <w:p w14:paraId="0DB9AB32" w14:textId="759C9992" w:rsidR="005A33B7" w:rsidRPr="00B376A1" w:rsidRDefault="005A33B7" w:rsidP="00542DCF">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Yes</w:t>
            </w:r>
          </w:p>
        </w:tc>
        <w:tc>
          <w:tcPr>
            <w:tcW w:w="1487" w:type="dxa"/>
            <w:tcBorders>
              <w:bottom w:val="nil"/>
            </w:tcBorders>
          </w:tcPr>
          <w:p w14:paraId="74153186" w14:textId="3AD8BDDE" w:rsidR="005A33B7" w:rsidRPr="00EC49D0"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Yes</w:t>
            </w:r>
          </w:p>
        </w:tc>
        <w:tc>
          <w:tcPr>
            <w:tcW w:w="1487" w:type="dxa"/>
            <w:tcBorders>
              <w:bottom w:val="nil"/>
            </w:tcBorders>
          </w:tcPr>
          <w:p w14:paraId="2D725959" w14:textId="29071C2D" w:rsidR="005A33B7" w:rsidRPr="007801A8" w:rsidRDefault="005A33B7" w:rsidP="00542DCF">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7" w:type="dxa"/>
            <w:tcBorders>
              <w:bottom w:val="nil"/>
            </w:tcBorders>
            <w:shd w:val="clear" w:color="auto" w:fill="auto"/>
          </w:tcPr>
          <w:p w14:paraId="16DA63E8" w14:textId="57ED814D" w:rsidR="005A33B7" w:rsidRPr="0041265C" w:rsidRDefault="005A33B7" w:rsidP="00542DCF">
            <w:pPr>
              <w:rPr>
                <w:rFonts w:ascii="Calibri" w:eastAsia="Times New Roman" w:hAnsi="Calibri" w:cs="Times New Roman"/>
                <w:color w:val="000000"/>
                <w:lang w:eastAsia="en-NZ"/>
              </w:rPr>
            </w:pPr>
            <w:r w:rsidRPr="0041265C">
              <w:rPr>
                <w:rFonts w:ascii="Calibri" w:eastAsia="Times New Roman" w:hAnsi="Calibri" w:cs="Times New Roman"/>
                <w:color w:val="000000"/>
                <w:lang w:eastAsia="en-NZ"/>
              </w:rPr>
              <w:t>Yes</w:t>
            </w:r>
          </w:p>
        </w:tc>
      </w:tr>
      <w:tr w:rsidR="005A33B7" w:rsidRPr="00A21800" w14:paraId="11A88843" w14:textId="53377413" w:rsidTr="007801A8">
        <w:trPr>
          <w:trHeight w:val="288"/>
        </w:trPr>
        <w:tc>
          <w:tcPr>
            <w:tcW w:w="1943" w:type="dxa"/>
            <w:tcBorders>
              <w:top w:val="nil"/>
              <w:bottom w:val="single" w:sz="4" w:space="0" w:color="auto"/>
            </w:tcBorders>
            <w:noWrap/>
            <w:hideMark/>
          </w:tcPr>
          <w:p w14:paraId="77028F80" w14:textId="77777777" w:rsidR="005A33B7" w:rsidRPr="00B376A1" w:rsidRDefault="005A33B7" w:rsidP="00542DCF">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Year dummies</w:t>
            </w:r>
          </w:p>
        </w:tc>
        <w:tc>
          <w:tcPr>
            <w:tcW w:w="1487" w:type="dxa"/>
            <w:tcBorders>
              <w:top w:val="nil"/>
              <w:bottom w:val="single" w:sz="4" w:space="0" w:color="auto"/>
            </w:tcBorders>
            <w:noWrap/>
            <w:hideMark/>
          </w:tcPr>
          <w:p w14:paraId="3E25B779" w14:textId="3E05D1CF" w:rsidR="005A33B7" w:rsidRPr="00B376A1" w:rsidRDefault="005A33B7" w:rsidP="00542DCF">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Yes</w:t>
            </w:r>
          </w:p>
        </w:tc>
        <w:tc>
          <w:tcPr>
            <w:tcW w:w="1487" w:type="dxa"/>
            <w:tcBorders>
              <w:top w:val="nil"/>
              <w:bottom w:val="single" w:sz="4" w:space="0" w:color="auto"/>
            </w:tcBorders>
          </w:tcPr>
          <w:p w14:paraId="38182B8E" w14:textId="0ED76232" w:rsidR="005A33B7" w:rsidRPr="00EC49D0" w:rsidRDefault="005A33B7" w:rsidP="00542DCF">
            <w:pPr>
              <w:rPr>
                <w:rFonts w:ascii="Calibri" w:eastAsia="Times New Roman" w:hAnsi="Calibri" w:cs="Times New Roman"/>
                <w:color w:val="000000"/>
                <w:lang w:eastAsia="en-NZ"/>
              </w:rPr>
            </w:pPr>
            <w:r>
              <w:rPr>
                <w:rFonts w:ascii="Calibri" w:eastAsia="Times New Roman" w:hAnsi="Calibri" w:cs="Times New Roman"/>
                <w:color w:val="000000"/>
                <w:lang w:eastAsia="en-NZ"/>
              </w:rPr>
              <w:t>Yes</w:t>
            </w:r>
          </w:p>
        </w:tc>
        <w:tc>
          <w:tcPr>
            <w:tcW w:w="1487" w:type="dxa"/>
            <w:tcBorders>
              <w:top w:val="nil"/>
              <w:bottom w:val="single" w:sz="4" w:space="0" w:color="auto"/>
            </w:tcBorders>
          </w:tcPr>
          <w:p w14:paraId="116CF0F8" w14:textId="10D0BECC" w:rsidR="005A33B7" w:rsidRPr="007801A8" w:rsidRDefault="005A33B7" w:rsidP="00542DCF">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7" w:type="dxa"/>
            <w:tcBorders>
              <w:top w:val="nil"/>
              <w:bottom w:val="single" w:sz="4" w:space="0" w:color="auto"/>
            </w:tcBorders>
            <w:shd w:val="clear" w:color="auto" w:fill="auto"/>
          </w:tcPr>
          <w:p w14:paraId="1B651B6F" w14:textId="4D865185" w:rsidR="005A33B7" w:rsidRPr="0041265C" w:rsidRDefault="005A33B7" w:rsidP="00542DCF">
            <w:pPr>
              <w:rPr>
                <w:rFonts w:ascii="Calibri" w:eastAsia="Times New Roman" w:hAnsi="Calibri" w:cs="Times New Roman"/>
                <w:color w:val="000000"/>
                <w:lang w:eastAsia="en-NZ"/>
              </w:rPr>
            </w:pPr>
            <w:r w:rsidRPr="0041265C">
              <w:rPr>
                <w:rFonts w:ascii="Calibri" w:eastAsia="Times New Roman" w:hAnsi="Calibri" w:cs="Times New Roman"/>
                <w:color w:val="000000"/>
                <w:lang w:eastAsia="en-NZ"/>
              </w:rPr>
              <w:t>Yes</w:t>
            </w:r>
          </w:p>
        </w:tc>
      </w:tr>
      <w:tr w:rsidR="005A33B7" w:rsidRPr="00A21800" w14:paraId="1F5337E5" w14:textId="10DA33CA" w:rsidTr="007801A8">
        <w:trPr>
          <w:trHeight w:val="300"/>
        </w:trPr>
        <w:tc>
          <w:tcPr>
            <w:tcW w:w="1943" w:type="dxa"/>
            <w:tcBorders>
              <w:top w:val="single" w:sz="4" w:space="0" w:color="auto"/>
            </w:tcBorders>
            <w:hideMark/>
          </w:tcPr>
          <w:p w14:paraId="09801D34" w14:textId="77777777"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 xml:space="preserve">Adj </w:t>
            </w:r>
            <w:r w:rsidRPr="00B376A1">
              <w:rPr>
                <w:rFonts w:ascii="Calibri" w:eastAsia="Times New Roman" w:hAnsi="Calibri" w:cs="Times New Roman"/>
                <w:i/>
                <w:color w:val="000000"/>
                <w:lang w:eastAsia="en-NZ"/>
              </w:rPr>
              <w:t>R</w:t>
            </w:r>
            <w:r w:rsidRPr="00B376A1">
              <w:rPr>
                <w:rFonts w:ascii="Calibri" w:eastAsia="Times New Roman" w:hAnsi="Calibri" w:cs="Times New Roman"/>
                <w:i/>
                <w:color w:val="000000"/>
                <w:vertAlign w:val="superscript"/>
                <w:lang w:eastAsia="en-NZ"/>
              </w:rPr>
              <w:t>2</w:t>
            </w:r>
          </w:p>
        </w:tc>
        <w:tc>
          <w:tcPr>
            <w:tcW w:w="1487" w:type="dxa"/>
            <w:tcBorders>
              <w:top w:val="single" w:sz="4" w:space="0" w:color="auto"/>
            </w:tcBorders>
            <w:noWrap/>
            <w:hideMark/>
          </w:tcPr>
          <w:p w14:paraId="29AAF98C" w14:textId="74242B3C"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w:t>
            </w:r>
            <w:r>
              <w:rPr>
                <w:rFonts w:ascii="Calibri" w:eastAsia="Times New Roman" w:hAnsi="Calibri" w:cs="Times New Roman"/>
                <w:color w:val="000000"/>
                <w:lang w:eastAsia="en-NZ"/>
              </w:rPr>
              <w:t>63</w:t>
            </w:r>
          </w:p>
        </w:tc>
        <w:tc>
          <w:tcPr>
            <w:tcW w:w="1487" w:type="dxa"/>
            <w:tcBorders>
              <w:top w:val="single" w:sz="4" w:space="0" w:color="auto"/>
            </w:tcBorders>
          </w:tcPr>
          <w:p w14:paraId="7FB1A0CD" w14:textId="2D373F0E" w:rsidR="005A33B7" w:rsidRPr="00EC49D0"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0.078</w:t>
            </w:r>
          </w:p>
        </w:tc>
        <w:tc>
          <w:tcPr>
            <w:tcW w:w="1487" w:type="dxa"/>
            <w:tcBorders>
              <w:top w:val="single" w:sz="4" w:space="0" w:color="auto"/>
            </w:tcBorders>
          </w:tcPr>
          <w:p w14:paraId="1E018448" w14:textId="2EF9D9B7"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w:t>
            </w:r>
            <w:r>
              <w:rPr>
                <w:rFonts w:ascii="Calibri" w:eastAsia="Times New Roman" w:hAnsi="Calibri" w:cs="Times New Roman"/>
                <w:color w:val="000000"/>
                <w:lang w:eastAsia="en-NZ"/>
              </w:rPr>
              <w:t>437</w:t>
            </w:r>
          </w:p>
        </w:tc>
        <w:tc>
          <w:tcPr>
            <w:tcW w:w="1487" w:type="dxa"/>
            <w:tcBorders>
              <w:top w:val="single" w:sz="4" w:space="0" w:color="auto"/>
            </w:tcBorders>
          </w:tcPr>
          <w:p w14:paraId="3B3C84F7" w14:textId="376ED68A" w:rsidR="005A33B7" w:rsidRPr="0041265C" w:rsidRDefault="005A33B7">
            <w:pPr>
              <w:rPr>
                <w:rFonts w:ascii="Calibri" w:eastAsia="Times New Roman" w:hAnsi="Calibri" w:cs="Times New Roman"/>
                <w:color w:val="000000"/>
                <w:lang w:eastAsia="en-NZ"/>
              </w:rPr>
            </w:pPr>
            <w:r w:rsidRPr="0041265C">
              <w:rPr>
                <w:rFonts w:ascii="Calibri" w:eastAsia="Times New Roman" w:hAnsi="Calibri" w:cs="Times New Roman"/>
                <w:color w:val="000000"/>
                <w:lang w:eastAsia="en-NZ"/>
              </w:rPr>
              <w:t>0.3</w:t>
            </w:r>
            <w:r w:rsidRPr="007801A8">
              <w:rPr>
                <w:rFonts w:ascii="Calibri" w:eastAsia="Times New Roman" w:hAnsi="Calibri" w:cs="Times New Roman"/>
                <w:color w:val="000000"/>
                <w:lang w:eastAsia="en-NZ"/>
              </w:rPr>
              <w:t>63</w:t>
            </w:r>
          </w:p>
        </w:tc>
      </w:tr>
      <w:tr w:rsidR="005A33B7" w:rsidRPr="00A21800" w14:paraId="2098A2EB" w14:textId="1BC5C429" w:rsidTr="007801A8">
        <w:trPr>
          <w:trHeight w:val="288"/>
        </w:trPr>
        <w:tc>
          <w:tcPr>
            <w:tcW w:w="1943" w:type="dxa"/>
            <w:hideMark/>
          </w:tcPr>
          <w:p w14:paraId="56941864" w14:textId="77777777" w:rsidR="005A33B7" w:rsidRPr="00B376A1" w:rsidRDefault="005A33B7" w:rsidP="00750D7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F</w:t>
            </w:r>
          </w:p>
        </w:tc>
        <w:tc>
          <w:tcPr>
            <w:tcW w:w="1487" w:type="dxa"/>
            <w:noWrap/>
            <w:hideMark/>
          </w:tcPr>
          <w:p w14:paraId="5223090E" w14:textId="422200DF"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1.</w:t>
            </w:r>
            <w:r>
              <w:rPr>
                <w:rFonts w:ascii="Calibri" w:eastAsia="Times New Roman" w:hAnsi="Calibri" w:cs="Times New Roman"/>
                <w:color w:val="000000"/>
                <w:lang w:eastAsia="en-NZ"/>
              </w:rPr>
              <w:t>73</w:t>
            </w:r>
          </w:p>
        </w:tc>
        <w:tc>
          <w:tcPr>
            <w:tcW w:w="1487" w:type="dxa"/>
          </w:tcPr>
          <w:p w14:paraId="3ABBCFF1" w14:textId="586397D0" w:rsidR="005A33B7" w:rsidRPr="00EC49D0"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1.87</w:t>
            </w:r>
          </w:p>
        </w:tc>
        <w:tc>
          <w:tcPr>
            <w:tcW w:w="1487" w:type="dxa"/>
          </w:tcPr>
          <w:p w14:paraId="0D0316DD" w14:textId="168B3CA1" w:rsidR="005A33B7" w:rsidRPr="007801A8"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5.58</w:t>
            </w:r>
          </w:p>
        </w:tc>
        <w:tc>
          <w:tcPr>
            <w:tcW w:w="1487" w:type="dxa"/>
          </w:tcPr>
          <w:p w14:paraId="4A90D814" w14:textId="7D04DE4D" w:rsidR="005A33B7" w:rsidRPr="0041265C" w:rsidRDefault="005A33B7" w:rsidP="00750D7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3.65</w:t>
            </w:r>
          </w:p>
        </w:tc>
      </w:tr>
      <w:tr w:rsidR="005A33B7" w:rsidRPr="00A21800" w14:paraId="110BB089" w14:textId="31BE4F28" w:rsidTr="007801A8">
        <w:trPr>
          <w:trHeight w:val="288"/>
        </w:trPr>
        <w:tc>
          <w:tcPr>
            <w:tcW w:w="1943" w:type="dxa"/>
            <w:hideMark/>
          </w:tcPr>
          <w:p w14:paraId="1AAED40F" w14:textId="77777777" w:rsidR="005A33B7" w:rsidRPr="00B376A1" w:rsidRDefault="005A33B7" w:rsidP="00750D7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p&gt;F</w:t>
            </w:r>
          </w:p>
        </w:tc>
        <w:tc>
          <w:tcPr>
            <w:tcW w:w="1487" w:type="dxa"/>
            <w:noWrap/>
            <w:hideMark/>
          </w:tcPr>
          <w:p w14:paraId="5D1E480E" w14:textId="76A1A162"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0.0</w:t>
            </w:r>
            <w:r>
              <w:rPr>
                <w:rFonts w:ascii="Calibri" w:eastAsia="Times New Roman" w:hAnsi="Calibri" w:cs="Times New Roman"/>
                <w:color w:val="000000"/>
                <w:lang w:eastAsia="en-NZ"/>
              </w:rPr>
              <w:t>26</w:t>
            </w:r>
          </w:p>
        </w:tc>
        <w:tc>
          <w:tcPr>
            <w:tcW w:w="1487" w:type="dxa"/>
          </w:tcPr>
          <w:p w14:paraId="7822A120" w14:textId="56DCF060" w:rsidR="005A33B7" w:rsidRPr="00EC49D0"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0.012</w:t>
            </w:r>
          </w:p>
        </w:tc>
        <w:tc>
          <w:tcPr>
            <w:tcW w:w="1487" w:type="dxa"/>
          </w:tcPr>
          <w:p w14:paraId="6CEF8DD7" w14:textId="5C3350AB"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0.000</w:t>
            </w:r>
          </w:p>
        </w:tc>
        <w:tc>
          <w:tcPr>
            <w:tcW w:w="1487" w:type="dxa"/>
          </w:tcPr>
          <w:p w14:paraId="3D2168EB" w14:textId="42857AA8" w:rsidR="005A33B7" w:rsidRPr="0041265C" w:rsidRDefault="005A33B7" w:rsidP="00750D7C">
            <w:pPr>
              <w:rPr>
                <w:rFonts w:ascii="Calibri" w:eastAsia="Times New Roman" w:hAnsi="Calibri" w:cs="Times New Roman"/>
                <w:color w:val="000000"/>
                <w:lang w:eastAsia="en-NZ"/>
              </w:rPr>
            </w:pPr>
            <w:r w:rsidRPr="0041265C">
              <w:rPr>
                <w:rFonts w:ascii="Calibri" w:eastAsia="Times New Roman" w:hAnsi="Calibri" w:cs="Times New Roman"/>
                <w:color w:val="000000"/>
                <w:lang w:eastAsia="en-NZ"/>
              </w:rPr>
              <w:t>0.000</w:t>
            </w:r>
          </w:p>
        </w:tc>
      </w:tr>
      <w:tr w:rsidR="005A33B7" w:rsidRPr="00A21800" w14:paraId="28D316C7" w14:textId="45C2C3EE" w:rsidTr="007801A8">
        <w:trPr>
          <w:trHeight w:val="288"/>
        </w:trPr>
        <w:tc>
          <w:tcPr>
            <w:tcW w:w="1943" w:type="dxa"/>
            <w:hideMark/>
          </w:tcPr>
          <w:p w14:paraId="08803D62" w14:textId="77777777" w:rsidR="005A33B7" w:rsidRPr="00B376A1" w:rsidRDefault="005A33B7" w:rsidP="00750D7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Obs</w:t>
            </w:r>
          </w:p>
        </w:tc>
        <w:tc>
          <w:tcPr>
            <w:tcW w:w="1487" w:type="dxa"/>
            <w:noWrap/>
            <w:hideMark/>
          </w:tcPr>
          <w:p w14:paraId="5FF51DE1" w14:textId="31B935F2" w:rsidR="005A33B7" w:rsidRPr="00B376A1" w:rsidRDefault="005A33B7">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2</w:t>
            </w:r>
            <w:r>
              <w:rPr>
                <w:rFonts w:ascii="Calibri" w:eastAsia="Times New Roman" w:hAnsi="Calibri" w:cs="Times New Roman"/>
                <w:color w:val="000000"/>
                <w:lang w:eastAsia="en-NZ"/>
              </w:rPr>
              <w:t>39</w:t>
            </w:r>
          </w:p>
        </w:tc>
        <w:tc>
          <w:tcPr>
            <w:tcW w:w="1487" w:type="dxa"/>
          </w:tcPr>
          <w:p w14:paraId="15B936E0" w14:textId="49557FFE" w:rsidR="005A33B7" w:rsidRPr="00EC49D0" w:rsidRDefault="005A33B7">
            <w:pPr>
              <w:rPr>
                <w:rFonts w:ascii="Calibri" w:eastAsia="Times New Roman" w:hAnsi="Calibri" w:cs="Times New Roman"/>
                <w:color w:val="000000"/>
                <w:lang w:eastAsia="en-NZ"/>
              </w:rPr>
            </w:pPr>
            <w:r>
              <w:rPr>
                <w:rFonts w:ascii="Calibri" w:eastAsia="Times New Roman" w:hAnsi="Calibri" w:cs="Times New Roman"/>
                <w:color w:val="000000"/>
                <w:lang w:eastAsia="en-NZ"/>
              </w:rPr>
              <w:t>239</w:t>
            </w:r>
          </w:p>
        </w:tc>
        <w:tc>
          <w:tcPr>
            <w:tcW w:w="1487" w:type="dxa"/>
          </w:tcPr>
          <w:p w14:paraId="5BE36304" w14:textId="29575CCF" w:rsidR="005A33B7" w:rsidRPr="007801A8" w:rsidRDefault="005A33B7">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13</w:t>
            </w:r>
            <w:r>
              <w:rPr>
                <w:rFonts w:ascii="Calibri" w:eastAsia="Times New Roman" w:hAnsi="Calibri" w:cs="Times New Roman"/>
                <w:color w:val="000000"/>
                <w:lang w:eastAsia="en-NZ"/>
              </w:rPr>
              <w:t>1</w:t>
            </w:r>
          </w:p>
        </w:tc>
        <w:tc>
          <w:tcPr>
            <w:tcW w:w="1487" w:type="dxa"/>
          </w:tcPr>
          <w:p w14:paraId="3D5A7D53" w14:textId="76EDE6CD" w:rsidR="005A33B7" w:rsidRPr="0041265C" w:rsidRDefault="005A33B7">
            <w:pPr>
              <w:rPr>
                <w:rFonts w:ascii="Calibri" w:eastAsia="Times New Roman" w:hAnsi="Calibri" w:cs="Times New Roman"/>
                <w:color w:val="000000"/>
                <w:lang w:eastAsia="en-NZ"/>
              </w:rPr>
            </w:pPr>
            <w:r w:rsidRPr="0041265C">
              <w:rPr>
                <w:rFonts w:ascii="Calibri" w:eastAsia="Times New Roman" w:hAnsi="Calibri" w:cs="Times New Roman"/>
                <w:color w:val="000000"/>
                <w:lang w:eastAsia="en-NZ"/>
              </w:rPr>
              <w:t>1</w:t>
            </w:r>
            <w:r w:rsidRPr="007801A8">
              <w:rPr>
                <w:rFonts w:ascii="Calibri" w:eastAsia="Times New Roman" w:hAnsi="Calibri" w:cs="Times New Roman"/>
                <w:color w:val="000000"/>
                <w:lang w:eastAsia="en-NZ"/>
              </w:rPr>
              <w:t>08</w:t>
            </w:r>
          </w:p>
        </w:tc>
      </w:tr>
    </w:tbl>
    <w:p w14:paraId="37E116D8" w14:textId="77777777" w:rsidR="006716DF" w:rsidRDefault="006716DF" w:rsidP="00212E7B">
      <w:pPr>
        <w:jc w:val="both"/>
      </w:pPr>
    </w:p>
    <w:p w14:paraId="1CDB5A1F" w14:textId="4B2AC51D" w:rsidR="000E6AFD" w:rsidRDefault="00477E64" w:rsidP="00212E7B">
      <w:pPr>
        <w:jc w:val="both"/>
      </w:pPr>
      <w:r>
        <w:t xml:space="preserve">This table reports the results of </w:t>
      </w:r>
      <w:r w:rsidRPr="00C774E8">
        <w:t xml:space="preserve">OLS cross-sectional regressions </w:t>
      </w:r>
      <w:r>
        <w:t xml:space="preserve">of the cumulative abnormal returns for each project announcement. The dependent variable is the 3-day </w:t>
      </w:r>
      <w:r w:rsidR="003B13F2" w:rsidRPr="003B13F2">
        <w:rPr>
          <w:i/>
        </w:rPr>
        <w:t>CAR</w:t>
      </w:r>
      <w:r w:rsidRPr="00492C81">
        <w:t xml:space="preserve"> </w:t>
      </w:r>
      <w:r w:rsidR="006716DF">
        <w:t>[</w:t>
      </w:r>
      <w:r w:rsidRPr="00492C81">
        <w:t>0,+2</w:t>
      </w:r>
      <w:r w:rsidR="006716DF">
        <w:t>]</w:t>
      </w:r>
      <w:r w:rsidR="00492C81">
        <w:t xml:space="preserve"> estimated using market adjusted returns. </w:t>
      </w:r>
      <w:r w:rsidR="000E6AFD" w:rsidRPr="00C774E8">
        <w:t xml:space="preserve">See Appendix </w:t>
      </w:r>
      <w:r w:rsidR="003C28BE">
        <w:t>2</w:t>
      </w:r>
      <w:r w:rsidR="000E6AFD" w:rsidRPr="00C774E8">
        <w:t xml:space="preserve"> for variable definitions. Coefficient estimates are </w:t>
      </w:r>
      <w:r w:rsidR="00492C81">
        <w:t>reported</w:t>
      </w:r>
      <w:r w:rsidR="000E6AFD" w:rsidRPr="00C774E8">
        <w:t xml:space="preserve"> with</w:t>
      </w:r>
      <w:r w:rsidR="00906CC1">
        <w:t xml:space="preserve"> heteroscedasticity-robust</w:t>
      </w:r>
      <w:r w:rsidR="000E6AFD" w:rsidRPr="00C774E8">
        <w:t xml:space="preserve"> </w:t>
      </w:r>
      <w:r w:rsidR="00546729" w:rsidRPr="00546729">
        <w:rPr>
          <w:i/>
        </w:rPr>
        <w:t>t</w:t>
      </w:r>
      <w:r w:rsidR="000E6AFD" w:rsidRPr="00C774E8">
        <w:t>-statistics in parentheses below.</w:t>
      </w:r>
      <w:r w:rsidR="00C774E8" w:rsidRPr="00C774E8">
        <w:t xml:space="preserve"> </w:t>
      </w:r>
      <w:r w:rsidR="000E6AFD" w:rsidRPr="00C774E8">
        <w:t xml:space="preserve">***, ** and * denote significance at the 1%, 5% and 10% levels, respectively. </w:t>
      </w:r>
    </w:p>
    <w:p w14:paraId="78A175F2" w14:textId="0A1AFAEA" w:rsidR="001D218E" w:rsidRDefault="001D218E" w:rsidP="00212E7B">
      <w:pPr>
        <w:jc w:val="both"/>
      </w:pPr>
    </w:p>
    <w:p w14:paraId="717C4FAB" w14:textId="4E6DA6AC" w:rsidR="0075425B" w:rsidRDefault="0075425B">
      <w:pPr>
        <w:rPr>
          <w:b/>
        </w:rPr>
      </w:pPr>
      <w:r>
        <w:rPr>
          <w:b/>
        </w:rPr>
        <w:br w:type="page"/>
      </w:r>
    </w:p>
    <w:p w14:paraId="30D8166E" w14:textId="77777777" w:rsidR="00027788" w:rsidRDefault="00027788">
      <w:pPr>
        <w:rPr>
          <w:b/>
        </w:rPr>
      </w:pPr>
    </w:p>
    <w:p w14:paraId="06CFE923" w14:textId="12DCF3C1" w:rsidR="00664BD9" w:rsidRDefault="00FF378F" w:rsidP="00664BD9">
      <w:pPr>
        <w:rPr>
          <w:b/>
        </w:rPr>
      </w:pPr>
      <w:r>
        <w:rPr>
          <w:b/>
        </w:rPr>
        <w:t xml:space="preserve">Table </w:t>
      </w:r>
      <w:r w:rsidR="00905F8C">
        <w:rPr>
          <w:b/>
        </w:rPr>
        <w:t>5</w:t>
      </w:r>
      <w:r w:rsidR="00664BD9">
        <w:rPr>
          <w:b/>
        </w:rPr>
        <w:t xml:space="preserve">  The impact of </w:t>
      </w:r>
      <w:r w:rsidR="008403A8">
        <w:rPr>
          <w:b/>
        </w:rPr>
        <w:t>transparency</w:t>
      </w:r>
      <w:r w:rsidR="00664BD9">
        <w:rPr>
          <w:b/>
        </w:rPr>
        <w:t xml:space="preserve"> on </w:t>
      </w:r>
      <w:r w:rsidR="00664BD9" w:rsidRPr="00654228">
        <w:rPr>
          <w:b/>
          <w:i/>
        </w:rPr>
        <w:t>CAR</w:t>
      </w:r>
      <w:r w:rsidR="00027793">
        <w:rPr>
          <w:b/>
          <w:i/>
        </w:rPr>
        <w:t xml:space="preserve"> </w:t>
      </w:r>
      <w:r w:rsidR="00027793" w:rsidRPr="007801A8">
        <w:rPr>
          <w:b/>
        </w:rPr>
        <w:t>at different levels of</w:t>
      </w:r>
      <w:r w:rsidR="00027793">
        <w:rPr>
          <w:b/>
        </w:rPr>
        <w:t xml:space="preserve"> earnings volatility</w:t>
      </w:r>
      <w:r w:rsidR="00027793" w:rsidRPr="007801A8">
        <w:rPr>
          <w:b/>
        </w:rPr>
        <w:t xml:space="preserve"> </w:t>
      </w:r>
    </w:p>
    <w:p w14:paraId="712F8581" w14:textId="77777777" w:rsidR="00664BD9" w:rsidRDefault="00664BD9" w:rsidP="00664BD9">
      <w:pPr>
        <w:rPr>
          <w:b/>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33"/>
        <w:gridCol w:w="1716"/>
        <w:gridCol w:w="1717"/>
        <w:gridCol w:w="1717"/>
      </w:tblGrid>
      <w:tr w:rsidR="00664BD9" w14:paraId="04E9BD8E" w14:textId="77777777" w:rsidTr="00BC1909">
        <w:tc>
          <w:tcPr>
            <w:tcW w:w="1933" w:type="dxa"/>
          </w:tcPr>
          <w:p w14:paraId="4721A2FE" w14:textId="77777777" w:rsidR="00664BD9" w:rsidRPr="008E7762" w:rsidRDefault="00664BD9" w:rsidP="00664BD9"/>
        </w:tc>
        <w:tc>
          <w:tcPr>
            <w:tcW w:w="3433" w:type="dxa"/>
            <w:gridSpan w:val="2"/>
          </w:tcPr>
          <w:p w14:paraId="7076D14C" w14:textId="417FEF22" w:rsidR="00664BD9" w:rsidRPr="008E7762" w:rsidRDefault="00664BD9">
            <w:pPr>
              <w:jc w:val="center"/>
            </w:pPr>
            <w:r w:rsidRPr="008E7762">
              <w:t xml:space="preserve">Investment </w:t>
            </w:r>
            <w:r w:rsidR="002A64B7">
              <w:t>transparency</w:t>
            </w:r>
            <w:r w:rsidRPr="008E7762">
              <w:t xml:space="preserve"> score (</w:t>
            </w:r>
            <w:r w:rsidRPr="008E7762">
              <w:rPr>
                <w:i/>
              </w:rPr>
              <w:t>DQ</w:t>
            </w:r>
            <w:r w:rsidRPr="008E7762">
              <w:t>)</w:t>
            </w:r>
          </w:p>
        </w:tc>
        <w:tc>
          <w:tcPr>
            <w:tcW w:w="1717" w:type="dxa"/>
          </w:tcPr>
          <w:p w14:paraId="5A0C33DC" w14:textId="77777777" w:rsidR="008E21CD" w:rsidRDefault="008E21CD" w:rsidP="00BC1909"/>
          <w:p w14:paraId="19484773" w14:textId="34AFDF09" w:rsidR="00664BD9" w:rsidRDefault="00664BD9" w:rsidP="00BC1909">
            <w:r>
              <w:t xml:space="preserve">Change in </w:t>
            </w:r>
            <w:r w:rsidRPr="006A77ED">
              <w:rPr>
                <w:i/>
              </w:rPr>
              <w:t>CAR</w:t>
            </w:r>
          </w:p>
        </w:tc>
      </w:tr>
      <w:tr w:rsidR="00664BD9" w14:paraId="19469F11" w14:textId="77777777" w:rsidTr="00BC1909">
        <w:tc>
          <w:tcPr>
            <w:tcW w:w="1933" w:type="dxa"/>
          </w:tcPr>
          <w:p w14:paraId="16199B99" w14:textId="6405B1C8" w:rsidR="00664BD9" w:rsidRPr="007801A8" w:rsidRDefault="00027793" w:rsidP="00BC1909">
            <w:pPr>
              <w:spacing w:before="120"/>
              <w:rPr>
                <w:i/>
              </w:rPr>
            </w:pPr>
            <w:r w:rsidRPr="007801A8">
              <w:rPr>
                <w:i/>
              </w:rPr>
              <w:t>SDEarn</w:t>
            </w:r>
          </w:p>
        </w:tc>
        <w:tc>
          <w:tcPr>
            <w:tcW w:w="1716" w:type="dxa"/>
          </w:tcPr>
          <w:p w14:paraId="6F72FA18" w14:textId="0915F78B" w:rsidR="00664BD9" w:rsidRPr="008E7762" w:rsidRDefault="00043286" w:rsidP="00BC1909">
            <w:pPr>
              <w:spacing w:before="120"/>
            </w:pPr>
            <w:r w:rsidRPr="006A77ED">
              <w:rPr>
                <w:i/>
              </w:rPr>
              <w:t xml:space="preserve">DQ </w:t>
            </w:r>
            <w:r>
              <w:t xml:space="preserve">= </w:t>
            </w:r>
            <w:r w:rsidR="00664BD9" w:rsidRPr="008E7762">
              <w:t>0</w:t>
            </w:r>
          </w:p>
        </w:tc>
        <w:tc>
          <w:tcPr>
            <w:tcW w:w="1717" w:type="dxa"/>
          </w:tcPr>
          <w:p w14:paraId="28F16FCB" w14:textId="6F2AF64C" w:rsidR="00664BD9" w:rsidRPr="008E7762" w:rsidRDefault="00043286" w:rsidP="00BC1909">
            <w:pPr>
              <w:spacing w:before="120"/>
            </w:pPr>
            <w:r w:rsidRPr="006A77ED">
              <w:rPr>
                <w:i/>
              </w:rPr>
              <w:t>DQ</w:t>
            </w:r>
            <w:r>
              <w:t xml:space="preserve"> = 1</w:t>
            </w:r>
          </w:p>
        </w:tc>
        <w:tc>
          <w:tcPr>
            <w:tcW w:w="1717" w:type="dxa"/>
          </w:tcPr>
          <w:p w14:paraId="515A8900" w14:textId="77777777" w:rsidR="00664BD9" w:rsidRPr="008E7762" w:rsidRDefault="00664BD9" w:rsidP="00BC1909">
            <w:pPr>
              <w:spacing w:before="120"/>
            </w:pPr>
            <w:r w:rsidRPr="008E7762">
              <w:t>(1) – (0)</w:t>
            </w:r>
          </w:p>
        </w:tc>
      </w:tr>
      <w:tr w:rsidR="00664BD9" w14:paraId="06B7AEC5" w14:textId="77777777" w:rsidTr="00BC1909">
        <w:tc>
          <w:tcPr>
            <w:tcW w:w="1933" w:type="dxa"/>
            <w:tcBorders>
              <w:bottom w:val="single" w:sz="4" w:space="0" w:color="auto"/>
            </w:tcBorders>
          </w:tcPr>
          <w:p w14:paraId="45510F64" w14:textId="77777777" w:rsidR="00664BD9" w:rsidRPr="008E7762" w:rsidRDefault="00664BD9" w:rsidP="00BC1909">
            <w:pPr>
              <w:spacing w:before="120"/>
            </w:pPr>
            <w:r w:rsidRPr="008E7762">
              <w:t xml:space="preserve">Panel A: </w:t>
            </w:r>
            <w:r w:rsidRPr="006A77ED">
              <w:rPr>
                <w:i/>
              </w:rPr>
              <w:t>CAR</w:t>
            </w:r>
            <w:r w:rsidRPr="008E7762">
              <w:t>&gt;0</w:t>
            </w:r>
          </w:p>
        </w:tc>
        <w:tc>
          <w:tcPr>
            <w:tcW w:w="1716" w:type="dxa"/>
            <w:tcBorders>
              <w:bottom w:val="single" w:sz="4" w:space="0" w:color="auto"/>
            </w:tcBorders>
          </w:tcPr>
          <w:p w14:paraId="51C83C5B" w14:textId="77777777" w:rsidR="00664BD9" w:rsidRPr="008E7762" w:rsidRDefault="00664BD9" w:rsidP="00BC1909">
            <w:pPr>
              <w:spacing w:before="120"/>
            </w:pPr>
          </w:p>
        </w:tc>
        <w:tc>
          <w:tcPr>
            <w:tcW w:w="1717" w:type="dxa"/>
            <w:tcBorders>
              <w:bottom w:val="single" w:sz="4" w:space="0" w:color="auto"/>
            </w:tcBorders>
          </w:tcPr>
          <w:p w14:paraId="09C03E69" w14:textId="77777777" w:rsidR="00664BD9" w:rsidRPr="008E7762" w:rsidRDefault="00664BD9" w:rsidP="00664BD9"/>
        </w:tc>
        <w:tc>
          <w:tcPr>
            <w:tcW w:w="1717" w:type="dxa"/>
            <w:tcBorders>
              <w:bottom w:val="single" w:sz="4" w:space="0" w:color="auto"/>
            </w:tcBorders>
          </w:tcPr>
          <w:p w14:paraId="2F270355" w14:textId="77777777" w:rsidR="00664BD9" w:rsidRDefault="00664BD9" w:rsidP="00664BD9">
            <w:pPr>
              <w:rPr>
                <w:b/>
              </w:rPr>
            </w:pPr>
          </w:p>
        </w:tc>
      </w:tr>
      <w:tr w:rsidR="00664BD9" w14:paraId="39A850DB" w14:textId="77777777" w:rsidTr="00BC1909">
        <w:tc>
          <w:tcPr>
            <w:tcW w:w="1933" w:type="dxa"/>
            <w:tcBorders>
              <w:bottom w:val="nil"/>
            </w:tcBorders>
          </w:tcPr>
          <w:p w14:paraId="4FB87BB4" w14:textId="77777777" w:rsidR="00664BD9" w:rsidRPr="008E7762" w:rsidRDefault="00664BD9" w:rsidP="00664BD9">
            <w:r w:rsidRPr="008E7762">
              <w:t>Perc 25</w:t>
            </w:r>
          </w:p>
        </w:tc>
        <w:tc>
          <w:tcPr>
            <w:tcW w:w="1716" w:type="dxa"/>
            <w:tcBorders>
              <w:bottom w:val="nil"/>
            </w:tcBorders>
            <w:vAlign w:val="bottom"/>
          </w:tcPr>
          <w:p w14:paraId="736E94CF" w14:textId="77777777" w:rsidR="00664BD9" w:rsidRPr="008E7762" w:rsidRDefault="00664BD9" w:rsidP="00664BD9">
            <w:r w:rsidRPr="008E7762">
              <w:rPr>
                <w:rFonts w:ascii="Calibri" w:hAnsi="Calibri" w:cs="Calibri"/>
                <w:color w:val="000000"/>
              </w:rPr>
              <w:t>0.010</w:t>
            </w:r>
          </w:p>
        </w:tc>
        <w:tc>
          <w:tcPr>
            <w:tcW w:w="1717" w:type="dxa"/>
            <w:tcBorders>
              <w:bottom w:val="nil"/>
            </w:tcBorders>
            <w:vAlign w:val="bottom"/>
          </w:tcPr>
          <w:p w14:paraId="744FC308" w14:textId="77777777" w:rsidR="00664BD9" w:rsidRPr="008E7762" w:rsidRDefault="00664BD9" w:rsidP="00664BD9">
            <w:r w:rsidRPr="008E7762">
              <w:rPr>
                <w:rFonts w:ascii="Calibri" w:hAnsi="Calibri" w:cs="Calibri"/>
                <w:color w:val="000000"/>
              </w:rPr>
              <w:t>0.042</w:t>
            </w:r>
          </w:p>
        </w:tc>
        <w:tc>
          <w:tcPr>
            <w:tcW w:w="1717" w:type="dxa"/>
            <w:tcBorders>
              <w:bottom w:val="nil"/>
            </w:tcBorders>
            <w:vAlign w:val="bottom"/>
          </w:tcPr>
          <w:p w14:paraId="32F9F13C" w14:textId="77777777" w:rsidR="00664BD9" w:rsidRDefault="00664BD9" w:rsidP="00664BD9">
            <w:pPr>
              <w:rPr>
                <w:rFonts w:ascii="Calibri" w:hAnsi="Calibri" w:cs="Calibri"/>
                <w:color w:val="000000"/>
              </w:rPr>
            </w:pPr>
            <w:r>
              <w:rPr>
                <w:rFonts w:ascii="Calibri" w:hAnsi="Calibri" w:cs="Calibri"/>
                <w:color w:val="000000"/>
              </w:rPr>
              <w:t>0.032</w:t>
            </w:r>
          </w:p>
        </w:tc>
      </w:tr>
      <w:tr w:rsidR="00664BD9" w14:paraId="087DD49C" w14:textId="77777777" w:rsidTr="00BC1909">
        <w:tc>
          <w:tcPr>
            <w:tcW w:w="1933" w:type="dxa"/>
            <w:tcBorders>
              <w:top w:val="nil"/>
              <w:bottom w:val="nil"/>
            </w:tcBorders>
          </w:tcPr>
          <w:p w14:paraId="0932B508" w14:textId="77777777" w:rsidR="00664BD9" w:rsidRPr="008E7762" w:rsidRDefault="00664BD9" w:rsidP="00664BD9">
            <w:r w:rsidRPr="008E7762">
              <w:t>Median</w:t>
            </w:r>
          </w:p>
        </w:tc>
        <w:tc>
          <w:tcPr>
            <w:tcW w:w="1716" w:type="dxa"/>
            <w:tcBorders>
              <w:top w:val="nil"/>
              <w:bottom w:val="nil"/>
            </w:tcBorders>
            <w:vAlign w:val="bottom"/>
          </w:tcPr>
          <w:p w14:paraId="7957B4B7" w14:textId="77777777" w:rsidR="00664BD9" w:rsidRPr="008E7762" w:rsidRDefault="00664BD9" w:rsidP="00664BD9">
            <w:r w:rsidRPr="008E7762">
              <w:rPr>
                <w:rFonts w:ascii="Calibri" w:hAnsi="Calibri" w:cs="Calibri"/>
                <w:color w:val="000000"/>
              </w:rPr>
              <w:t>0.020</w:t>
            </w:r>
          </w:p>
        </w:tc>
        <w:tc>
          <w:tcPr>
            <w:tcW w:w="1717" w:type="dxa"/>
            <w:tcBorders>
              <w:top w:val="nil"/>
              <w:bottom w:val="nil"/>
            </w:tcBorders>
            <w:vAlign w:val="bottom"/>
          </w:tcPr>
          <w:p w14:paraId="34BCD541" w14:textId="77777777" w:rsidR="00664BD9" w:rsidRPr="008E7762" w:rsidRDefault="00664BD9" w:rsidP="00664BD9">
            <w:r w:rsidRPr="008E7762">
              <w:rPr>
                <w:rFonts w:ascii="Calibri" w:hAnsi="Calibri" w:cs="Calibri"/>
                <w:color w:val="000000"/>
              </w:rPr>
              <w:t>0.042</w:t>
            </w:r>
          </w:p>
        </w:tc>
        <w:tc>
          <w:tcPr>
            <w:tcW w:w="1717" w:type="dxa"/>
            <w:tcBorders>
              <w:top w:val="nil"/>
              <w:bottom w:val="nil"/>
            </w:tcBorders>
            <w:vAlign w:val="bottom"/>
          </w:tcPr>
          <w:p w14:paraId="4B4DF35B" w14:textId="77777777" w:rsidR="00664BD9" w:rsidRDefault="00664BD9" w:rsidP="00664BD9">
            <w:pPr>
              <w:rPr>
                <w:rFonts w:ascii="Calibri" w:hAnsi="Calibri" w:cs="Calibri"/>
                <w:color w:val="000000"/>
              </w:rPr>
            </w:pPr>
            <w:r>
              <w:rPr>
                <w:rFonts w:ascii="Calibri" w:hAnsi="Calibri" w:cs="Calibri"/>
                <w:color w:val="000000"/>
              </w:rPr>
              <w:t>0.022</w:t>
            </w:r>
          </w:p>
        </w:tc>
      </w:tr>
      <w:tr w:rsidR="00664BD9" w14:paraId="330F8112" w14:textId="77777777" w:rsidTr="00BC1909">
        <w:tc>
          <w:tcPr>
            <w:tcW w:w="1933" w:type="dxa"/>
            <w:tcBorders>
              <w:top w:val="nil"/>
            </w:tcBorders>
          </w:tcPr>
          <w:p w14:paraId="5E522363" w14:textId="77777777" w:rsidR="00664BD9" w:rsidRPr="008E7762" w:rsidRDefault="00664BD9" w:rsidP="00664BD9">
            <w:r w:rsidRPr="008E7762">
              <w:t>Perc 75</w:t>
            </w:r>
          </w:p>
        </w:tc>
        <w:tc>
          <w:tcPr>
            <w:tcW w:w="1716" w:type="dxa"/>
            <w:tcBorders>
              <w:top w:val="nil"/>
            </w:tcBorders>
            <w:vAlign w:val="bottom"/>
          </w:tcPr>
          <w:p w14:paraId="10246815" w14:textId="77777777" w:rsidR="00664BD9" w:rsidRPr="008E7762" w:rsidRDefault="00664BD9" w:rsidP="00664BD9">
            <w:r w:rsidRPr="008E7762">
              <w:rPr>
                <w:rFonts w:ascii="Calibri" w:hAnsi="Calibri" w:cs="Calibri"/>
                <w:color w:val="000000"/>
              </w:rPr>
              <w:t>0.052</w:t>
            </w:r>
          </w:p>
        </w:tc>
        <w:tc>
          <w:tcPr>
            <w:tcW w:w="1717" w:type="dxa"/>
            <w:tcBorders>
              <w:top w:val="nil"/>
            </w:tcBorders>
            <w:vAlign w:val="bottom"/>
          </w:tcPr>
          <w:p w14:paraId="5FB99C4F" w14:textId="77777777" w:rsidR="00664BD9" w:rsidRPr="008E7762" w:rsidRDefault="00664BD9" w:rsidP="00664BD9">
            <w:r w:rsidRPr="008E7762">
              <w:rPr>
                <w:rFonts w:ascii="Calibri" w:hAnsi="Calibri" w:cs="Calibri"/>
                <w:color w:val="000000"/>
              </w:rPr>
              <w:t>0.044</w:t>
            </w:r>
          </w:p>
        </w:tc>
        <w:tc>
          <w:tcPr>
            <w:tcW w:w="1717" w:type="dxa"/>
            <w:tcBorders>
              <w:top w:val="nil"/>
            </w:tcBorders>
            <w:vAlign w:val="bottom"/>
          </w:tcPr>
          <w:p w14:paraId="6EAE62C1" w14:textId="77777777" w:rsidR="00664BD9" w:rsidRDefault="00664BD9" w:rsidP="00664BD9">
            <w:pPr>
              <w:rPr>
                <w:rFonts w:ascii="Calibri" w:hAnsi="Calibri" w:cs="Calibri"/>
                <w:color w:val="000000"/>
              </w:rPr>
            </w:pPr>
            <w:r>
              <w:rPr>
                <w:rFonts w:ascii="Calibri" w:hAnsi="Calibri" w:cs="Calibri"/>
                <w:color w:val="000000"/>
              </w:rPr>
              <w:t>-0.008</w:t>
            </w:r>
          </w:p>
        </w:tc>
      </w:tr>
      <w:tr w:rsidR="00664BD9" w14:paraId="20175610" w14:textId="77777777" w:rsidTr="00BC1909">
        <w:tc>
          <w:tcPr>
            <w:tcW w:w="1933" w:type="dxa"/>
            <w:tcBorders>
              <w:bottom w:val="single" w:sz="4" w:space="0" w:color="auto"/>
            </w:tcBorders>
          </w:tcPr>
          <w:p w14:paraId="74D76C39" w14:textId="77777777" w:rsidR="00664BD9" w:rsidRPr="008E7762" w:rsidRDefault="00664BD9" w:rsidP="00BC1909">
            <w:pPr>
              <w:spacing w:before="120"/>
            </w:pPr>
            <w:r w:rsidRPr="008E7762">
              <w:t xml:space="preserve">Panel B: </w:t>
            </w:r>
            <w:r w:rsidRPr="006A77ED">
              <w:rPr>
                <w:i/>
              </w:rPr>
              <w:t>CAR</w:t>
            </w:r>
            <w:r w:rsidRPr="008E7762">
              <w:t>&lt;0</w:t>
            </w:r>
          </w:p>
        </w:tc>
        <w:tc>
          <w:tcPr>
            <w:tcW w:w="1716" w:type="dxa"/>
            <w:tcBorders>
              <w:bottom w:val="single" w:sz="4" w:space="0" w:color="auto"/>
            </w:tcBorders>
          </w:tcPr>
          <w:p w14:paraId="075FBB00" w14:textId="77777777" w:rsidR="00664BD9" w:rsidRPr="008E7762" w:rsidRDefault="00664BD9" w:rsidP="00664BD9"/>
        </w:tc>
        <w:tc>
          <w:tcPr>
            <w:tcW w:w="1717" w:type="dxa"/>
            <w:tcBorders>
              <w:bottom w:val="single" w:sz="4" w:space="0" w:color="auto"/>
            </w:tcBorders>
          </w:tcPr>
          <w:p w14:paraId="7E959EE0" w14:textId="77777777" w:rsidR="00664BD9" w:rsidRPr="008E7762" w:rsidRDefault="00664BD9" w:rsidP="00664BD9"/>
        </w:tc>
        <w:tc>
          <w:tcPr>
            <w:tcW w:w="1717" w:type="dxa"/>
            <w:tcBorders>
              <w:bottom w:val="single" w:sz="4" w:space="0" w:color="auto"/>
            </w:tcBorders>
          </w:tcPr>
          <w:p w14:paraId="4CFCFA33" w14:textId="77777777" w:rsidR="00664BD9" w:rsidRDefault="00664BD9" w:rsidP="00664BD9">
            <w:pPr>
              <w:rPr>
                <w:b/>
              </w:rPr>
            </w:pPr>
          </w:p>
        </w:tc>
      </w:tr>
      <w:tr w:rsidR="00664BD9" w14:paraId="2E3640EB" w14:textId="77777777" w:rsidTr="00BC1909">
        <w:tc>
          <w:tcPr>
            <w:tcW w:w="1933" w:type="dxa"/>
            <w:tcBorders>
              <w:bottom w:val="nil"/>
            </w:tcBorders>
          </w:tcPr>
          <w:p w14:paraId="3A4D6DFE" w14:textId="77777777" w:rsidR="00664BD9" w:rsidRPr="008E7762" w:rsidRDefault="00664BD9" w:rsidP="00664BD9">
            <w:pPr>
              <w:rPr>
                <w:b/>
              </w:rPr>
            </w:pPr>
            <w:r w:rsidRPr="008E7762">
              <w:t>Perc 25</w:t>
            </w:r>
          </w:p>
        </w:tc>
        <w:tc>
          <w:tcPr>
            <w:tcW w:w="1716" w:type="dxa"/>
            <w:tcBorders>
              <w:bottom w:val="nil"/>
            </w:tcBorders>
            <w:vAlign w:val="bottom"/>
          </w:tcPr>
          <w:p w14:paraId="47817C5E" w14:textId="77777777" w:rsidR="00664BD9" w:rsidRDefault="00664BD9" w:rsidP="00664BD9">
            <w:pPr>
              <w:rPr>
                <w:b/>
              </w:rPr>
            </w:pPr>
            <w:r>
              <w:rPr>
                <w:rFonts w:ascii="Calibri" w:hAnsi="Calibri" w:cs="Calibri"/>
                <w:color w:val="000000"/>
              </w:rPr>
              <w:t>-0.001</w:t>
            </w:r>
          </w:p>
        </w:tc>
        <w:tc>
          <w:tcPr>
            <w:tcW w:w="1717" w:type="dxa"/>
            <w:tcBorders>
              <w:bottom w:val="nil"/>
            </w:tcBorders>
            <w:vAlign w:val="bottom"/>
          </w:tcPr>
          <w:p w14:paraId="4D8D0CD9" w14:textId="77777777" w:rsidR="00664BD9" w:rsidRDefault="00664BD9" w:rsidP="00664BD9">
            <w:pPr>
              <w:rPr>
                <w:b/>
              </w:rPr>
            </w:pPr>
            <w:r>
              <w:rPr>
                <w:rFonts w:ascii="Calibri" w:hAnsi="Calibri" w:cs="Calibri"/>
                <w:color w:val="000000"/>
              </w:rPr>
              <w:t>0.002</w:t>
            </w:r>
          </w:p>
        </w:tc>
        <w:tc>
          <w:tcPr>
            <w:tcW w:w="1717" w:type="dxa"/>
            <w:tcBorders>
              <w:bottom w:val="nil"/>
            </w:tcBorders>
            <w:vAlign w:val="bottom"/>
          </w:tcPr>
          <w:p w14:paraId="3732AD7C" w14:textId="77777777" w:rsidR="00664BD9" w:rsidRDefault="00664BD9" w:rsidP="00664BD9">
            <w:pPr>
              <w:rPr>
                <w:b/>
              </w:rPr>
            </w:pPr>
            <w:r>
              <w:rPr>
                <w:rFonts w:ascii="Calibri" w:hAnsi="Calibri" w:cs="Calibri"/>
                <w:color w:val="000000"/>
              </w:rPr>
              <w:t>0.004</w:t>
            </w:r>
          </w:p>
        </w:tc>
      </w:tr>
      <w:tr w:rsidR="00664BD9" w14:paraId="348AE7DC" w14:textId="77777777" w:rsidTr="00BC1909">
        <w:tc>
          <w:tcPr>
            <w:tcW w:w="1933" w:type="dxa"/>
            <w:tcBorders>
              <w:top w:val="nil"/>
              <w:bottom w:val="nil"/>
            </w:tcBorders>
          </w:tcPr>
          <w:p w14:paraId="72654D29" w14:textId="77777777" w:rsidR="00664BD9" w:rsidRPr="008E7762" w:rsidRDefault="00664BD9" w:rsidP="00664BD9">
            <w:pPr>
              <w:rPr>
                <w:b/>
              </w:rPr>
            </w:pPr>
            <w:r w:rsidRPr="008E7762">
              <w:t>Median</w:t>
            </w:r>
          </w:p>
        </w:tc>
        <w:tc>
          <w:tcPr>
            <w:tcW w:w="1716" w:type="dxa"/>
            <w:tcBorders>
              <w:top w:val="nil"/>
              <w:bottom w:val="nil"/>
            </w:tcBorders>
            <w:vAlign w:val="bottom"/>
          </w:tcPr>
          <w:p w14:paraId="334E1D46" w14:textId="77777777" w:rsidR="00664BD9" w:rsidRDefault="00664BD9" w:rsidP="00664BD9">
            <w:pPr>
              <w:rPr>
                <w:b/>
              </w:rPr>
            </w:pPr>
            <w:r>
              <w:rPr>
                <w:rFonts w:ascii="Calibri" w:hAnsi="Calibri" w:cs="Calibri"/>
                <w:color w:val="000000"/>
              </w:rPr>
              <w:t>-0.003</w:t>
            </w:r>
          </w:p>
        </w:tc>
        <w:tc>
          <w:tcPr>
            <w:tcW w:w="1717" w:type="dxa"/>
            <w:tcBorders>
              <w:top w:val="nil"/>
              <w:bottom w:val="nil"/>
            </w:tcBorders>
            <w:vAlign w:val="bottom"/>
          </w:tcPr>
          <w:p w14:paraId="56C5D82D" w14:textId="77777777" w:rsidR="00664BD9" w:rsidRDefault="00664BD9" w:rsidP="00664BD9">
            <w:pPr>
              <w:rPr>
                <w:b/>
              </w:rPr>
            </w:pPr>
            <w:r>
              <w:rPr>
                <w:rFonts w:ascii="Calibri" w:hAnsi="Calibri" w:cs="Calibri"/>
                <w:color w:val="000000"/>
              </w:rPr>
              <w:t>-0.004</w:t>
            </w:r>
          </w:p>
        </w:tc>
        <w:tc>
          <w:tcPr>
            <w:tcW w:w="1717" w:type="dxa"/>
            <w:tcBorders>
              <w:top w:val="nil"/>
              <w:bottom w:val="nil"/>
            </w:tcBorders>
            <w:vAlign w:val="bottom"/>
          </w:tcPr>
          <w:p w14:paraId="7F0316B4" w14:textId="77777777" w:rsidR="00664BD9" w:rsidRDefault="00664BD9" w:rsidP="00664BD9">
            <w:pPr>
              <w:rPr>
                <w:b/>
              </w:rPr>
            </w:pPr>
            <w:r>
              <w:rPr>
                <w:rFonts w:ascii="Calibri" w:hAnsi="Calibri" w:cs="Calibri"/>
                <w:color w:val="000000"/>
              </w:rPr>
              <w:t>-0.001</w:t>
            </w:r>
          </w:p>
        </w:tc>
      </w:tr>
      <w:tr w:rsidR="00664BD9" w14:paraId="13E7A19D" w14:textId="77777777" w:rsidTr="00BC1909">
        <w:tc>
          <w:tcPr>
            <w:tcW w:w="1933" w:type="dxa"/>
            <w:tcBorders>
              <w:top w:val="nil"/>
            </w:tcBorders>
          </w:tcPr>
          <w:p w14:paraId="4FEDAF20" w14:textId="77777777" w:rsidR="00664BD9" w:rsidRPr="008E7762" w:rsidRDefault="00664BD9" w:rsidP="00664BD9">
            <w:pPr>
              <w:rPr>
                <w:b/>
              </w:rPr>
            </w:pPr>
            <w:r w:rsidRPr="008E7762">
              <w:t>Perc 75</w:t>
            </w:r>
          </w:p>
        </w:tc>
        <w:tc>
          <w:tcPr>
            <w:tcW w:w="1716" w:type="dxa"/>
            <w:tcBorders>
              <w:top w:val="nil"/>
            </w:tcBorders>
            <w:vAlign w:val="bottom"/>
          </w:tcPr>
          <w:p w14:paraId="6C642E0C" w14:textId="77777777" w:rsidR="00664BD9" w:rsidRDefault="00664BD9" w:rsidP="00664BD9">
            <w:pPr>
              <w:rPr>
                <w:b/>
              </w:rPr>
            </w:pPr>
            <w:r>
              <w:rPr>
                <w:rFonts w:ascii="Calibri" w:hAnsi="Calibri" w:cs="Calibri"/>
                <w:color w:val="000000"/>
              </w:rPr>
              <w:t>-0.006</w:t>
            </w:r>
          </w:p>
        </w:tc>
        <w:tc>
          <w:tcPr>
            <w:tcW w:w="1717" w:type="dxa"/>
            <w:tcBorders>
              <w:top w:val="nil"/>
            </w:tcBorders>
            <w:vAlign w:val="bottom"/>
          </w:tcPr>
          <w:p w14:paraId="5A4770E1" w14:textId="77777777" w:rsidR="00664BD9" w:rsidRDefault="00664BD9" w:rsidP="00664BD9">
            <w:pPr>
              <w:rPr>
                <w:b/>
              </w:rPr>
            </w:pPr>
            <w:r>
              <w:rPr>
                <w:rFonts w:ascii="Calibri" w:hAnsi="Calibri" w:cs="Calibri"/>
                <w:color w:val="000000"/>
              </w:rPr>
              <w:t>-0.014</w:t>
            </w:r>
          </w:p>
        </w:tc>
        <w:tc>
          <w:tcPr>
            <w:tcW w:w="1717" w:type="dxa"/>
            <w:tcBorders>
              <w:top w:val="nil"/>
            </w:tcBorders>
            <w:vAlign w:val="bottom"/>
          </w:tcPr>
          <w:p w14:paraId="01C23E96" w14:textId="77777777" w:rsidR="00664BD9" w:rsidRDefault="00664BD9" w:rsidP="00664BD9">
            <w:pPr>
              <w:rPr>
                <w:b/>
              </w:rPr>
            </w:pPr>
            <w:r>
              <w:rPr>
                <w:rFonts w:ascii="Calibri" w:hAnsi="Calibri" w:cs="Calibri"/>
                <w:color w:val="000000"/>
              </w:rPr>
              <w:t>-0.008</w:t>
            </w:r>
          </w:p>
        </w:tc>
      </w:tr>
    </w:tbl>
    <w:p w14:paraId="382FC274" w14:textId="77777777" w:rsidR="00664BD9" w:rsidRDefault="00664BD9" w:rsidP="00664BD9">
      <w:pPr>
        <w:rPr>
          <w:b/>
        </w:rPr>
      </w:pPr>
    </w:p>
    <w:p w14:paraId="202FED3B" w14:textId="72C25F31" w:rsidR="00664BD9" w:rsidRPr="006A77ED" w:rsidRDefault="007111CF" w:rsidP="00027788">
      <w:r w:rsidRPr="006A77ED">
        <w:t xml:space="preserve">This table estimates the influence of </w:t>
      </w:r>
      <w:r w:rsidR="008403A8">
        <w:t>the level of transparency</w:t>
      </w:r>
      <w:r w:rsidRPr="006A77ED">
        <w:t xml:space="preserve"> on project announcement </w:t>
      </w:r>
      <w:r w:rsidRPr="006A77ED">
        <w:rPr>
          <w:i/>
        </w:rPr>
        <w:t xml:space="preserve">CAR </w:t>
      </w:r>
      <w:r>
        <w:t>at the 25</w:t>
      </w:r>
      <w:r w:rsidRPr="006A77ED">
        <w:rPr>
          <w:vertAlign w:val="superscript"/>
        </w:rPr>
        <w:t>th</w:t>
      </w:r>
      <w:r>
        <w:t>, 50</w:t>
      </w:r>
      <w:r w:rsidRPr="006A77ED">
        <w:rPr>
          <w:vertAlign w:val="superscript"/>
        </w:rPr>
        <w:t>th</w:t>
      </w:r>
      <w:r>
        <w:t xml:space="preserve"> and 75</w:t>
      </w:r>
      <w:r w:rsidRPr="006A77ED">
        <w:rPr>
          <w:vertAlign w:val="superscript"/>
        </w:rPr>
        <w:t>th</w:t>
      </w:r>
      <w:r>
        <w:t xml:space="preserve"> percentiles for </w:t>
      </w:r>
      <w:r w:rsidRPr="006A77ED">
        <w:rPr>
          <w:i/>
        </w:rPr>
        <w:t>SDEarn</w:t>
      </w:r>
      <w:r>
        <w:t>.</w:t>
      </w:r>
    </w:p>
    <w:p w14:paraId="310A2984" w14:textId="77777777" w:rsidR="007111CF" w:rsidRDefault="007111CF" w:rsidP="0075425B">
      <w:pPr>
        <w:jc w:val="both"/>
        <w:rPr>
          <w:highlight w:val="green"/>
        </w:rPr>
      </w:pPr>
    </w:p>
    <w:p w14:paraId="0C083B51" w14:textId="77777777" w:rsidR="00C753F1" w:rsidRPr="007801A8" w:rsidRDefault="00C753F1" w:rsidP="0075425B">
      <w:pPr>
        <w:rPr>
          <w:highlight w:val="green"/>
        </w:rPr>
      </w:pPr>
    </w:p>
    <w:p w14:paraId="6C922BBD" w14:textId="6B549461" w:rsidR="00664BD9" w:rsidRDefault="0075425B" w:rsidP="0075425B">
      <w:pPr>
        <w:rPr>
          <w:b/>
        </w:rPr>
      </w:pPr>
      <w:r>
        <w:rPr>
          <w:b/>
        </w:rPr>
        <w:br w:type="page"/>
      </w:r>
    </w:p>
    <w:p w14:paraId="24C107EA" w14:textId="3B73BD3C" w:rsidR="00312065" w:rsidRDefault="00312065" w:rsidP="00312065">
      <w:pPr>
        <w:rPr>
          <w:b/>
        </w:rPr>
      </w:pPr>
      <w:r w:rsidRPr="00212E7B">
        <w:rPr>
          <w:b/>
        </w:rPr>
        <w:lastRenderedPageBreak/>
        <w:t xml:space="preserve">Table </w:t>
      </w:r>
      <w:r w:rsidR="008F74C4">
        <w:rPr>
          <w:b/>
        </w:rPr>
        <w:t>6</w:t>
      </w:r>
      <w:r w:rsidRPr="00212E7B">
        <w:rPr>
          <w:b/>
        </w:rPr>
        <w:t xml:space="preserve">  </w:t>
      </w:r>
      <w:r>
        <w:rPr>
          <w:b/>
        </w:rPr>
        <w:t>Cross-sectional regression of p</w:t>
      </w:r>
      <w:r w:rsidRPr="00212E7B">
        <w:rPr>
          <w:b/>
        </w:rPr>
        <w:t>roject announcement returns (</w:t>
      </w:r>
      <w:r w:rsidRPr="00654228">
        <w:rPr>
          <w:b/>
          <w:i/>
        </w:rPr>
        <w:t>CAR</w:t>
      </w:r>
      <w:r w:rsidRPr="00212E7B">
        <w:rPr>
          <w:b/>
        </w:rPr>
        <w:t xml:space="preserve"> </w:t>
      </w:r>
      <w:r w:rsidRPr="00624D91">
        <w:rPr>
          <w:b/>
          <w:i/>
        </w:rPr>
        <w:t>0,+2</w:t>
      </w:r>
      <w:r>
        <w:rPr>
          <w:b/>
        </w:rPr>
        <w:t xml:space="preserve">) by positive and negative </w:t>
      </w:r>
      <w:r w:rsidRPr="006A77ED">
        <w:rPr>
          <w:b/>
          <w:i/>
        </w:rPr>
        <w:t>CAR</w:t>
      </w:r>
      <w:r>
        <w:rPr>
          <w:b/>
        </w:rPr>
        <w:t xml:space="preserve"> – robustness checks </w:t>
      </w:r>
    </w:p>
    <w:p w14:paraId="1C59684A" w14:textId="77777777" w:rsidR="00312065" w:rsidRPr="00212E7B" w:rsidRDefault="00312065" w:rsidP="00312065">
      <w:pPr>
        <w:rPr>
          <w:b/>
        </w:rPr>
      </w:pPr>
    </w:p>
    <w:tbl>
      <w:tblPr>
        <w:tblStyle w:val="TableGrid"/>
        <w:tblW w:w="948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43"/>
        <w:gridCol w:w="1243"/>
        <w:gridCol w:w="1354"/>
        <w:gridCol w:w="1133"/>
        <w:gridCol w:w="1243"/>
        <w:gridCol w:w="1354"/>
        <w:gridCol w:w="928"/>
        <w:gridCol w:w="284"/>
      </w:tblGrid>
      <w:tr w:rsidR="00312065" w:rsidRPr="00A21800" w14:paraId="13AF8E13" w14:textId="77777777" w:rsidTr="0038024C">
        <w:tc>
          <w:tcPr>
            <w:tcW w:w="1943" w:type="dxa"/>
            <w:tcBorders>
              <w:top w:val="single" w:sz="4" w:space="0" w:color="auto"/>
              <w:bottom w:val="nil"/>
            </w:tcBorders>
          </w:tcPr>
          <w:p w14:paraId="2D028EEA" w14:textId="77777777" w:rsidR="00312065" w:rsidRPr="00595CF8" w:rsidRDefault="00312065" w:rsidP="0038024C"/>
        </w:tc>
        <w:tc>
          <w:tcPr>
            <w:tcW w:w="3730" w:type="dxa"/>
            <w:gridSpan w:val="3"/>
            <w:tcBorders>
              <w:top w:val="single" w:sz="4" w:space="0" w:color="auto"/>
              <w:bottom w:val="single" w:sz="4" w:space="0" w:color="auto"/>
            </w:tcBorders>
          </w:tcPr>
          <w:p w14:paraId="56316B0B" w14:textId="49823BF8" w:rsidR="00312065" w:rsidRDefault="003B13F2" w:rsidP="0038024C">
            <w:pPr>
              <w:jc w:val="center"/>
            </w:pPr>
            <w:r w:rsidRPr="003B13F2">
              <w:rPr>
                <w:i/>
              </w:rPr>
              <w:t>CAR</w:t>
            </w:r>
            <w:r w:rsidR="00312065">
              <w:t>&gt;0</w:t>
            </w:r>
          </w:p>
        </w:tc>
        <w:tc>
          <w:tcPr>
            <w:tcW w:w="3809" w:type="dxa"/>
            <w:gridSpan w:val="4"/>
            <w:tcBorders>
              <w:top w:val="single" w:sz="4" w:space="0" w:color="auto"/>
              <w:bottom w:val="single" w:sz="4" w:space="0" w:color="auto"/>
            </w:tcBorders>
          </w:tcPr>
          <w:p w14:paraId="40E45C23" w14:textId="24436BAB" w:rsidR="00312065" w:rsidRPr="009A734F" w:rsidRDefault="003B13F2" w:rsidP="0038024C">
            <w:pPr>
              <w:jc w:val="center"/>
            </w:pPr>
            <w:r w:rsidRPr="003B13F2">
              <w:rPr>
                <w:i/>
              </w:rPr>
              <w:t>CAR</w:t>
            </w:r>
            <w:r w:rsidR="00312065">
              <w:t>&lt;0</w:t>
            </w:r>
          </w:p>
        </w:tc>
      </w:tr>
      <w:tr w:rsidR="00312065" w:rsidRPr="00A21800" w14:paraId="2E72D19A" w14:textId="77777777" w:rsidTr="0038024C">
        <w:tc>
          <w:tcPr>
            <w:tcW w:w="1943" w:type="dxa"/>
            <w:tcBorders>
              <w:top w:val="nil"/>
              <w:bottom w:val="single" w:sz="4" w:space="0" w:color="auto"/>
            </w:tcBorders>
          </w:tcPr>
          <w:p w14:paraId="50EA1CD5" w14:textId="77777777" w:rsidR="00312065" w:rsidRPr="00595CF8" w:rsidRDefault="00312065" w:rsidP="0038024C"/>
        </w:tc>
        <w:tc>
          <w:tcPr>
            <w:tcW w:w="1243" w:type="dxa"/>
            <w:tcBorders>
              <w:top w:val="single" w:sz="4" w:space="0" w:color="auto"/>
              <w:bottom w:val="single" w:sz="4" w:space="0" w:color="auto"/>
            </w:tcBorders>
          </w:tcPr>
          <w:p w14:paraId="4060FE7B" w14:textId="77777777" w:rsidR="00312065" w:rsidRDefault="00312065" w:rsidP="0038024C">
            <w:r w:rsidRPr="00107649">
              <w:t xml:space="preserve"> (1) </w:t>
            </w:r>
          </w:p>
          <w:p w14:paraId="640F8C1F" w14:textId="77777777" w:rsidR="00312065" w:rsidRPr="006A77ED" w:rsidRDefault="00312065" w:rsidP="0038024C">
            <w:pPr>
              <w:rPr>
                <w:i/>
              </w:rPr>
            </w:pPr>
            <w:r w:rsidRPr="006A77ED">
              <w:rPr>
                <w:i/>
              </w:rPr>
              <w:t>Cost</w:t>
            </w:r>
          </w:p>
        </w:tc>
        <w:tc>
          <w:tcPr>
            <w:tcW w:w="1354" w:type="dxa"/>
            <w:tcBorders>
              <w:top w:val="single" w:sz="4" w:space="0" w:color="auto"/>
              <w:bottom w:val="single" w:sz="4" w:space="0" w:color="auto"/>
            </w:tcBorders>
          </w:tcPr>
          <w:p w14:paraId="437F807D" w14:textId="77777777" w:rsidR="00312065" w:rsidRPr="00107649" w:rsidRDefault="00312065" w:rsidP="0038024C">
            <w:r w:rsidRPr="000E4666">
              <w:t xml:space="preserve"> (</w:t>
            </w:r>
            <w:r>
              <w:t>2</w:t>
            </w:r>
            <w:r w:rsidRPr="000E4666">
              <w:t xml:space="preserve">) </w:t>
            </w:r>
            <w:r w:rsidRPr="006A77ED">
              <w:rPr>
                <w:i/>
              </w:rPr>
              <w:t>Volatility</w:t>
            </w:r>
          </w:p>
        </w:tc>
        <w:tc>
          <w:tcPr>
            <w:tcW w:w="1133" w:type="dxa"/>
            <w:tcBorders>
              <w:top w:val="single" w:sz="4" w:space="0" w:color="auto"/>
              <w:bottom w:val="single" w:sz="4" w:space="0" w:color="auto"/>
            </w:tcBorders>
          </w:tcPr>
          <w:p w14:paraId="0D712596" w14:textId="77777777" w:rsidR="00312065" w:rsidRDefault="00312065" w:rsidP="0038024C">
            <w:r>
              <w:t xml:space="preserve">(3) </w:t>
            </w:r>
          </w:p>
          <w:p w14:paraId="48BBADBB" w14:textId="77777777" w:rsidR="00312065" w:rsidRPr="006A77ED" w:rsidRDefault="00312065" w:rsidP="0038024C">
            <w:pPr>
              <w:rPr>
                <w:i/>
              </w:rPr>
            </w:pPr>
            <w:r w:rsidRPr="006A77ED">
              <w:rPr>
                <w:i/>
              </w:rPr>
              <w:t>DCP</w:t>
            </w:r>
          </w:p>
        </w:tc>
        <w:tc>
          <w:tcPr>
            <w:tcW w:w="1243" w:type="dxa"/>
            <w:tcBorders>
              <w:top w:val="single" w:sz="4" w:space="0" w:color="auto"/>
              <w:bottom w:val="single" w:sz="4" w:space="0" w:color="auto"/>
            </w:tcBorders>
          </w:tcPr>
          <w:p w14:paraId="6304A849" w14:textId="77777777" w:rsidR="00312065" w:rsidRDefault="00312065" w:rsidP="0038024C">
            <w:r>
              <w:t xml:space="preserve">(4) </w:t>
            </w:r>
          </w:p>
          <w:p w14:paraId="44B8F20E" w14:textId="77777777" w:rsidR="00312065" w:rsidRPr="006A77ED" w:rsidRDefault="00312065" w:rsidP="0038024C">
            <w:pPr>
              <w:rPr>
                <w:i/>
              </w:rPr>
            </w:pPr>
            <w:r w:rsidRPr="006A77ED">
              <w:rPr>
                <w:i/>
              </w:rPr>
              <w:t>Cost</w:t>
            </w:r>
          </w:p>
        </w:tc>
        <w:tc>
          <w:tcPr>
            <w:tcW w:w="1354" w:type="dxa"/>
            <w:tcBorders>
              <w:top w:val="single" w:sz="4" w:space="0" w:color="auto"/>
              <w:bottom w:val="single" w:sz="4" w:space="0" w:color="auto"/>
            </w:tcBorders>
          </w:tcPr>
          <w:p w14:paraId="062ACE65" w14:textId="77777777" w:rsidR="00312065" w:rsidRDefault="00312065" w:rsidP="0038024C">
            <w:r w:rsidRPr="000E4666">
              <w:t>(</w:t>
            </w:r>
            <w:r>
              <w:t>5</w:t>
            </w:r>
            <w:r w:rsidRPr="000E4666">
              <w:t xml:space="preserve">) </w:t>
            </w:r>
          </w:p>
          <w:p w14:paraId="333C9ADC" w14:textId="77777777" w:rsidR="00312065" w:rsidRPr="006A77ED" w:rsidRDefault="00312065" w:rsidP="0038024C">
            <w:pPr>
              <w:rPr>
                <w:i/>
              </w:rPr>
            </w:pPr>
            <w:r w:rsidRPr="006A77ED">
              <w:rPr>
                <w:i/>
              </w:rPr>
              <w:t>Volatility</w:t>
            </w:r>
          </w:p>
        </w:tc>
        <w:tc>
          <w:tcPr>
            <w:tcW w:w="1212" w:type="dxa"/>
            <w:gridSpan w:val="2"/>
            <w:tcBorders>
              <w:top w:val="single" w:sz="4" w:space="0" w:color="auto"/>
              <w:bottom w:val="single" w:sz="4" w:space="0" w:color="auto"/>
            </w:tcBorders>
          </w:tcPr>
          <w:p w14:paraId="370DBD2B" w14:textId="77777777" w:rsidR="00312065" w:rsidRDefault="00312065" w:rsidP="0038024C">
            <w:r w:rsidRPr="009A734F">
              <w:t>(</w:t>
            </w:r>
            <w:r w:rsidRPr="007801A8">
              <w:t>6</w:t>
            </w:r>
            <w:r w:rsidRPr="009A734F">
              <w:t xml:space="preserve">) </w:t>
            </w:r>
          </w:p>
          <w:p w14:paraId="251EECE5" w14:textId="77777777" w:rsidR="00312065" w:rsidRPr="006A77ED" w:rsidRDefault="00312065" w:rsidP="0038024C">
            <w:pPr>
              <w:rPr>
                <w:i/>
              </w:rPr>
            </w:pPr>
            <w:r w:rsidRPr="006A77ED">
              <w:rPr>
                <w:i/>
              </w:rPr>
              <w:t>DCP</w:t>
            </w:r>
          </w:p>
        </w:tc>
      </w:tr>
      <w:tr w:rsidR="00312065" w:rsidRPr="00A21800" w14:paraId="0B71CCF1" w14:textId="77777777" w:rsidTr="0038024C">
        <w:trPr>
          <w:trHeight w:val="288"/>
        </w:trPr>
        <w:tc>
          <w:tcPr>
            <w:tcW w:w="1943" w:type="dxa"/>
            <w:tcBorders>
              <w:top w:val="single" w:sz="4" w:space="0" w:color="auto"/>
            </w:tcBorders>
            <w:noWrap/>
            <w:hideMark/>
          </w:tcPr>
          <w:p w14:paraId="05DFD492"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DQ</w:t>
            </w:r>
          </w:p>
        </w:tc>
        <w:tc>
          <w:tcPr>
            <w:tcW w:w="1243" w:type="dxa"/>
            <w:tcBorders>
              <w:top w:val="single" w:sz="4" w:space="0" w:color="auto"/>
            </w:tcBorders>
          </w:tcPr>
          <w:p w14:paraId="76EA8D6C"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0.045***</w:t>
            </w:r>
          </w:p>
          <w:p w14:paraId="1F4064C4"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(3.53)</w:t>
            </w:r>
          </w:p>
        </w:tc>
        <w:tc>
          <w:tcPr>
            <w:tcW w:w="1354" w:type="dxa"/>
            <w:tcBorders>
              <w:top w:val="single" w:sz="4" w:space="0" w:color="auto"/>
            </w:tcBorders>
          </w:tcPr>
          <w:p w14:paraId="046688DA" w14:textId="77777777" w:rsidR="00312065" w:rsidRPr="000E4666" w:rsidRDefault="00312065" w:rsidP="0038024C">
            <w:pPr>
              <w:rPr>
                <w:rFonts w:ascii="Calibri" w:hAnsi="Calibri"/>
                <w:color w:val="000000"/>
              </w:rPr>
            </w:pPr>
            <w:r w:rsidRPr="000E4666">
              <w:rPr>
                <w:rFonts w:ascii="Calibri" w:hAnsi="Calibri"/>
                <w:color w:val="000000"/>
              </w:rPr>
              <w:t>0.041***</w:t>
            </w:r>
          </w:p>
          <w:p w14:paraId="6C9CB7E8" w14:textId="77777777" w:rsidR="00312065" w:rsidRPr="00107649" w:rsidRDefault="00312065" w:rsidP="0038024C">
            <w:pPr>
              <w:rPr>
                <w:rFonts w:ascii="Calibri" w:eastAsia="Times New Roman" w:hAnsi="Calibri" w:cs="Times New Roman"/>
                <w:color w:val="000000"/>
                <w:lang w:eastAsia="en-NZ"/>
              </w:rPr>
            </w:pPr>
            <w:r w:rsidRPr="000E4666">
              <w:rPr>
                <w:rFonts w:ascii="Calibri" w:hAnsi="Calibri"/>
                <w:color w:val="000000"/>
              </w:rPr>
              <w:t>(2.74)</w:t>
            </w:r>
          </w:p>
        </w:tc>
        <w:tc>
          <w:tcPr>
            <w:tcW w:w="1133" w:type="dxa"/>
            <w:tcBorders>
              <w:top w:val="single" w:sz="4" w:space="0" w:color="auto"/>
            </w:tcBorders>
          </w:tcPr>
          <w:p w14:paraId="53483FA2" w14:textId="77777777" w:rsidR="00312065" w:rsidRPr="007801A8" w:rsidRDefault="00312065" w:rsidP="0038024C">
            <w:pPr>
              <w:rPr>
                <w:rFonts w:ascii="Calibri" w:eastAsia="Times New Roman" w:hAnsi="Calibri" w:cs="Times New Roman"/>
                <w:color w:val="000000"/>
                <w:highlight w:val="yellow"/>
                <w:lang w:eastAsia="en-NZ"/>
              </w:rPr>
            </w:pPr>
          </w:p>
        </w:tc>
        <w:tc>
          <w:tcPr>
            <w:tcW w:w="1243" w:type="dxa"/>
            <w:tcBorders>
              <w:top w:val="single" w:sz="4" w:space="0" w:color="auto"/>
            </w:tcBorders>
            <w:noWrap/>
            <w:hideMark/>
          </w:tcPr>
          <w:p w14:paraId="15BE098A"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w:t>
            </w:r>
            <w:r w:rsidRPr="007801A8">
              <w:rPr>
                <w:rFonts w:ascii="Calibri" w:eastAsia="Times New Roman" w:hAnsi="Calibri" w:cs="Times New Roman"/>
                <w:color w:val="000000"/>
                <w:lang w:eastAsia="en-NZ"/>
              </w:rPr>
              <w:t>6</w:t>
            </w:r>
          </w:p>
          <w:p w14:paraId="3680A4E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w:t>
            </w:r>
            <w:r w:rsidRPr="0010764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56</w:t>
            </w:r>
            <w:r w:rsidRPr="00107649">
              <w:rPr>
                <w:rFonts w:ascii="Calibri" w:eastAsia="Times New Roman" w:hAnsi="Calibri" w:cs="Times New Roman"/>
                <w:color w:val="000000"/>
                <w:lang w:eastAsia="en-NZ"/>
              </w:rPr>
              <w:t>)</w:t>
            </w:r>
          </w:p>
        </w:tc>
        <w:tc>
          <w:tcPr>
            <w:tcW w:w="1354" w:type="dxa"/>
            <w:tcBorders>
              <w:top w:val="single" w:sz="4" w:space="0" w:color="auto"/>
            </w:tcBorders>
          </w:tcPr>
          <w:p w14:paraId="00426353" w14:textId="77777777" w:rsidR="00312065" w:rsidRPr="000E4666" w:rsidRDefault="00312065" w:rsidP="0038024C">
            <w:pPr>
              <w:rPr>
                <w:rFonts w:ascii="Calibri" w:hAnsi="Calibri"/>
                <w:color w:val="000000"/>
              </w:rPr>
            </w:pPr>
            <w:r w:rsidRPr="000E4666">
              <w:rPr>
                <w:rFonts w:ascii="Calibri" w:hAnsi="Calibri"/>
                <w:color w:val="000000"/>
              </w:rPr>
              <w:t>0.004</w:t>
            </w:r>
          </w:p>
          <w:p w14:paraId="0DE905E0" w14:textId="77777777" w:rsidR="00312065" w:rsidRPr="00107649" w:rsidRDefault="00312065" w:rsidP="0038024C">
            <w:pPr>
              <w:rPr>
                <w:rFonts w:ascii="Calibri" w:hAnsi="Calibri"/>
                <w:color w:val="000000"/>
              </w:rPr>
            </w:pPr>
            <w:r w:rsidRPr="000E4666">
              <w:rPr>
                <w:rFonts w:ascii="Calibri" w:hAnsi="Calibri"/>
                <w:color w:val="000000"/>
              </w:rPr>
              <w:t>(0.42)</w:t>
            </w:r>
          </w:p>
        </w:tc>
        <w:tc>
          <w:tcPr>
            <w:tcW w:w="1212" w:type="dxa"/>
            <w:gridSpan w:val="2"/>
            <w:tcBorders>
              <w:top w:val="single" w:sz="4" w:space="0" w:color="auto"/>
            </w:tcBorders>
          </w:tcPr>
          <w:p w14:paraId="3F9327FC" w14:textId="77777777" w:rsidR="00312065" w:rsidRPr="009A734F" w:rsidRDefault="00312065" w:rsidP="0038024C">
            <w:pPr>
              <w:rPr>
                <w:rFonts w:ascii="Calibri" w:hAnsi="Calibri"/>
                <w:color w:val="000000"/>
              </w:rPr>
            </w:pPr>
          </w:p>
        </w:tc>
      </w:tr>
      <w:tr w:rsidR="00312065" w:rsidRPr="00A21800" w14:paraId="5B807E36" w14:textId="77777777" w:rsidTr="0038024C">
        <w:trPr>
          <w:trHeight w:val="288"/>
        </w:trPr>
        <w:tc>
          <w:tcPr>
            <w:tcW w:w="1943" w:type="dxa"/>
            <w:noWrap/>
            <w:hideMark/>
          </w:tcPr>
          <w:p w14:paraId="27CFEFCD" w14:textId="4986390A" w:rsidR="00312065" w:rsidRPr="00B376A1" w:rsidRDefault="00312065">
            <w:pPr>
              <w:rPr>
                <w:rFonts w:ascii="Calibri" w:eastAsia="Times New Roman" w:hAnsi="Calibri" w:cs="Times New Roman"/>
                <w:i/>
                <w:color w:val="000000"/>
                <w:lang w:eastAsia="en-NZ"/>
              </w:rPr>
            </w:pPr>
            <w:r>
              <w:rPr>
                <w:rFonts w:ascii="Calibri" w:eastAsia="Times New Roman" w:hAnsi="Calibri" w:cs="Times New Roman"/>
                <w:i/>
                <w:color w:val="000000"/>
                <w:lang w:eastAsia="en-NZ"/>
              </w:rPr>
              <w:t>SDEarn</w:t>
            </w:r>
          </w:p>
        </w:tc>
        <w:tc>
          <w:tcPr>
            <w:tcW w:w="1243" w:type="dxa"/>
          </w:tcPr>
          <w:p w14:paraId="6F2F526D"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0.580***</w:t>
            </w:r>
          </w:p>
          <w:p w14:paraId="057A2054"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(5.24)</w:t>
            </w:r>
          </w:p>
        </w:tc>
        <w:tc>
          <w:tcPr>
            <w:tcW w:w="1354" w:type="dxa"/>
          </w:tcPr>
          <w:p w14:paraId="3936EC64" w14:textId="77777777" w:rsidR="00312065" w:rsidRPr="000E4666" w:rsidRDefault="00312065" w:rsidP="0038024C">
            <w:r w:rsidRPr="000E4666">
              <w:t>0.411***</w:t>
            </w:r>
          </w:p>
          <w:p w14:paraId="0B1782CF" w14:textId="77777777" w:rsidR="00312065" w:rsidRPr="00107649" w:rsidRDefault="00312065" w:rsidP="0038024C">
            <w:pPr>
              <w:rPr>
                <w:rFonts w:ascii="Calibri" w:eastAsia="Times New Roman" w:hAnsi="Calibri" w:cs="Times New Roman"/>
                <w:color w:val="000000"/>
                <w:lang w:eastAsia="en-NZ"/>
              </w:rPr>
            </w:pPr>
            <w:r w:rsidRPr="000E4666">
              <w:t>(2.76)</w:t>
            </w:r>
          </w:p>
        </w:tc>
        <w:tc>
          <w:tcPr>
            <w:tcW w:w="1133" w:type="dxa"/>
          </w:tcPr>
          <w:p w14:paraId="200207CF" w14:textId="77777777" w:rsidR="00312065" w:rsidRPr="00380115" w:rsidRDefault="00312065" w:rsidP="0038024C">
            <w:r w:rsidRPr="00380115">
              <w:t>0.</w:t>
            </w:r>
            <w:r w:rsidRPr="007801A8">
              <w:t>276</w:t>
            </w:r>
            <w:r w:rsidRPr="00380115">
              <w:t>**</w:t>
            </w:r>
          </w:p>
          <w:p w14:paraId="08F2440E" w14:textId="77777777" w:rsidR="00312065" w:rsidRPr="00380115" w:rsidRDefault="00312065" w:rsidP="0038024C">
            <w:pPr>
              <w:rPr>
                <w:rFonts w:ascii="Calibri" w:eastAsia="Times New Roman" w:hAnsi="Calibri" w:cs="Times New Roman"/>
                <w:color w:val="000000"/>
                <w:lang w:eastAsia="en-NZ"/>
              </w:rPr>
            </w:pPr>
            <w:r w:rsidRPr="00380115">
              <w:t>(2.</w:t>
            </w:r>
            <w:r w:rsidRPr="007801A8">
              <w:t>21</w:t>
            </w:r>
            <w:r w:rsidRPr="00380115">
              <w:t>)</w:t>
            </w:r>
          </w:p>
        </w:tc>
        <w:tc>
          <w:tcPr>
            <w:tcW w:w="1243" w:type="dxa"/>
            <w:noWrap/>
            <w:hideMark/>
          </w:tcPr>
          <w:p w14:paraId="512974DF"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w:t>
            </w:r>
            <w:r w:rsidRPr="007801A8">
              <w:rPr>
                <w:rFonts w:ascii="Calibri" w:eastAsia="Times New Roman" w:hAnsi="Calibri" w:cs="Times New Roman"/>
                <w:color w:val="000000"/>
                <w:lang w:eastAsia="en-NZ"/>
              </w:rPr>
              <w:t>71</w:t>
            </w:r>
          </w:p>
          <w:p w14:paraId="3E757A29"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w:t>
            </w:r>
            <w:r w:rsidRPr="007801A8">
              <w:rPr>
                <w:rFonts w:ascii="Calibri" w:eastAsia="Times New Roman" w:hAnsi="Calibri" w:cs="Times New Roman"/>
                <w:color w:val="000000"/>
                <w:lang w:eastAsia="en-NZ"/>
              </w:rPr>
              <w:t>06</w:t>
            </w:r>
            <w:r w:rsidRPr="00107649">
              <w:rPr>
                <w:rFonts w:ascii="Calibri" w:eastAsia="Times New Roman" w:hAnsi="Calibri" w:cs="Times New Roman"/>
                <w:color w:val="000000"/>
                <w:lang w:eastAsia="en-NZ"/>
              </w:rPr>
              <w:t>)</w:t>
            </w:r>
          </w:p>
        </w:tc>
        <w:tc>
          <w:tcPr>
            <w:tcW w:w="1354" w:type="dxa"/>
          </w:tcPr>
          <w:p w14:paraId="3BDC46FE" w14:textId="77777777" w:rsidR="00312065" w:rsidRPr="000E4666" w:rsidRDefault="00312065" w:rsidP="0038024C">
            <w:r w:rsidRPr="000E4666">
              <w:t>-0.037</w:t>
            </w:r>
          </w:p>
          <w:p w14:paraId="0C9C5EC9" w14:textId="77777777" w:rsidR="00312065" w:rsidRPr="00107649" w:rsidRDefault="00312065" w:rsidP="0038024C">
            <w:r w:rsidRPr="000E4666">
              <w:t>(-1.26)</w:t>
            </w:r>
          </w:p>
        </w:tc>
        <w:tc>
          <w:tcPr>
            <w:tcW w:w="1212" w:type="dxa"/>
            <w:gridSpan w:val="2"/>
          </w:tcPr>
          <w:p w14:paraId="65ECF6B2" w14:textId="77777777" w:rsidR="00312065" w:rsidRPr="009A734F" w:rsidRDefault="00312065" w:rsidP="0038024C">
            <w:r w:rsidRPr="009A734F">
              <w:t>-0.0</w:t>
            </w:r>
            <w:r w:rsidRPr="007801A8">
              <w:t>50*</w:t>
            </w:r>
          </w:p>
          <w:p w14:paraId="4EC0F4E9" w14:textId="77777777" w:rsidR="00312065" w:rsidRPr="009A734F" w:rsidRDefault="00312065" w:rsidP="0038024C">
            <w:r w:rsidRPr="009A734F">
              <w:t>(-1.</w:t>
            </w:r>
            <w:r w:rsidRPr="007801A8">
              <w:t>70</w:t>
            </w:r>
            <w:r w:rsidRPr="009A734F">
              <w:t>)</w:t>
            </w:r>
          </w:p>
        </w:tc>
      </w:tr>
      <w:tr w:rsidR="00312065" w:rsidRPr="00A21800" w14:paraId="32738C68" w14:textId="77777777" w:rsidTr="0038024C">
        <w:trPr>
          <w:trHeight w:val="288"/>
        </w:trPr>
        <w:tc>
          <w:tcPr>
            <w:tcW w:w="1943" w:type="dxa"/>
            <w:noWrap/>
            <w:hideMark/>
          </w:tcPr>
          <w:p w14:paraId="6B76C936"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Debt</w:t>
            </w:r>
          </w:p>
        </w:tc>
        <w:tc>
          <w:tcPr>
            <w:tcW w:w="1243" w:type="dxa"/>
          </w:tcPr>
          <w:p w14:paraId="47121687"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-0.100***</w:t>
            </w:r>
          </w:p>
          <w:p w14:paraId="1BF700E7"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(-3.60)</w:t>
            </w:r>
          </w:p>
        </w:tc>
        <w:tc>
          <w:tcPr>
            <w:tcW w:w="1354" w:type="dxa"/>
          </w:tcPr>
          <w:p w14:paraId="6DEA58CF" w14:textId="77777777" w:rsidR="00312065" w:rsidRPr="000E4666" w:rsidRDefault="00312065" w:rsidP="0038024C">
            <w:r w:rsidRPr="000E4666">
              <w:t>-0.058*</w:t>
            </w:r>
          </w:p>
          <w:p w14:paraId="525DF48F" w14:textId="77777777" w:rsidR="00312065" w:rsidRPr="00107649" w:rsidRDefault="00312065" w:rsidP="0038024C">
            <w:pPr>
              <w:rPr>
                <w:rFonts w:ascii="Calibri" w:eastAsia="Times New Roman" w:hAnsi="Calibri" w:cs="Times New Roman"/>
                <w:color w:val="000000"/>
                <w:lang w:eastAsia="en-NZ"/>
              </w:rPr>
            </w:pPr>
            <w:r w:rsidRPr="000E4666">
              <w:t>(-1.70)</w:t>
            </w:r>
          </w:p>
        </w:tc>
        <w:tc>
          <w:tcPr>
            <w:tcW w:w="1133" w:type="dxa"/>
          </w:tcPr>
          <w:p w14:paraId="797BF96C" w14:textId="77777777" w:rsidR="00312065" w:rsidRPr="00380115" w:rsidRDefault="00312065" w:rsidP="0038024C">
            <w:r w:rsidRPr="00380115">
              <w:t>-0.0</w:t>
            </w:r>
            <w:r w:rsidRPr="007801A8">
              <w:t>22</w:t>
            </w:r>
          </w:p>
          <w:p w14:paraId="241C9E85" w14:textId="77777777" w:rsidR="00312065" w:rsidRPr="00380115" w:rsidRDefault="00312065" w:rsidP="0038024C">
            <w:pPr>
              <w:rPr>
                <w:rFonts w:ascii="Calibri" w:eastAsia="Times New Roman" w:hAnsi="Calibri" w:cs="Times New Roman"/>
                <w:color w:val="000000"/>
                <w:lang w:eastAsia="en-NZ"/>
              </w:rPr>
            </w:pPr>
            <w:r w:rsidRPr="00380115">
              <w:t>(-</w:t>
            </w:r>
            <w:r w:rsidRPr="007801A8">
              <w:t>0.81</w:t>
            </w:r>
            <w:r w:rsidRPr="00380115">
              <w:t>)</w:t>
            </w:r>
          </w:p>
        </w:tc>
        <w:tc>
          <w:tcPr>
            <w:tcW w:w="1243" w:type="dxa"/>
            <w:noWrap/>
            <w:hideMark/>
          </w:tcPr>
          <w:p w14:paraId="78FA189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w:t>
            </w:r>
            <w:r w:rsidRPr="007801A8">
              <w:rPr>
                <w:rFonts w:ascii="Calibri" w:eastAsia="Times New Roman" w:hAnsi="Calibri" w:cs="Times New Roman"/>
                <w:color w:val="000000"/>
                <w:lang w:eastAsia="en-NZ"/>
              </w:rPr>
              <w:t>38**</w:t>
            </w:r>
          </w:p>
          <w:p w14:paraId="2D8DAB7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2.27</w:t>
            </w:r>
            <w:r w:rsidRPr="00107649">
              <w:rPr>
                <w:rFonts w:ascii="Calibri" w:eastAsia="Times New Roman" w:hAnsi="Calibri" w:cs="Times New Roman"/>
                <w:color w:val="000000"/>
                <w:lang w:eastAsia="en-NZ"/>
              </w:rPr>
              <w:t>)</w:t>
            </w:r>
          </w:p>
        </w:tc>
        <w:tc>
          <w:tcPr>
            <w:tcW w:w="1354" w:type="dxa"/>
          </w:tcPr>
          <w:p w14:paraId="2EF731EC" w14:textId="77777777" w:rsidR="00312065" w:rsidRPr="000E4666" w:rsidRDefault="00312065" w:rsidP="0038024C">
            <w:r w:rsidRPr="000E4666">
              <w:t>-0.027</w:t>
            </w:r>
          </w:p>
          <w:p w14:paraId="5C42E7B9" w14:textId="77777777" w:rsidR="00312065" w:rsidRPr="00107649" w:rsidRDefault="00312065" w:rsidP="0038024C">
            <w:r w:rsidRPr="000E4666">
              <w:t>(-1.42)</w:t>
            </w:r>
          </w:p>
        </w:tc>
        <w:tc>
          <w:tcPr>
            <w:tcW w:w="1212" w:type="dxa"/>
            <w:gridSpan w:val="2"/>
          </w:tcPr>
          <w:p w14:paraId="0DC09EDE" w14:textId="77777777" w:rsidR="00312065" w:rsidRPr="009A734F" w:rsidRDefault="00312065" w:rsidP="0038024C">
            <w:r w:rsidRPr="009A734F">
              <w:t>-0.02</w:t>
            </w:r>
            <w:r w:rsidRPr="007801A8">
              <w:t>6</w:t>
            </w:r>
          </w:p>
          <w:p w14:paraId="319B6B63" w14:textId="77777777" w:rsidR="00312065" w:rsidRPr="009A734F" w:rsidRDefault="00312065" w:rsidP="0038024C">
            <w:r w:rsidRPr="009A734F">
              <w:t>(-1.</w:t>
            </w:r>
            <w:r w:rsidRPr="007801A8">
              <w:t>24</w:t>
            </w:r>
            <w:r w:rsidRPr="009A734F">
              <w:t>)</w:t>
            </w:r>
          </w:p>
        </w:tc>
      </w:tr>
      <w:tr w:rsidR="00312065" w:rsidRPr="00A21800" w14:paraId="3D9834E1" w14:textId="77777777" w:rsidTr="0038024C">
        <w:trPr>
          <w:gridAfter w:val="1"/>
          <w:wAfter w:w="284" w:type="dxa"/>
          <w:trHeight w:val="288"/>
        </w:trPr>
        <w:tc>
          <w:tcPr>
            <w:tcW w:w="1943" w:type="dxa"/>
            <w:noWrap/>
            <w:hideMark/>
          </w:tcPr>
          <w:p w14:paraId="15DE4AA6"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CFD</w:t>
            </w:r>
            <w:r w:rsidRPr="00B376A1">
              <w:rPr>
                <w:rFonts w:ascii="Calibri" w:eastAsia="Times New Roman" w:hAnsi="Calibri" w:cs="Times New Roman"/>
                <w:i/>
                <w:color w:val="000000"/>
                <w:vertAlign w:val="subscript"/>
                <w:lang w:eastAsia="en-NZ"/>
              </w:rPr>
              <w:t>H</w:t>
            </w:r>
          </w:p>
        </w:tc>
        <w:tc>
          <w:tcPr>
            <w:tcW w:w="1243" w:type="dxa"/>
          </w:tcPr>
          <w:p w14:paraId="0BE2861E"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0.018</w:t>
            </w:r>
          </w:p>
          <w:p w14:paraId="0C3FEF2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(1.07)</w:t>
            </w:r>
          </w:p>
        </w:tc>
        <w:tc>
          <w:tcPr>
            <w:tcW w:w="1354" w:type="dxa"/>
          </w:tcPr>
          <w:p w14:paraId="0BC5DB13" w14:textId="77777777" w:rsidR="00312065" w:rsidRPr="000E4666" w:rsidRDefault="00312065" w:rsidP="0038024C">
            <w:r w:rsidRPr="000E4666">
              <w:t>0.023</w:t>
            </w:r>
          </w:p>
          <w:p w14:paraId="407214B6" w14:textId="77777777" w:rsidR="00312065" w:rsidRPr="00107649" w:rsidRDefault="00312065" w:rsidP="0038024C">
            <w:pPr>
              <w:rPr>
                <w:rFonts w:ascii="Calibri" w:eastAsia="Times New Roman" w:hAnsi="Calibri" w:cs="Times New Roman"/>
                <w:color w:val="000000"/>
                <w:lang w:eastAsia="en-NZ"/>
              </w:rPr>
            </w:pPr>
            <w:r w:rsidRPr="000E4666">
              <w:t>(1.53)</w:t>
            </w:r>
          </w:p>
        </w:tc>
        <w:tc>
          <w:tcPr>
            <w:tcW w:w="1133" w:type="dxa"/>
          </w:tcPr>
          <w:p w14:paraId="7391556B" w14:textId="77777777" w:rsidR="00312065" w:rsidRPr="00380115" w:rsidRDefault="00312065" w:rsidP="0038024C">
            <w:r w:rsidRPr="00380115">
              <w:t>0.0</w:t>
            </w:r>
            <w:r w:rsidRPr="007801A8">
              <w:t>0</w:t>
            </w:r>
            <w:r w:rsidRPr="00380115">
              <w:t>3</w:t>
            </w:r>
          </w:p>
          <w:p w14:paraId="2986D8C4" w14:textId="77777777" w:rsidR="00312065" w:rsidRPr="00380115" w:rsidRDefault="00312065" w:rsidP="0038024C">
            <w:pPr>
              <w:rPr>
                <w:rFonts w:ascii="Calibri" w:eastAsia="Times New Roman" w:hAnsi="Calibri" w:cs="Times New Roman"/>
                <w:color w:val="000000"/>
                <w:lang w:eastAsia="en-NZ"/>
              </w:rPr>
            </w:pPr>
            <w:r w:rsidRPr="00380115">
              <w:t>(</w:t>
            </w:r>
            <w:r w:rsidRPr="007801A8">
              <w:t>0.20</w:t>
            </w:r>
            <w:r w:rsidRPr="00380115">
              <w:t>)</w:t>
            </w:r>
          </w:p>
        </w:tc>
        <w:tc>
          <w:tcPr>
            <w:tcW w:w="1243" w:type="dxa"/>
            <w:noWrap/>
            <w:hideMark/>
          </w:tcPr>
          <w:p w14:paraId="3536AA7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w:t>
            </w:r>
            <w:r w:rsidRPr="007801A8">
              <w:rPr>
                <w:rFonts w:ascii="Calibri" w:eastAsia="Times New Roman" w:hAnsi="Calibri" w:cs="Times New Roman"/>
                <w:color w:val="000000"/>
                <w:lang w:eastAsia="en-NZ"/>
              </w:rPr>
              <w:t>8</w:t>
            </w:r>
          </w:p>
          <w:p w14:paraId="0D35D00D"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3</w:t>
            </w:r>
            <w:r w:rsidRPr="00107649">
              <w:rPr>
                <w:rFonts w:ascii="Calibri" w:eastAsia="Times New Roman" w:hAnsi="Calibri" w:cs="Times New Roman"/>
                <w:color w:val="000000"/>
                <w:lang w:eastAsia="en-NZ"/>
              </w:rPr>
              <w:t>0)</w:t>
            </w:r>
          </w:p>
        </w:tc>
        <w:tc>
          <w:tcPr>
            <w:tcW w:w="1354" w:type="dxa"/>
          </w:tcPr>
          <w:p w14:paraId="647B4721" w14:textId="77777777" w:rsidR="00312065" w:rsidRPr="000E4666" w:rsidRDefault="00312065" w:rsidP="0038024C">
            <w:r w:rsidRPr="000E4666">
              <w:t>0.001</w:t>
            </w:r>
          </w:p>
          <w:p w14:paraId="6864B6F8" w14:textId="77777777" w:rsidR="00312065" w:rsidRPr="00107649" w:rsidRDefault="00312065" w:rsidP="0038024C">
            <w:r w:rsidRPr="000E4666">
              <w:t>(0.05)</w:t>
            </w:r>
          </w:p>
        </w:tc>
        <w:tc>
          <w:tcPr>
            <w:tcW w:w="928" w:type="dxa"/>
          </w:tcPr>
          <w:p w14:paraId="7ACC3D34" w14:textId="77777777" w:rsidR="00312065" w:rsidRPr="009A734F" w:rsidRDefault="00312065" w:rsidP="0038024C">
            <w:r w:rsidRPr="007801A8">
              <w:t>-</w:t>
            </w:r>
            <w:r w:rsidRPr="009A734F">
              <w:t>0.00</w:t>
            </w:r>
            <w:r w:rsidRPr="007801A8">
              <w:t>8</w:t>
            </w:r>
          </w:p>
          <w:p w14:paraId="0854F06D" w14:textId="77777777" w:rsidR="00312065" w:rsidRPr="009A734F" w:rsidRDefault="00312065" w:rsidP="0038024C">
            <w:r w:rsidRPr="009A734F">
              <w:t>(</w:t>
            </w:r>
            <w:r w:rsidRPr="007801A8">
              <w:t>-</w:t>
            </w:r>
            <w:r w:rsidRPr="009A734F">
              <w:t>0.</w:t>
            </w:r>
            <w:r w:rsidRPr="007801A8">
              <w:t>4</w:t>
            </w:r>
            <w:r w:rsidRPr="009A734F">
              <w:t>5)</w:t>
            </w:r>
          </w:p>
        </w:tc>
      </w:tr>
      <w:tr w:rsidR="00312065" w:rsidRPr="00A21800" w14:paraId="6EACB26F" w14:textId="77777777" w:rsidTr="0038024C">
        <w:trPr>
          <w:trHeight w:val="288"/>
        </w:trPr>
        <w:tc>
          <w:tcPr>
            <w:tcW w:w="1943" w:type="dxa"/>
            <w:noWrap/>
            <w:hideMark/>
          </w:tcPr>
          <w:p w14:paraId="133166D2" w14:textId="77777777" w:rsidR="00312065" w:rsidRPr="00B376A1" w:rsidRDefault="00312065" w:rsidP="0038024C">
            <w:pPr>
              <w:rPr>
                <w:rFonts w:ascii="Calibri" w:eastAsia="Times New Roman" w:hAnsi="Calibri" w:cs="Times New Roman"/>
                <w:i/>
                <w:color w:val="000000"/>
                <w:vertAlign w:val="subscript"/>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L</w:t>
            </w:r>
          </w:p>
        </w:tc>
        <w:tc>
          <w:tcPr>
            <w:tcW w:w="1243" w:type="dxa"/>
          </w:tcPr>
          <w:p w14:paraId="694239EA"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0.007</w:t>
            </w:r>
          </w:p>
          <w:p w14:paraId="2CB4A59E"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(0.66)</w:t>
            </w:r>
          </w:p>
        </w:tc>
        <w:tc>
          <w:tcPr>
            <w:tcW w:w="1354" w:type="dxa"/>
          </w:tcPr>
          <w:p w14:paraId="29426F8C" w14:textId="77777777" w:rsidR="00312065" w:rsidRPr="000E4666" w:rsidRDefault="00312065" w:rsidP="0038024C">
            <w:r w:rsidRPr="000E4666">
              <w:t>0.014</w:t>
            </w:r>
          </w:p>
          <w:p w14:paraId="74BE1CD5" w14:textId="77777777" w:rsidR="00312065" w:rsidRPr="00107649" w:rsidRDefault="00312065" w:rsidP="0038024C">
            <w:pPr>
              <w:rPr>
                <w:rFonts w:ascii="Calibri" w:eastAsia="Times New Roman" w:hAnsi="Calibri" w:cs="Times New Roman"/>
                <w:color w:val="000000"/>
                <w:lang w:eastAsia="en-NZ"/>
              </w:rPr>
            </w:pPr>
            <w:r w:rsidRPr="000E4666">
              <w:t>(1.22)</w:t>
            </w:r>
          </w:p>
        </w:tc>
        <w:tc>
          <w:tcPr>
            <w:tcW w:w="1133" w:type="dxa"/>
          </w:tcPr>
          <w:p w14:paraId="3C650274" w14:textId="77777777" w:rsidR="00312065" w:rsidRPr="00380115" w:rsidRDefault="00312065" w:rsidP="0038024C">
            <w:r w:rsidRPr="00380115">
              <w:t>0.014</w:t>
            </w:r>
          </w:p>
          <w:p w14:paraId="0A1BE559" w14:textId="77777777" w:rsidR="00312065" w:rsidRPr="00380115" w:rsidRDefault="00312065" w:rsidP="0038024C">
            <w:pPr>
              <w:rPr>
                <w:rFonts w:ascii="Calibri" w:eastAsia="Times New Roman" w:hAnsi="Calibri" w:cs="Times New Roman"/>
                <w:color w:val="000000"/>
                <w:lang w:eastAsia="en-NZ"/>
              </w:rPr>
            </w:pPr>
            <w:r w:rsidRPr="00380115">
              <w:t>(1.22)</w:t>
            </w:r>
          </w:p>
        </w:tc>
        <w:tc>
          <w:tcPr>
            <w:tcW w:w="1243" w:type="dxa"/>
            <w:noWrap/>
            <w:hideMark/>
          </w:tcPr>
          <w:p w14:paraId="6B3A4C90"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w:t>
            </w:r>
            <w:r w:rsidRPr="007801A8">
              <w:rPr>
                <w:rFonts w:ascii="Calibri" w:eastAsia="Times New Roman" w:hAnsi="Calibri" w:cs="Times New Roman"/>
                <w:color w:val="000000"/>
                <w:lang w:eastAsia="en-NZ"/>
              </w:rPr>
              <w:t>5</w:t>
            </w:r>
          </w:p>
          <w:p w14:paraId="36982A39"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53</w:t>
            </w:r>
            <w:r w:rsidRPr="00107649">
              <w:rPr>
                <w:rFonts w:ascii="Calibri" w:eastAsia="Times New Roman" w:hAnsi="Calibri" w:cs="Times New Roman"/>
                <w:color w:val="000000"/>
                <w:lang w:eastAsia="en-NZ"/>
              </w:rPr>
              <w:t>)</w:t>
            </w:r>
          </w:p>
        </w:tc>
        <w:tc>
          <w:tcPr>
            <w:tcW w:w="1354" w:type="dxa"/>
          </w:tcPr>
          <w:p w14:paraId="06989491" w14:textId="77777777" w:rsidR="00312065" w:rsidRPr="000E4666" w:rsidRDefault="00312065" w:rsidP="0038024C">
            <w:r w:rsidRPr="000E4666">
              <w:t>-0.003</w:t>
            </w:r>
          </w:p>
          <w:p w14:paraId="26883992" w14:textId="77777777" w:rsidR="00312065" w:rsidRPr="00107649" w:rsidRDefault="00312065" w:rsidP="0038024C">
            <w:r w:rsidRPr="000E4666">
              <w:t>(-0.35)</w:t>
            </w:r>
          </w:p>
        </w:tc>
        <w:tc>
          <w:tcPr>
            <w:tcW w:w="1212" w:type="dxa"/>
            <w:gridSpan w:val="2"/>
          </w:tcPr>
          <w:p w14:paraId="53156709" w14:textId="77777777" w:rsidR="00312065" w:rsidRPr="009A734F" w:rsidRDefault="00312065" w:rsidP="0038024C">
            <w:r w:rsidRPr="009A734F">
              <w:t>-0.003</w:t>
            </w:r>
          </w:p>
          <w:p w14:paraId="771EABAB" w14:textId="77777777" w:rsidR="00312065" w:rsidRPr="009A734F" w:rsidRDefault="00312065" w:rsidP="0038024C">
            <w:r w:rsidRPr="009A734F">
              <w:t>(-0.3</w:t>
            </w:r>
            <w:r w:rsidRPr="007801A8">
              <w:t>2</w:t>
            </w:r>
            <w:r w:rsidRPr="009A734F">
              <w:t>)</w:t>
            </w:r>
          </w:p>
        </w:tc>
      </w:tr>
      <w:tr w:rsidR="00312065" w:rsidRPr="00A21800" w14:paraId="7F193F4B" w14:textId="77777777" w:rsidTr="0038024C">
        <w:trPr>
          <w:trHeight w:val="288"/>
        </w:trPr>
        <w:tc>
          <w:tcPr>
            <w:tcW w:w="1943" w:type="dxa"/>
            <w:noWrap/>
            <w:hideMark/>
          </w:tcPr>
          <w:p w14:paraId="72463B24" w14:textId="77777777" w:rsidR="00312065" w:rsidRPr="00B376A1" w:rsidRDefault="00312065" w:rsidP="0038024C">
            <w:pPr>
              <w:rPr>
                <w:rFonts w:ascii="Calibri" w:eastAsia="Times New Roman" w:hAnsi="Calibri" w:cs="Times New Roman"/>
                <w:i/>
                <w:color w:val="000000"/>
                <w:vertAlign w:val="subscript"/>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 xml:space="preserve">L </w:t>
            </w:r>
            <w:r w:rsidRPr="00B376A1">
              <w:rPr>
                <w:rFonts w:ascii="Calibri" w:eastAsia="Times New Roman" w:hAnsi="Calibri" w:cs="Calibri"/>
                <w:i/>
                <w:color w:val="000000"/>
                <w:lang w:eastAsia="en-NZ"/>
              </w:rPr>
              <w:t>×</w:t>
            </w:r>
            <w:r w:rsidRPr="00B376A1">
              <w:rPr>
                <w:rFonts w:ascii="Calibri" w:eastAsia="Times New Roman" w:hAnsi="Calibri" w:cs="Times New Roman"/>
                <w:i/>
                <w:color w:val="000000"/>
                <w:lang w:eastAsia="en-NZ"/>
              </w:rPr>
              <w:t xml:space="preserve"> CFD</w:t>
            </w:r>
            <w:r w:rsidRPr="00B376A1">
              <w:rPr>
                <w:rFonts w:ascii="Calibri" w:eastAsia="Times New Roman" w:hAnsi="Calibri" w:cs="Times New Roman"/>
                <w:i/>
                <w:color w:val="000000"/>
                <w:vertAlign w:val="subscript"/>
                <w:lang w:eastAsia="en-NZ"/>
              </w:rPr>
              <w:t>H</w:t>
            </w:r>
          </w:p>
        </w:tc>
        <w:tc>
          <w:tcPr>
            <w:tcW w:w="1243" w:type="dxa"/>
          </w:tcPr>
          <w:p w14:paraId="0B57C6CC"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-0.020</w:t>
            </w:r>
          </w:p>
          <w:p w14:paraId="4172372F"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(-1.10)</w:t>
            </w:r>
          </w:p>
        </w:tc>
        <w:tc>
          <w:tcPr>
            <w:tcW w:w="1354" w:type="dxa"/>
          </w:tcPr>
          <w:p w14:paraId="55BBCCF5" w14:textId="77777777" w:rsidR="00312065" w:rsidRPr="000E4666" w:rsidRDefault="00312065" w:rsidP="0038024C">
            <w:r w:rsidRPr="000E4666">
              <w:t>-0.025</w:t>
            </w:r>
          </w:p>
          <w:p w14:paraId="20B2A667" w14:textId="77777777" w:rsidR="00312065" w:rsidRPr="00107649" w:rsidRDefault="00312065" w:rsidP="0038024C">
            <w:pPr>
              <w:rPr>
                <w:rFonts w:ascii="Calibri" w:eastAsia="Times New Roman" w:hAnsi="Calibri" w:cs="Times New Roman"/>
                <w:color w:val="000000"/>
                <w:lang w:eastAsia="en-NZ"/>
              </w:rPr>
            </w:pPr>
            <w:r w:rsidRPr="000E4666">
              <w:t>(-1.57)</w:t>
            </w:r>
          </w:p>
        </w:tc>
        <w:tc>
          <w:tcPr>
            <w:tcW w:w="1133" w:type="dxa"/>
          </w:tcPr>
          <w:p w14:paraId="00A67744" w14:textId="77777777" w:rsidR="00312065" w:rsidRPr="00380115" w:rsidRDefault="00312065" w:rsidP="0038024C">
            <w:r w:rsidRPr="00380115">
              <w:t>-0.0</w:t>
            </w:r>
            <w:r w:rsidRPr="007801A8">
              <w:t>07</w:t>
            </w:r>
          </w:p>
          <w:p w14:paraId="0D3A27E0" w14:textId="77777777" w:rsidR="00312065" w:rsidRPr="00380115" w:rsidRDefault="00312065" w:rsidP="0038024C">
            <w:pPr>
              <w:rPr>
                <w:rFonts w:ascii="Calibri" w:eastAsia="Times New Roman" w:hAnsi="Calibri" w:cs="Times New Roman"/>
                <w:color w:val="000000"/>
                <w:lang w:eastAsia="en-NZ"/>
              </w:rPr>
            </w:pPr>
            <w:r w:rsidRPr="00380115">
              <w:t>(-</w:t>
            </w:r>
            <w:r w:rsidRPr="007801A8">
              <w:t>0.44</w:t>
            </w:r>
            <w:r w:rsidRPr="00380115">
              <w:t>)</w:t>
            </w:r>
          </w:p>
        </w:tc>
        <w:tc>
          <w:tcPr>
            <w:tcW w:w="1243" w:type="dxa"/>
            <w:noWrap/>
            <w:hideMark/>
          </w:tcPr>
          <w:p w14:paraId="0B186A6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0.01</w:t>
            </w:r>
            <w:r w:rsidRPr="007801A8">
              <w:rPr>
                <w:rFonts w:ascii="Calibri" w:eastAsia="Times New Roman" w:hAnsi="Calibri" w:cs="Times New Roman"/>
                <w:color w:val="000000"/>
                <w:lang w:eastAsia="en-NZ"/>
              </w:rPr>
              <w:t>0</w:t>
            </w:r>
          </w:p>
          <w:p w14:paraId="42B604CF"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36</w:t>
            </w:r>
            <w:r w:rsidRPr="00107649">
              <w:rPr>
                <w:rFonts w:ascii="Calibri" w:eastAsia="Times New Roman" w:hAnsi="Calibri" w:cs="Times New Roman"/>
                <w:color w:val="000000"/>
                <w:lang w:eastAsia="en-NZ"/>
              </w:rPr>
              <w:t>)</w:t>
            </w:r>
          </w:p>
        </w:tc>
        <w:tc>
          <w:tcPr>
            <w:tcW w:w="1354" w:type="dxa"/>
          </w:tcPr>
          <w:p w14:paraId="5BE35B2B" w14:textId="77777777" w:rsidR="00312065" w:rsidRPr="000E4666" w:rsidRDefault="00312065" w:rsidP="0038024C">
            <w:r w:rsidRPr="000E4666">
              <w:t>0.014</w:t>
            </w:r>
          </w:p>
          <w:p w14:paraId="3C2D5A3C" w14:textId="77777777" w:rsidR="00312065" w:rsidRPr="00107649" w:rsidRDefault="00312065" w:rsidP="0038024C">
            <w:r w:rsidRPr="000E4666">
              <w:t>(0.75)</w:t>
            </w:r>
          </w:p>
        </w:tc>
        <w:tc>
          <w:tcPr>
            <w:tcW w:w="1212" w:type="dxa"/>
            <w:gridSpan w:val="2"/>
          </w:tcPr>
          <w:p w14:paraId="32EB92EE" w14:textId="77777777" w:rsidR="00312065" w:rsidRPr="009A734F" w:rsidRDefault="00312065" w:rsidP="0038024C">
            <w:r w:rsidRPr="009A734F">
              <w:t>0.01</w:t>
            </w:r>
            <w:r w:rsidRPr="007801A8">
              <w:t>9</w:t>
            </w:r>
          </w:p>
          <w:p w14:paraId="127073DA" w14:textId="77777777" w:rsidR="00312065" w:rsidRPr="009A734F" w:rsidRDefault="00312065" w:rsidP="0038024C">
            <w:r w:rsidRPr="009A734F">
              <w:t>(</w:t>
            </w:r>
            <w:r w:rsidRPr="007801A8">
              <w:t>1.03</w:t>
            </w:r>
            <w:r w:rsidRPr="009A734F">
              <w:t>)</w:t>
            </w:r>
          </w:p>
        </w:tc>
      </w:tr>
      <w:tr w:rsidR="00312065" w:rsidRPr="00A21800" w14:paraId="6D1CC287" w14:textId="77777777" w:rsidTr="0038024C">
        <w:trPr>
          <w:trHeight w:val="288"/>
        </w:trPr>
        <w:tc>
          <w:tcPr>
            <w:tcW w:w="1943" w:type="dxa"/>
            <w:noWrap/>
          </w:tcPr>
          <w:p w14:paraId="069E1CEE"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LnAssets</w:t>
            </w:r>
          </w:p>
        </w:tc>
        <w:tc>
          <w:tcPr>
            <w:tcW w:w="1243" w:type="dxa"/>
          </w:tcPr>
          <w:p w14:paraId="7AC89386"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0.003</w:t>
            </w:r>
          </w:p>
          <w:p w14:paraId="7BD07D4D"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(0.85)</w:t>
            </w:r>
          </w:p>
        </w:tc>
        <w:tc>
          <w:tcPr>
            <w:tcW w:w="1354" w:type="dxa"/>
          </w:tcPr>
          <w:p w14:paraId="0863FC78" w14:textId="77777777" w:rsidR="00312065" w:rsidRPr="000E4666" w:rsidRDefault="00312065" w:rsidP="0038024C">
            <w:r w:rsidRPr="000E4666">
              <w:t>0.004</w:t>
            </w:r>
          </w:p>
          <w:p w14:paraId="7ED9470E" w14:textId="77777777" w:rsidR="00312065" w:rsidRPr="00107649" w:rsidRDefault="00312065" w:rsidP="0038024C">
            <w:pPr>
              <w:rPr>
                <w:rFonts w:ascii="Calibri" w:eastAsia="Times New Roman" w:hAnsi="Calibri" w:cs="Times New Roman"/>
                <w:color w:val="000000"/>
                <w:lang w:eastAsia="en-NZ"/>
              </w:rPr>
            </w:pPr>
            <w:r w:rsidRPr="000E4666">
              <w:t>(0.76)</w:t>
            </w:r>
          </w:p>
        </w:tc>
        <w:tc>
          <w:tcPr>
            <w:tcW w:w="1133" w:type="dxa"/>
          </w:tcPr>
          <w:p w14:paraId="7087DE84" w14:textId="77777777" w:rsidR="00312065" w:rsidRPr="00380115" w:rsidRDefault="00312065" w:rsidP="0038024C">
            <w:r w:rsidRPr="007801A8">
              <w:t>-</w:t>
            </w:r>
            <w:r w:rsidRPr="00380115">
              <w:t>0.00</w:t>
            </w:r>
            <w:r w:rsidRPr="007801A8">
              <w:t>0</w:t>
            </w:r>
          </w:p>
          <w:p w14:paraId="277066AA" w14:textId="77777777" w:rsidR="00312065" w:rsidRPr="00380115" w:rsidRDefault="00312065" w:rsidP="0038024C">
            <w:pPr>
              <w:rPr>
                <w:rFonts w:ascii="Calibri" w:eastAsia="Times New Roman" w:hAnsi="Calibri" w:cs="Times New Roman"/>
                <w:color w:val="000000"/>
                <w:lang w:eastAsia="en-NZ"/>
              </w:rPr>
            </w:pPr>
            <w:r w:rsidRPr="00380115">
              <w:t>(</w:t>
            </w:r>
            <w:r w:rsidRPr="007801A8">
              <w:t>-</w:t>
            </w:r>
            <w:r w:rsidRPr="00380115">
              <w:t>0.</w:t>
            </w:r>
            <w:r w:rsidRPr="007801A8">
              <w:t>12</w:t>
            </w:r>
            <w:r w:rsidRPr="00380115">
              <w:t>)</w:t>
            </w:r>
          </w:p>
        </w:tc>
        <w:tc>
          <w:tcPr>
            <w:tcW w:w="1243" w:type="dxa"/>
            <w:noWrap/>
          </w:tcPr>
          <w:p w14:paraId="1E1F5337"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w:t>
            </w:r>
            <w:r w:rsidRPr="007801A8">
              <w:rPr>
                <w:rFonts w:ascii="Calibri" w:eastAsia="Times New Roman" w:hAnsi="Calibri" w:cs="Times New Roman"/>
                <w:color w:val="000000"/>
                <w:lang w:eastAsia="en-NZ"/>
              </w:rPr>
              <w:t>2</w:t>
            </w:r>
          </w:p>
          <w:p w14:paraId="32C81516"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w:t>
            </w:r>
            <w:r w:rsidRPr="007801A8">
              <w:rPr>
                <w:rFonts w:ascii="Calibri" w:eastAsia="Times New Roman" w:hAnsi="Calibri" w:cs="Times New Roman"/>
                <w:color w:val="000000"/>
                <w:lang w:eastAsia="en-NZ"/>
              </w:rPr>
              <w:t>20</w:t>
            </w:r>
            <w:r w:rsidRPr="00107649">
              <w:rPr>
                <w:rFonts w:ascii="Calibri" w:eastAsia="Times New Roman" w:hAnsi="Calibri" w:cs="Times New Roman"/>
                <w:color w:val="000000"/>
                <w:lang w:eastAsia="en-NZ"/>
              </w:rPr>
              <w:t>)</w:t>
            </w:r>
          </w:p>
        </w:tc>
        <w:tc>
          <w:tcPr>
            <w:tcW w:w="1354" w:type="dxa"/>
          </w:tcPr>
          <w:p w14:paraId="40DDB7FF" w14:textId="77777777" w:rsidR="00312065" w:rsidRPr="000E4666" w:rsidRDefault="00312065" w:rsidP="0038024C">
            <w:r w:rsidRPr="000E4666">
              <w:t>0.000</w:t>
            </w:r>
          </w:p>
          <w:p w14:paraId="14E884A9" w14:textId="77777777" w:rsidR="00312065" w:rsidRPr="00107649" w:rsidRDefault="00312065" w:rsidP="0038024C">
            <w:r w:rsidRPr="000E4666">
              <w:t>(0.12)</w:t>
            </w:r>
          </w:p>
        </w:tc>
        <w:tc>
          <w:tcPr>
            <w:tcW w:w="1212" w:type="dxa"/>
            <w:gridSpan w:val="2"/>
          </w:tcPr>
          <w:p w14:paraId="373604C3" w14:textId="77777777" w:rsidR="00312065" w:rsidRPr="009A734F" w:rsidRDefault="00312065" w:rsidP="0038024C">
            <w:r w:rsidRPr="009A734F">
              <w:t>0.00</w:t>
            </w:r>
            <w:r w:rsidRPr="007801A8">
              <w:t>4**</w:t>
            </w:r>
          </w:p>
          <w:p w14:paraId="2E617D9D" w14:textId="77777777" w:rsidR="00312065" w:rsidRPr="009A734F" w:rsidRDefault="00312065" w:rsidP="0038024C">
            <w:r w:rsidRPr="009A734F">
              <w:t>(</w:t>
            </w:r>
            <w:r w:rsidRPr="007801A8">
              <w:t>2.09</w:t>
            </w:r>
            <w:r w:rsidRPr="009A734F">
              <w:t>)</w:t>
            </w:r>
          </w:p>
        </w:tc>
      </w:tr>
      <w:tr w:rsidR="00312065" w:rsidRPr="00A21800" w14:paraId="3E7077F9" w14:textId="77777777" w:rsidTr="0038024C">
        <w:trPr>
          <w:trHeight w:val="288"/>
        </w:trPr>
        <w:tc>
          <w:tcPr>
            <w:tcW w:w="1943" w:type="dxa"/>
            <w:noWrap/>
          </w:tcPr>
          <w:p w14:paraId="035FB4BA" w14:textId="3D471E22" w:rsidR="00312065" w:rsidRPr="00B376A1" w:rsidRDefault="00312065" w:rsidP="007E7FE6">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 xml:space="preserve">DQ </w:t>
            </w:r>
            <w:r w:rsidRPr="00B376A1">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SDEarn</w:t>
            </w:r>
          </w:p>
        </w:tc>
        <w:tc>
          <w:tcPr>
            <w:tcW w:w="1243" w:type="dxa"/>
          </w:tcPr>
          <w:p w14:paraId="09A4E478"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-0.539***</w:t>
            </w:r>
          </w:p>
          <w:p w14:paraId="15DD791B"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(-4.82)</w:t>
            </w:r>
          </w:p>
        </w:tc>
        <w:tc>
          <w:tcPr>
            <w:tcW w:w="1354" w:type="dxa"/>
          </w:tcPr>
          <w:p w14:paraId="6C7BCC69" w14:textId="77777777" w:rsidR="00312065" w:rsidRPr="000E4666" w:rsidRDefault="00312065" w:rsidP="0038024C">
            <w:r w:rsidRPr="000E4666">
              <w:t>-0.401***</w:t>
            </w:r>
          </w:p>
          <w:p w14:paraId="645DBC8C" w14:textId="77777777" w:rsidR="00312065" w:rsidRPr="00107649" w:rsidRDefault="00312065" w:rsidP="0038024C">
            <w:pPr>
              <w:rPr>
                <w:rFonts w:ascii="Calibri" w:eastAsia="Times New Roman" w:hAnsi="Calibri" w:cs="Times New Roman"/>
                <w:color w:val="000000"/>
                <w:lang w:eastAsia="en-NZ"/>
              </w:rPr>
            </w:pPr>
            <w:r w:rsidRPr="000E4666">
              <w:t>(-2.73)</w:t>
            </w:r>
          </w:p>
        </w:tc>
        <w:tc>
          <w:tcPr>
            <w:tcW w:w="1133" w:type="dxa"/>
          </w:tcPr>
          <w:p w14:paraId="7B172FFB" w14:textId="77777777" w:rsidR="00312065" w:rsidRPr="00380115" w:rsidRDefault="00312065" w:rsidP="0038024C">
            <w:pPr>
              <w:rPr>
                <w:rFonts w:ascii="Calibri" w:eastAsia="Times New Roman" w:hAnsi="Calibri" w:cs="Times New Roman"/>
                <w:color w:val="000000"/>
                <w:lang w:eastAsia="en-NZ"/>
              </w:rPr>
            </w:pPr>
          </w:p>
        </w:tc>
        <w:tc>
          <w:tcPr>
            <w:tcW w:w="1243" w:type="dxa"/>
            <w:noWrap/>
          </w:tcPr>
          <w:p w14:paraId="4398AA51"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-0.1</w:t>
            </w:r>
            <w:r w:rsidRPr="007801A8">
              <w:rPr>
                <w:rFonts w:ascii="Calibri" w:eastAsia="Times New Roman" w:hAnsi="Calibri" w:cs="Times New Roman"/>
                <w:color w:val="000000"/>
                <w:lang w:eastAsia="en-NZ"/>
              </w:rPr>
              <w:t>25</w:t>
            </w:r>
            <w:r w:rsidRPr="00107649">
              <w:rPr>
                <w:rFonts w:ascii="Calibri" w:eastAsia="Times New Roman" w:hAnsi="Calibri" w:cs="Times New Roman"/>
                <w:color w:val="000000"/>
                <w:lang w:eastAsia="en-NZ"/>
              </w:rPr>
              <w:t>**</w:t>
            </w:r>
          </w:p>
          <w:p w14:paraId="52CAC24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1.45</w:t>
            </w:r>
            <w:r w:rsidRPr="00107649">
              <w:rPr>
                <w:rFonts w:ascii="Calibri" w:eastAsia="Times New Roman" w:hAnsi="Calibri" w:cs="Times New Roman"/>
                <w:color w:val="000000"/>
                <w:lang w:eastAsia="en-NZ"/>
              </w:rPr>
              <w:t>)</w:t>
            </w:r>
          </w:p>
        </w:tc>
        <w:tc>
          <w:tcPr>
            <w:tcW w:w="1354" w:type="dxa"/>
          </w:tcPr>
          <w:p w14:paraId="478B6034" w14:textId="77777777" w:rsidR="00312065" w:rsidRPr="000E4666" w:rsidRDefault="00312065" w:rsidP="0038024C">
            <w:r w:rsidRPr="000E4666">
              <w:t>-0.150***</w:t>
            </w:r>
          </w:p>
          <w:p w14:paraId="48F678E4" w14:textId="77777777" w:rsidR="00312065" w:rsidRPr="00107649" w:rsidRDefault="00312065" w:rsidP="0038024C">
            <w:r w:rsidRPr="000E4666">
              <w:t>(-2.53)</w:t>
            </w:r>
          </w:p>
        </w:tc>
        <w:tc>
          <w:tcPr>
            <w:tcW w:w="1212" w:type="dxa"/>
            <w:gridSpan w:val="2"/>
          </w:tcPr>
          <w:p w14:paraId="3288A00A" w14:textId="77777777" w:rsidR="00312065" w:rsidRPr="009A734F" w:rsidRDefault="00312065" w:rsidP="0038024C"/>
        </w:tc>
      </w:tr>
      <w:tr w:rsidR="00312065" w:rsidRPr="00A21800" w14:paraId="15F7B145" w14:textId="77777777" w:rsidTr="0038024C">
        <w:trPr>
          <w:trHeight w:val="288"/>
        </w:trPr>
        <w:tc>
          <w:tcPr>
            <w:tcW w:w="1943" w:type="dxa"/>
            <w:noWrap/>
          </w:tcPr>
          <w:p w14:paraId="7BB76B36"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Cost</w:t>
            </w:r>
          </w:p>
        </w:tc>
        <w:tc>
          <w:tcPr>
            <w:tcW w:w="1243" w:type="dxa"/>
          </w:tcPr>
          <w:p w14:paraId="4698FC10"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-0.000</w:t>
            </w:r>
          </w:p>
          <w:p w14:paraId="760ADEFB"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(-0.02)</w:t>
            </w:r>
          </w:p>
        </w:tc>
        <w:tc>
          <w:tcPr>
            <w:tcW w:w="1354" w:type="dxa"/>
          </w:tcPr>
          <w:p w14:paraId="1A1935FA" w14:textId="77777777" w:rsidR="00312065" w:rsidRPr="00107649" w:rsidRDefault="00312065" w:rsidP="0038024C">
            <w:pPr>
              <w:rPr>
                <w:rFonts w:ascii="Calibri" w:eastAsia="Times New Roman" w:hAnsi="Calibri" w:cs="Times New Roman"/>
                <w:color w:val="000000"/>
                <w:lang w:eastAsia="en-NZ"/>
              </w:rPr>
            </w:pPr>
          </w:p>
        </w:tc>
        <w:tc>
          <w:tcPr>
            <w:tcW w:w="1133" w:type="dxa"/>
          </w:tcPr>
          <w:p w14:paraId="543875C9" w14:textId="77777777" w:rsidR="00312065" w:rsidRPr="00380115" w:rsidRDefault="00312065" w:rsidP="0038024C">
            <w:pPr>
              <w:rPr>
                <w:rFonts w:ascii="Calibri" w:eastAsia="Times New Roman" w:hAnsi="Calibri" w:cs="Times New Roman"/>
                <w:color w:val="000000"/>
                <w:lang w:eastAsia="en-NZ"/>
              </w:rPr>
            </w:pPr>
          </w:p>
        </w:tc>
        <w:tc>
          <w:tcPr>
            <w:tcW w:w="1243" w:type="dxa"/>
            <w:noWrap/>
          </w:tcPr>
          <w:p w14:paraId="150B822E" w14:textId="77777777" w:rsidR="00312065" w:rsidRPr="007801A8"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-0.007***</w:t>
            </w:r>
          </w:p>
          <w:p w14:paraId="758DD03C" w14:textId="77777777" w:rsidR="00312065" w:rsidRPr="00107649"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(-2.55)</w:t>
            </w:r>
          </w:p>
        </w:tc>
        <w:tc>
          <w:tcPr>
            <w:tcW w:w="1354" w:type="dxa"/>
          </w:tcPr>
          <w:p w14:paraId="5C7A9078" w14:textId="77777777" w:rsidR="00312065" w:rsidRPr="00107649" w:rsidRDefault="00312065" w:rsidP="0038024C">
            <w:pPr>
              <w:rPr>
                <w:rFonts w:ascii="Calibri" w:eastAsia="Times New Roman" w:hAnsi="Calibri" w:cs="Times New Roman"/>
                <w:color w:val="000000"/>
                <w:lang w:eastAsia="en-NZ"/>
              </w:rPr>
            </w:pPr>
          </w:p>
        </w:tc>
        <w:tc>
          <w:tcPr>
            <w:tcW w:w="1212" w:type="dxa"/>
            <w:gridSpan w:val="2"/>
          </w:tcPr>
          <w:p w14:paraId="65054367" w14:textId="77777777" w:rsidR="00312065" w:rsidRPr="009A734F" w:rsidRDefault="00312065" w:rsidP="0038024C">
            <w:pPr>
              <w:rPr>
                <w:rFonts w:ascii="Calibri" w:eastAsia="Times New Roman" w:hAnsi="Calibri" w:cs="Times New Roman"/>
                <w:color w:val="000000"/>
                <w:lang w:eastAsia="en-NZ"/>
              </w:rPr>
            </w:pPr>
          </w:p>
        </w:tc>
      </w:tr>
      <w:tr w:rsidR="00312065" w:rsidRPr="00A21800" w14:paraId="0FAF8C17" w14:textId="77777777" w:rsidTr="0038024C">
        <w:trPr>
          <w:trHeight w:val="288"/>
        </w:trPr>
        <w:tc>
          <w:tcPr>
            <w:tcW w:w="1943" w:type="dxa"/>
            <w:noWrap/>
          </w:tcPr>
          <w:p w14:paraId="5A58584A" w14:textId="77777777" w:rsidR="00312065" w:rsidRPr="00B376A1" w:rsidRDefault="00312065" w:rsidP="0038024C">
            <w:pPr>
              <w:rPr>
                <w:rFonts w:ascii="Calibri" w:eastAsia="Times New Roman" w:hAnsi="Calibri" w:cs="Times New Roman"/>
                <w:i/>
                <w:color w:val="000000"/>
                <w:lang w:eastAsia="en-NZ"/>
              </w:rPr>
            </w:pPr>
            <w:r>
              <w:rPr>
                <w:rFonts w:ascii="Calibri" w:eastAsia="Times New Roman" w:hAnsi="Calibri" w:cs="Times New Roman"/>
                <w:i/>
                <w:color w:val="000000"/>
                <w:lang w:eastAsia="en-NZ"/>
              </w:rPr>
              <w:t>Volatility</w:t>
            </w:r>
          </w:p>
        </w:tc>
        <w:tc>
          <w:tcPr>
            <w:tcW w:w="1243" w:type="dxa"/>
          </w:tcPr>
          <w:p w14:paraId="0A3FFFE1"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54480AEB" w14:textId="77777777" w:rsidR="00312065" w:rsidRPr="000E4666" w:rsidRDefault="00312065" w:rsidP="0038024C">
            <w:pPr>
              <w:rPr>
                <w:rFonts w:ascii="Calibri" w:hAnsi="Calibri"/>
                <w:color w:val="000000"/>
              </w:rPr>
            </w:pPr>
            <w:r w:rsidRPr="000E4666">
              <w:rPr>
                <w:rFonts w:ascii="Calibri" w:hAnsi="Calibri"/>
                <w:color w:val="000000"/>
              </w:rPr>
              <w:t>0.963</w:t>
            </w:r>
          </w:p>
          <w:p w14:paraId="6AD7AB57" w14:textId="77777777" w:rsidR="00312065" w:rsidRPr="00107649" w:rsidRDefault="00312065" w:rsidP="0038024C">
            <w:pPr>
              <w:rPr>
                <w:rFonts w:ascii="Calibri" w:eastAsia="Times New Roman" w:hAnsi="Calibri" w:cs="Times New Roman"/>
                <w:color w:val="000000"/>
                <w:lang w:eastAsia="en-NZ"/>
              </w:rPr>
            </w:pPr>
            <w:r w:rsidRPr="000E4666">
              <w:rPr>
                <w:rFonts w:ascii="Calibri" w:hAnsi="Calibri"/>
                <w:color w:val="000000"/>
              </w:rPr>
              <w:t>(1.03)</w:t>
            </w:r>
          </w:p>
        </w:tc>
        <w:tc>
          <w:tcPr>
            <w:tcW w:w="1133" w:type="dxa"/>
          </w:tcPr>
          <w:p w14:paraId="6ED51DDE" w14:textId="77777777" w:rsidR="00312065" w:rsidRPr="00380115" w:rsidRDefault="00312065" w:rsidP="0038024C">
            <w:pPr>
              <w:rPr>
                <w:rFonts w:ascii="Calibri" w:eastAsia="Times New Roman" w:hAnsi="Calibri" w:cs="Times New Roman"/>
                <w:color w:val="000000"/>
                <w:lang w:eastAsia="en-NZ"/>
              </w:rPr>
            </w:pPr>
          </w:p>
        </w:tc>
        <w:tc>
          <w:tcPr>
            <w:tcW w:w="1243" w:type="dxa"/>
            <w:noWrap/>
          </w:tcPr>
          <w:p w14:paraId="00E7B1D5"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539DE64F" w14:textId="77777777" w:rsidR="00312065" w:rsidRPr="000E4666" w:rsidRDefault="00312065" w:rsidP="0038024C">
            <w:pPr>
              <w:rPr>
                <w:rFonts w:ascii="Calibri" w:hAnsi="Calibri"/>
                <w:color w:val="000000"/>
              </w:rPr>
            </w:pPr>
            <w:r w:rsidRPr="000E4666">
              <w:rPr>
                <w:rFonts w:ascii="Calibri" w:hAnsi="Calibri"/>
                <w:color w:val="000000"/>
              </w:rPr>
              <w:t>-0.958</w:t>
            </w:r>
            <w:r>
              <w:rPr>
                <w:rFonts w:ascii="Calibri" w:hAnsi="Calibri"/>
                <w:color w:val="000000"/>
              </w:rPr>
              <w:t>**</w:t>
            </w:r>
          </w:p>
          <w:p w14:paraId="6B994BCD" w14:textId="77777777" w:rsidR="00312065" w:rsidRPr="00107649" w:rsidRDefault="00312065" w:rsidP="0038024C">
            <w:pPr>
              <w:rPr>
                <w:rFonts w:ascii="Calibri" w:hAnsi="Calibri"/>
                <w:color w:val="000000"/>
              </w:rPr>
            </w:pPr>
            <w:r w:rsidRPr="000E4666">
              <w:rPr>
                <w:rFonts w:ascii="Calibri" w:hAnsi="Calibri"/>
                <w:color w:val="000000"/>
              </w:rPr>
              <w:t>(-1.95)</w:t>
            </w:r>
          </w:p>
        </w:tc>
        <w:tc>
          <w:tcPr>
            <w:tcW w:w="1212" w:type="dxa"/>
            <w:gridSpan w:val="2"/>
          </w:tcPr>
          <w:p w14:paraId="72FDDA60" w14:textId="77777777" w:rsidR="00312065" w:rsidRPr="009A734F" w:rsidRDefault="00312065" w:rsidP="0038024C">
            <w:pPr>
              <w:rPr>
                <w:rFonts w:ascii="Calibri" w:hAnsi="Calibri"/>
                <w:color w:val="000000"/>
              </w:rPr>
            </w:pPr>
          </w:p>
        </w:tc>
      </w:tr>
      <w:tr w:rsidR="00312065" w:rsidRPr="00A21800" w14:paraId="2AA50D10" w14:textId="77777777" w:rsidTr="0038024C">
        <w:trPr>
          <w:trHeight w:val="288"/>
        </w:trPr>
        <w:tc>
          <w:tcPr>
            <w:tcW w:w="1943" w:type="dxa"/>
            <w:noWrap/>
          </w:tcPr>
          <w:p w14:paraId="5C9E0188"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 xml:space="preserve">DCP </w:t>
            </w:r>
          </w:p>
        </w:tc>
        <w:tc>
          <w:tcPr>
            <w:tcW w:w="1243" w:type="dxa"/>
          </w:tcPr>
          <w:p w14:paraId="34AD9A92"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030F968E" w14:textId="77777777" w:rsidR="00312065" w:rsidRPr="00107649" w:rsidRDefault="00312065" w:rsidP="0038024C">
            <w:pPr>
              <w:rPr>
                <w:rFonts w:ascii="Calibri" w:eastAsia="Times New Roman" w:hAnsi="Calibri" w:cs="Times New Roman"/>
                <w:color w:val="000000"/>
                <w:lang w:eastAsia="en-NZ"/>
              </w:rPr>
            </w:pPr>
          </w:p>
        </w:tc>
        <w:tc>
          <w:tcPr>
            <w:tcW w:w="1133" w:type="dxa"/>
          </w:tcPr>
          <w:p w14:paraId="080F6BF4" w14:textId="77777777" w:rsidR="00312065" w:rsidRPr="007801A8" w:rsidRDefault="00312065" w:rsidP="0038024C">
            <w:pPr>
              <w:rPr>
                <w:rFonts w:ascii="Calibri" w:hAnsi="Calibri"/>
                <w:color w:val="000000"/>
              </w:rPr>
            </w:pPr>
            <w:r w:rsidRPr="007801A8">
              <w:rPr>
                <w:rFonts w:ascii="Calibri" w:hAnsi="Calibri"/>
                <w:color w:val="000000"/>
              </w:rPr>
              <w:t>0.025**</w:t>
            </w:r>
          </w:p>
          <w:p w14:paraId="52AD231E" w14:textId="77777777" w:rsidR="00312065" w:rsidRPr="00380115" w:rsidRDefault="00312065" w:rsidP="0038024C">
            <w:pPr>
              <w:rPr>
                <w:rFonts w:ascii="Calibri" w:eastAsia="Times New Roman" w:hAnsi="Calibri" w:cs="Times New Roman"/>
                <w:color w:val="000000"/>
                <w:lang w:eastAsia="en-NZ"/>
              </w:rPr>
            </w:pPr>
            <w:r w:rsidRPr="007801A8">
              <w:rPr>
                <w:rFonts w:ascii="Calibri" w:hAnsi="Calibri"/>
                <w:color w:val="000000"/>
              </w:rPr>
              <w:t>(2.00)</w:t>
            </w:r>
          </w:p>
        </w:tc>
        <w:tc>
          <w:tcPr>
            <w:tcW w:w="1243" w:type="dxa"/>
            <w:noWrap/>
          </w:tcPr>
          <w:p w14:paraId="57291E90"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5F8661B6" w14:textId="77777777" w:rsidR="00312065" w:rsidRPr="00107649" w:rsidRDefault="00312065" w:rsidP="0038024C">
            <w:pPr>
              <w:rPr>
                <w:rFonts w:ascii="Calibri" w:hAnsi="Calibri"/>
                <w:color w:val="000000"/>
              </w:rPr>
            </w:pPr>
          </w:p>
        </w:tc>
        <w:tc>
          <w:tcPr>
            <w:tcW w:w="1212" w:type="dxa"/>
            <w:gridSpan w:val="2"/>
          </w:tcPr>
          <w:p w14:paraId="415F766F" w14:textId="77777777" w:rsidR="00312065" w:rsidRPr="007801A8" w:rsidRDefault="00312065" w:rsidP="0038024C">
            <w:pPr>
              <w:rPr>
                <w:rFonts w:ascii="Calibri" w:hAnsi="Calibri"/>
                <w:color w:val="000000"/>
              </w:rPr>
            </w:pPr>
            <w:r w:rsidRPr="007801A8">
              <w:rPr>
                <w:rFonts w:ascii="Calibri" w:hAnsi="Calibri"/>
                <w:color w:val="000000"/>
              </w:rPr>
              <w:t>0.002</w:t>
            </w:r>
          </w:p>
          <w:p w14:paraId="064F48B5" w14:textId="77777777" w:rsidR="00312065" w:rsidRPr="009A734F" w:rsidRDefault="00312065" w:rsidP="0038024C">
            <w:pPr>
              <w:rPr>
                <w:rFonts w:ascii="Calibri" w:hAnsi="Calibri"/>
                <w:color w:val="000000"/>
              </w:rPr>
            </w:pPr>
            <w:r w:rsidRPr="007801A8">
              <w:rPr>
                <w:rFonts w:ascii="Calibri" w:hAnsi="Calibri"/>
                <w:color w:val="000000"/>
              </w:rPr>
              <w:t>(0.18)</w:t>
            </w:r>
          </w:p>
        </w:tc>
      </w:tr>
      <w:tr w:rsidR="00312065" w:rsidRPr="00A21800" w14:paraId="06F25968" w14:textId="77777777" w:rsidTr="0038024C">
        <w:trPr>
          <w:trHeight w:val="288"/>
        </w:trPr>
        <w:tc>
          <w:tcPr>
            <w:tcW w:w="1943" w:type="dxa"/>
            <w:noWrap/>
          </w:tcPr>
          <w:p w14:paraId="18F2F954" w14:textId="6C5BCE99" w:rsidR="00312065" w:rsidRPr="00B376A1" w:rsidRDefault="00312065">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 xml:space="preserve">DCP </w:t>
            </w:r>
            <w:r w:rsidRPr="00B376A1">
              <w:rPr>
                <w:rFonts w:ascii="Calibri" w:eastAsia="Times New Roman" w:hAnsi="Calibri" w:cs="Calibri"/>
                <w:i/>
                <w:color w:val="000000"/>
                <w:lang w:eastAsia="en-NZ"/>
              </w:rPr>
              <w:t xml:space="preserve">× </w:t>
            </w:r>
            <w:r>
              <w:rPr>
                <w:rFonts w:ascii="Calibri" w:eastAsia="Times New Roman" w:hAnsi="Calibri" w:cs="Calibri"/>
                <w:i/>
                <w:color w:val="000000"/>
                <w:lang w:eastAsia="en-NZ"/>
              </w:rPr>
              <w:t>SDEarn</w:t>
            </w:r>
          </w:p>
        </w:tc>
        <w:tc>
          <w:tcPr>
            <w:tcW w:w="1243" w:type="dxa"/>
          </w:tcPr>
          <w:p w14:paraId="3C53CF2D"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763FCC02" w14:textId="77777777" w:rsidR="00312065" w:rsidRPr="00107649" w:rsidRDefault="00312065" w:rsidP="0038024C">
            <w:pPr>
              <w:rPr>
                <w:rFonts w:ascii="Calibri" w:eastAsia="Times New Roman" w:hAnsi="Calibri" w:cs="Times New Roman"/>
                <w:color w:val="000000"/>
                <w:lang w:eastAsia="en-NZ"/>
              </w:rPr>
            </w:pPr>
          </w:p>
        </w:tc>
        <w:tc>
          <w:tcPr>
            <w:tcW w:w="1133" w:type="dxa"/>
          </w:tcPr>
          <w:p w14:paraId="088260B1" w14:textId="77777777" w:rsidR="00312065" w:rsidRPr="007801A8"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-0.289**</w:t>
            </w:r>
          </w:p>
          <w:p w14:paraId="0CC41270" w14:textId="77777777" w:rsidR="00312065" w:rsidRPr="00380115"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(-2.28)</w:t>
            </w:r>
          </w:p>
        </w:tc>
        <w:tc>
          <w:tcPr>
            <w:tcW w:w="1243" w:type="dxa"/>
            <w:noWrap/>
          </w:tcPr>
          <w:p w14:paraId="590405A3" w14:textId="77777777" w:rsidR="00312065" w:rsidRPr="00107649" w:rsidRDefault="00312065" w:rsidP="0038024C">
            <w:pPr>
              <w:rPr>
                <w:rFonts w:ascii="Calibri" w:eastAsia="Times New Roman" w:hAnsi="Calibri" w:cs="Times New Roman"/>
                <w:color w:val="000000"/>
                <w:lang w:eastAsia="en-NZ"/>
              </w:rPr>
            </w:pPr>
          </w:p>
        </w:tc>
        <w:tc>
          <w:tcPr>
            <w:tcW w:w="1354" w:type="dxa"/>
          </w:tcPr>
          <w:p w14:paraId="0A592BD7" w14:textId="77777777" w:rsidR="00312065" w:rsidRPr="00107649" w:rsidRDefault="00312065" w:rsidP="0038024C">
            <w:pPr>
              <w:rPr>
                <w:rFonts w:ascii="Calibri" w:hAnsi="Calibri"/>
                <w:color w:val="000000"/>
              </w:rPr>
            </w:pPr>
          </w:p>
        </w:tc>
        <w:tc>
          <w:tcPr>
            <w:tcW w:w="1212" w:type="dxa"/>
            <w:gridSpan w:val="2"/>
          </w:tcPr>
          <w:p w14:paraId="19F3809E" w14:textId="77777777" w:rsidR="00312065" w:rsidRPr="007801A8" w:rsidRDefault="00312065" w:rsidP="0038024C">
            <w:r w:rsidRPr="007801A8">
              <w:t>-0.125**</w:t>
            </w:r>
          </w:p>
          <w:p w14:paraId="2D99F901" w14:textId="77777777" w:rsidR="00312065" w:rsidRPr="009A734F" w:rsidRDefault="00312065" w:rsidP="0038024C">
            <w:pPr>
              <w:rPr>
                <w:rFonts w:ascii="Calibri" w:hAnsi="Calibri"/>
                <w:color w:val="000000"/>
              </w:rPr>
            </w:pPr>
            <w:r w:rsidRPr="007801A8">
              <w:t>(-1.97)</w:t>
            </w:r>
          </w:p>
        </w:tc>
      </w:tr>
      <w:tr w:rsidR="00312065" w:rsidRPr="00A21800" w14:paraId="2360D681" w14:textId="77777777" w:rsidTr="0038024C">
        <w:trPr>
          <w:trHeight w:val="66"/>
        </w:trPr>
        <w:tc>
          <w:tcPr>
            <w:tcW w:w="1943" w:type="dxa"/>
            <w:noWrap/>
            <w:hideMark/>
          </w:tcPr>
          <w:p w14:paraId="1A5CAD8C" w14:textId="77777777" w:rsidR="00312065" w:rsidRPr="00B376A1" w:rsidRDefault="00312065" w:rsidP="0038024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Intercept</w:t>
            </w:r>
          </w:p>
        </w:tc>
        <w:tc>
          <w:tcPr>
            <w:tcW w:w="1243" w:type="dxa"/>
          </w:tcPr>
          <w:p w14:paraId="707A8143"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-0.061</w:t>
            </w:r>
          </w:p>
          <w:p w14:paraId="26BDEA64"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(-1.18)</w:t>
            </w:r>
          </w:p>
        </w:tc>
        <w:tc>
          <w:tcPr>
            <w:tcW w:w="1354" w:type="dxa"/>
          </w:tcPr>
          <w:p w14:paraId="5ED5CC54" w14:textId="77777777" w:rsidR="00312065" w:rsidRPr="000E4666" w:rsidRDefault="00312065" w:rsidP="0038024C">
            <w:pPr>
              <w:rPr>
                <w:rFonts w:ascii="Calibri" w:hAnsi="Calibri"/>
                <w:color w:val="000000"/>
              </w:rPr>
            </w:pPr>
            <w:r w:rsidRPr="000E4666">
              <w:rPr>
                <w:rFonts w:ascii="Calibri" w:hAnsi="Calibri"/>
                <w:color w:val="000000"/>
              </w:rPr>
              <w:t>-0.087</w:t>
            </w:r>
          </w:p>
          <w:p w14:paraId="4B0C8FBA" w14:textId="77777777" w:rsidR="00312065" w:rsidRPr="00107649" w:rsidRDefault="00312065" w:rsidP="0038024C">
            <w:pPr>
              <w:rPr>
                <w:rFonts w:ascii="Calibri" w:eastAsia="Times New Roman" w:hAnsi="Calibri" w:cs="Times New Roman"/>
                <w:color w:val="000000"/>
                <w:lang w:eastAsia="en-NZ"/>
              </w:rPr>
            </w:pPr>
            <w:r w:rsidRPr="000E4666">
              <w:rPr>
                <w:rFonts w:ascii="Calibri" w:hAnsi="Calibri"/>
                <w:color w:val="000000"/>
              </w:rPr>
              <w:t>(-1.08)</w:t>
            </w:r>
          </w:p>
        </w:tc>
        <w:tc>
          <w:tcPr>
            <w:tcW w:w="1133" w:type="dxa"/>
          </w:tcPr>
          <w:p w14:paraId="3BF2AAE9" w14:textId="77777777" w:rsidR="00312065" w:rsidRPr="00380115" w:rsidRDefault="00312065" w:rsidP="0038024C">
            <w:pPr>
              <w:rPr>
                <w:rFonts w:ascii="Calibri" w:hAnsi="Calibri"/>
                <w:color w:val="000000"/>
              </w:rPr>
            </w:pPr>
            <w:r w:rsidRPr="00380115">
              <w:rPr>
                <w:rFonts w:ascii="Calibri" w:hAnsi="Calibri"/>
                <w:color w:val="000000"/>
              </w:rPr>
              <w:t>-0.0</w:t>
            </w:r>
            <w:r w:rsidRPr="007801A8">
              <w:rPr>
                <w:rFonts w:ascii="Calibri" w:hAnsi="Calibri"/>
                <w:color w:val="000000"/>
              </w:rPr>
              <w:t>01</w:t>
            </w:r>
          </w:p>
          <w:p w14:paraId="67938C67" w14:textId="77777777" w:rsidR="00312065" w:rsidRPr="00380115" w:rsidRDefault="00312065" w:rsidP="0038024C">
            <w:pPr>
              <w:rPr>
                <w:rFonts w:ascii="Calibri" w:eastAsia="Times New Roman" w:hAnsi="Calibri" w:cs="Times New Roman"/>
                <w:color w:val="000000"/>
                <w:lang w:eastAsia="en-NZ"/>
              </w:rPr>
            </w:pPr>
            <w:r w:rsidRPr="00380115">
              <w:rPr>
                <w:rFonts w:ascii="Calibri" w:hAnsi="Calibri"/>
                <w:color w:val="000000"/>
              </w:rPr>
              <w:t>(-</w:t>
            </w:r>
            <w:r w:rsidRPr="007801A8">
              <w:rPr>
                <w:rFonts w:ascii="Calibri" w:hAnsi="Calibri"/>
                <w:color w:val="000000"/>
              </w:rPr>
              <w:t>0.01</w:t>
            </w:r>
            <w:r w:rsidRPr="00380115">
              <w:rPr>
                <w:rFonts w:ascii="Calibri" w:hAnsi="Calibri"/>
                <w:color w:val="000000"/>
              </w:rPr>
              <w:t>)</w:t>
            </w:r>
          </w:p>
        </w:tc>
        <w:tc>
          <w:tcPr>
            <w:tcW w:w="1243" w:type="dxa"/>
            <w:noWrap/>
            <w:hideMark/>
          </w:tcPr>
          <w:p w14:paraId="227E2A81"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w:t>
            </w:r>
            <w:r w:rsidRPr="007801A8">
              <w:rPr>
                <w:rFonts w:ascii="Calibri" w:eastAsia="Times New Roman" w:hAnsi="Calibri" w:cs="Times New Roman"/>
                <w:color w:val="000000"/>
                <w:lang w:eastAsia="en-NZ"/>
              </w:rPr>
              <w:t>43</w:t>
            </w:r>
            <w:r w:rsidRPr="00107649">
              <w:rPr>
                <w:rFonts w:ascii="Calibri" w:eastAsia="Times New Roman" w:hAnsi="Calibri" w:cs="Times New Roman"/>
                <w:color w:val="000000"/>
                <w:lang w:eastAsia="en-NZ"/>
              </w:rPr>
              <w:t>*</w:t>
            </w:r>
          </w:p>
          <w:p w14:paraId="5D315D98"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1.70</w:t>
            </w:r>
            <w:r w:rsidRPr="00107649">
              <w:rPr>
                <w:rFonts w:ascii="Calibri" w:eastAsia="Times New Roman" w:hAnsi="Calibri" w:cs="Times New Roman"/>
                <w:color w:val="000000"/>
                <w:lang w:eastAsia="en-NZ"/>
              </w:rPr>
              <w:t>)</w:t>
            </w:r>
          </w:p>
        </w:tc>
        <w:tc>
          <w:tcPr>
            <w:tcW w:w="1354" w:type="dxa"/>
          </w:tcPr>
          <w:p w14:paraId="49E07C0A" w14:textId="77777777" w:rsidR="00312065" w:rsidRPr="000E4666" w:rsidRDefault="00312065" w:rsidP="0038024C">
            <w:pPr>
              <w:rPr>
                <w:rFonts w:ascii="Calibri" w:hAnsi="Calibri"/>
                <w:color w:val="000000"/>
              </w:rPr>
            </w:pPr>
            <w:r w:rsidRPr="000E4666">
              <w:rPr>
                <w:rFonts w:ascii="Calibri" w:hAnsi="Calibri"/>
                <w:color w:val="000000"/>
              </w:rPr>
              <w:t>-0.002</w:t>
            </w:r>
          </w:p>
          <w:p w14:paraId="44037415" w14:textId="77777777" w:rsidR="00312065" w:rsidRPr="00107649" w:rsidRDefault="00312065" w:rsidP="0038024C">
            <w:pPr>
              <w:rPr>
                <w:rFonts w:ascii="Calibri" w:hAnsi="Calibri"/>
                <w:color w:val="000000"/>
              </w:rPr>
            </w:pPr>
            <w:r w:rsidRPr="000E4666">
              <w:rPr>
                <w:rFonts w:ascii="Calibri" w:eastAsia="Times New Roman" w:hAnsi="Calibri" w:cs="Times New Roman"/>
                <w:color w:val="000000"/>
                <w:lang w:eastAsia="en-NZ"/>
              </w:rPr>
              <w:t>(-0.07)</w:t>
            </w:r>
          </w:p>
        </w:tc>
        <w:tc>
          <w:tcPr>
            <w:tcW w:w="1212" w:type="dxa"/>
            <w:gridSpan w:val="2"/>
          </w:tcPr>
          <w:p w14:paraId="53892B69" w14:textId="77777777" w:rsidR="00312065" w:rsidRPr="009A734F" w:rsidRDefault="00312065" w:rsidP="0038024C">
            <w:pPr>
              <w:rPr>
                <w:rFonts w:ascii="Calibri" w:hAnsi="Calibri"/>
                <w:color w:val="000000"/>
              </w:rPr>
            </w:pPr>
            <w:r w:rsidRPr="009A734F">
              <w:rPr>
                <w:rFonts w:ascii="Calibri" w:hAnsi="Calibri"/>
                <w:color w:val="000000"/>
              </w:rPr>
              <w:t>-0.0</w:t>
            </w:r>
            <w:r w:rsidRPr="007801A8">
              <w:rPr>
                <w:rFonts w:ascii="Calibri" w:hAnsi="Calibri"/>
                <w:color w:val="000000"/>
              </w:rPr>
              <w:t>7</w:t>
            </w:r>
            <w:r w:rsidRPr="009A734F">
              <w:rPr>
                <w:rFonts w:ascii="Calibri" w:hAnsi="Calibri"/>
                <w:color w:val="000000"/>
              </w:rPr>
              <w:t>2</w:t>
            </w:r>
            <w:r w:rsidRPr="007801A8">
              <w:rPr>
                <w:rFonts w:ascii="Calibri" w:hAnsi="Calibri"/>
                <w:color w:val="000000"/>
              </w:rPr>
              <w:t>***</w:t>
            </w:r>
          </w:p>
          <w:p w14:paraId="5053368E" w14:textId="77777777" w:rsidR="00312065" w:rsidRPr="009A734F" w:rsidRDefault="00312065" w:rsidP="0038024C">
            <w:pPr>
              <w:rPr>
                <w:rFonts w:ascii="Calibri" w:hAnsi="Calibri"/>
                <w:color w:val="000000"/>
              </w:rPr>
            </w:pPr>
            <w:r w:rsidRPr="009A734F">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2.78</w:t>
            </w:r>
            <w:r w:rsidRPr="009A734F">
              <w:rPr>
                <w:rFonts w:ascii="Calibri" w:eastAsia="Times New Roman" w:hAnsi="Calibri" w:cs="Times New Roman"/>
                <w:color w:val="000000"/>
                <w:lang w:eastAsia="en-NZ"/>
              </w:rPr>
              <w:t>)</w:t>
            </w:r>
          </w:p>
        </w:tc>
      </w:tr>
      <w:tr w:rsidR="00312065" w:rsidRPr="00A21800" w14:paraId="625CE9E8" w14:textId="77777777" w:rsidTr="0038024C">
        <w:trPr>
          <w:trHeight w:val="288"/>
        </w:trPr>
        <w:tc>
          <w:tcPr>
            <w:tcW w:w="1943" w:type="dxa"/>
            <w:tcBorders>
              <w:bottom w:val="nil"/>
            </w:tcBorders>
            <w:noWrap/>
            <w:hideMark/>
          </w:tcPr>
          <w:p w14:paraId="5511E270" w14:textId="77777777" w:rsidR="00312065" w:rsidRPr="00B376A1" w:rsidRDefault="00312065" w:rsidP="0038024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Industry dummies</w:t>
            </w:r>
          </w:p>
        </w:tc>
        <w:tc>
          <w:tcPr>
            <w:tcW w:w="1243" w:type="dxa"/>
            <w:tcBorders>
              <w:bottom w:val="nil"/>
            </w:tcBorders>
          </w:tcPr>
          <w:p w14:paraId="2A28B8C8"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354" w:type="dxa"/>
            <w:tcBorders>
              <w:bottom w:val="nil"/>
            </w:tcBorders>
          </w:tcPr>
          <w:p w14:paraId="77459F2E"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Yes</w:t>
            </w:r>
          </w:p>
        </w:tc>
        <w:tc>
          <w:tcPr>
            <w:tcW w:w="1133" w:type="dxa"/>
            <w:tcBorders>
              <w:bottom w:val="nil"/>
            </w:tcBorders>
          </w:tcPr>
          <w:p w14:paraId="44F88F56" w14:textId="77777777" w:rsidR="00312065" w:rsidRPr="00380115" w:rsidRDefault="00312065" w:rsidP="0038024C">
            <w:pPr>
              <w:rPr>
                <w:rFonts w:ascii="Calibri" w:eastAsia="Times New Roman" w:hAnsi="Calibri" w:cs="Times New Roman"/>
                <w:color w:val="000000"/>
                <w:lang w:eastAsia="en-NZ"/>
              </w:rPr>
            </w:pPr>
            <w:r w:rsidRPr="00380115">
              <w:rPr>
                <w:rFonts w:ascii="Calibri" w:eastAsia="Times New Roman" w:hAnsi="Calibri" w:cs="Times New Roman"/>
                <w:color w:val="000000"/>
                <w:lang w:eastAsia="en-NZ"/>
              </w:rPr>
              <w:t>Yes</w:t>
            </w:r>
          </w:p>
        </w:tc>
        <w:tc>
          <w:tcPr>
            <w:tcW w:w="1243" w:type="dxa"/>
            <w:tcBorders>
              <w:bottom w:val="nil"/>
            </w:tcBorders>
            <w:noWrap/>
            <w:hideMark/>
          </w:tcPr>
          <w:p w14:paraId="0E9FB82D"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354" w:type="dxa"/>
            <w:tcBorders>
              <w:bottom w:val="nil"/>
            </w:tcBorders>
          </w:tcPr>
          <w:p w14:paraId="20695956"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Yes</w:t>
            </w:r>
          </w:p>
        </w:tc>
        <w:tc>
          <w:tcPr>
            <w:tcW w:w="1212" w:type="dxa"/>
            <w:gridSpan w:val="2"/>
            <w:tcBorders>
              <w:bottom w:val="nil"/>
            </w:tcBorders>
          </w:tcPr>
          <w:p w14:paraId="0494FA8F"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Yes</w:t>
            </w:r>
          </w:p>
        </w:tc>
      </w:tr>
      <w:tr w:rsidR="00312065" w:rsidRPr="00A21800" w14:paraId="75B2D3A6" w14:textId="77777777" w:rsidTr="0038024C">
        <w:trPr>
          <w:trHeight w:val="288"/>
        </w:trPr>
        <w:tc>
          <w:tcPr>
            <w:tcW w:w="1943" w:type="dxa"/>
            <w:tcBorders>
              <w:top w:val="nil"/>
              <w:bottom w:val="single" w:sz="4" w:space="0" w:color="auto"/>
            </w:tcBorders>
            <w:noWrap/>
            <w:hideMark/>
          </w:tcPr>
          <w:p w14:paraId="21865EB2" w14:textId="77777777" w:rsidR="00312065" w:rsidRPr="00B376A1" w:rsidRDefault="00312065" w:rsidP="0038024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Year dummies</w:t>
            </w:r>
          </w:p>
        </w:tc>
        <w:tc>
          <w:tcPr>
            <w:tcW w:w="1243" w:type="dxa"/>
            <w:tcBorders>
              <w:top w:val="nil"/>
              <w:bottom w:val="single" w:sz="4" w:space="0" w:color="auto"/>
            </w:tcBorders>
          </w:tcPr>
          <w:p w14:paraId="3AEB9E58"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354" w:type="dxa"/>
            <w:tcBorders>
              <w:top w:val="nil"/>
              <w:bottom w:val="single" w:sz="4" w:space="0" w:color="auto"/>
            </w:tcBorders>
          </w:tcPr>
          <w:p w14:paraId="7C265AF9"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Yes</w:t>
            </w:r>
          </w:p>
        </w:tc>
        <w:tc>
          <w:tcPr>
            <w:tcW w:w="1133" w:type="dxa"/>
            <w:tcBorders>
              <w:top w:val="nil"/>
              <w:bottom w:val="single" w:sz="4" w:space="0" w:color="auto"/>
            </w:tcBorders>
          </w:tcPr>
          <w:p w14:paraId="667D0DD2" w14:textId="77777777" w:rsidR="00312065" w:rsidRPr="00380115" w:rsidRDefault="00312065" w:rsidP="0038024C">
            <w:pPr>
              <w:rPr>
                <w:rFonts w:ascii="Calibri" w:eastAsia="Times New Roman" w:hAnsi="Calibri" w:cs="Times New Roman"/>
                <w:color w:val="000000"/>
                <w:lang w:eastAsia="en-NZ"/>
              </w:rPr>
            </w:pPr>
            <w:r w:rsidRPr="00380115">
              <w:rPr>
                <w:rFonts w:ascii="Calibri" w:eastAsia="Times New Roman" w:hAnsi="Calibri" w:cs="Times New Roman"/>
                <w:color w:val="000000"/>
                <w:lang w:eastAsia="en-NZ"/>
              </w:rPr>
              <w:t>Yes</w:t>
            </w:r>
          </w:p>
        </w:tc>
        <w:tc>
          <w:tcPr>
            <w:tcW w:w="1243" w:type="dxa"/>
            <w:tcBorders>
              <w:top w:val="nil"/>
              <w:bottom w:val="single" w:sz="4" w:space="0" w:color="auto"/>
            </w:tcBorders>
            <w:noWrap/>
            <w:hideMark/>
          </w:tcPr>
          <w:p w14:paraId="66882BCB"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354" w:type="dxa"/>
            <w:tcBorders>
              <w:top w:val="nil"/>
              <w:bottom w:val="single" w:sz="4" w:space="0" w:color="auto"/>
            </w:tcBorders>
          </w:tcPr>
          <w:p w14:paraId="11050A47"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Yes</w:t>
            </w:r>
          </w:p>
        </w:tc>
        <w:tc>
          <w:tcPr>
            <w:tcW w:w="1212" w:type="dxa"/>
            <w:gridSpan w:val="2"/>
            <w:tcBorders>
              <w:top w:val="nil"/>
              <w:bottom w:val="single" w:sz="4" w:space="0" w:color="auto"/>
            </w:tcBorders>
          </w:tcPr>
          <w:p w14:paraId="0967FF1E"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Yes</w:t>
            </w:r>
          </w:p>
        </w:tc>
      </w:tr>
      <w:tr w:rsidR="00312065" w:rsidRPr="00A21800" w14:paraId="01360F8C" w14:textId="77777777" w:rsidTr="0038024C">
        <w:trPr>
          <w:trHeight w:val="300"/>
        </w:trPr>
        <w:tc>
          <w:tcPr>
            <w:tcW w:w="1943" w:type="dxa"/>
            <w:tcBorders>
              <w:top w:val="single" w:sz="4" w:space="0" w:color="auto"/>
            </w:tcBorders>
            <w:hideMark/>
          </w:tcPr>
          <w:p w14:paraId="686E7885" w14:textId="77777777" w:rsidR="00312065" w:rsidRPr="00B376A1" w:rsidRDefault="00312065" w:rsidP="0038024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 xml:space="preserve">Adj </w:t>
            </w:r>
            <w:r w:rsidRPr="00B376A1">
              <w:rPr>
                <w:rFonts w:ascii="Calibri" w:eastAsia="Times New Roman" w:hAnsi="Calibri" w:cs="Times New Roman"/>
                <w:i/>
                <w:color w:val="000000"/>
                <w:lang w:eastAsia="en-NZ"/>
              </w:rPr>
              <w:t>R</w:t>
            </w:r>
            <w:r w:rsidRPr="00B376A1">
              <w:rPr>
                <w:rFonts w:ascii="Calibri" w:eastAsia="Times New Roman" w:hAnsi="Calibri" w:cs="Times New Roman"/>
                <w:i/>
                <w:color w:val="000000"/>
                <w:vertAlign w:val="superscript"/>
                <w:lang w:eastAsia="en-NZ"/>
              </w:rPr>
              <w:t>2</w:t>
            </w:r>
          </w:p>
        </w:tc>
        <w:tc>
          <w:tcPr>
            <w:tcW w:w="1243" w:type="dxa"/>
            <w:tcBorders>
              <w:top w:val="single" w:sz="4" w:space="0" w:color="auto"/>
            </w:tcBorders>
          </w:tcPr>
          <w:p w14:paraId="711271D6"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0.541</w:t>
            </w:r>
          </w:p>
        </w:tc>
        <w:tc>
          <w:tcPr>
            <w:tcW w:w="1354" w:type="dxa"/>
            <w:tcBorders>
              <w:top w:val="single" w:sz="4" w:space="0" w:color="auto"/>
            </w:tcBorders>
          </w:tcPr>
          <w:p w14:paraId="6BA611AE"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0.440</w:t>
            </w:r>
          </w:p>
        </w:tc>
        <w:tc>
          <w:tcPr>
            <w:tcW w:w="1133" w:type="dxa"/>
            <w:tcBorders>
              <w:top w:val="single" w:sz="4" w:space="0" w:color="auto"/>
            </w:tcBorders>
          </w:tcPr>
          <w:p w14:paraId="5D0132A0" w14:textId="77777777" w:rsidR="00312065" w:rsidRPr="00380115" w:rsidRDefault="00312065" w:rsidP="0038024C">
            <w:pPr>
              <w:rPr>
                <w:rFonts w:ascii="Calibri" w:eastAsia="Times New Roman" w:hAnsi="Calibri" w:cs="Times New Roman"/>
                <w:color w:val="000000"/>
                <w:lang w:eastAsia="en-NZ"/>
              </w:rPr>
            </w:pPr>
            <w:r w:rsidRPr="00380115">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375</w:t>
            </w:r>
          </w:p>
        </w:tc>
        <w:tc>
          <w:tcPr>
            <w:tcW w:w="1243" w:type="dxa"/>
            <w:tcBorders>
              <w:top w:val="single" w:sz="4" w:space="0" w:color="auto"/>
            </w:tcBorders>
            <w:noWrap/>
            <w:hideMark/>
          </w:tcPr>
          <w:p w14:paraId="12000C0E"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526</w:t>
            </w:r>
          </w:p>
        </w:tc>
        <w:tc>
          <w:tcPr>
            <w:tcW w:w="1354" w:type="dxa"/>
            <w:tcBorders>
              <w:top w:val="single" w:sz="4" w:space="0" w:color="auto"/>
            </w:tcBorders>
          </w:tcPr>
          <w:p w14:paraId="26DB2617"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0.400</w:t>
            </w:r>
          </w:p>
        </w:tc>
        <w:tc>
          <w:tcPr>
            <w:tcW w:w="1212" w:type="dxa"/>
            <w:gridSpan w:val="2"/>
            <w:tcBorders>
              <w:top w:val="single" w:sz="4" w:space="0" w:color="auto"/>
            </w:tcBorders>
          </w:tcPr>
          <w:p w14:paraId="40511241"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364</w:t>
            </w:r>
          </w:p>
        </w:tc>
      </w:tr>
      <w:tr w:rsidR="00312065" w:rsidRPr="00A21800" w14:paraId="5AA6C18A" w14:textId="77777777" w:rsidTr="0038024C">
        <w:trPr>
          <w:trHeight w:val="288"/>
        </w:trPr>
        <w:tc>
          <w:tcPr>
            <w:tcW w:w="1943" w:type="dxa"/>
            <w:hideMark/>
          </w:tcPr>
          <w:p w14:paraId="11FF2FB9"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F</w:t>
            </w:r>
          </w:p>
        </w:tc>
        <w:tc>
          <w:tcPr>
            <w:tcW w:w="1243" w:type="dxa"/>
          </w:tcPr>
          <w:p w14:paraId="05D69917"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6.33</w:t>
            </w:r>
          </w:p>
        </w:tc>
        <w:tc>
          <w:tcPr>
            <w:tcW w:w="1354" w:type="dxa"/>
          </w:tcPr>
          <w:p w14:paraId="14BBADE9"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5.45</w:t>
            </w:r>
          </w:p>
        </w:tc>
        <w:tc>
          <w:tcPr>
            <w:tcW w:w="1133" w:type="dxa"/>
          </w:tcPr>
          <w:p w14:paraId="7F0B755B" w14:textId="77777777" w:rsidR="00312065" w:rsidRPr="00380115"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4.54</w:t>
            </w:r>
          </w:p>
        </w:tc>
        <w:tc>
          <w:tcPr>
            <w:tcW w:w="1243" w:type="dxa"/>
            <w:noWrap/>
            <w:hideMark/>
          </w:tcPr>
          <w:p w14:paraId="75A224F8" w14:textId="77777777" w:rsidR="00312065" w:rsidRPr="00107649"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4.60</w:t>
            </w:r>
          </w:p>
        </w:tc>
        <w:tc>
          <w:tcPr>
            <w:tcW w:w="1354" w:type="dxa"/>
          </w:tcPr>
          <w:p w14:paraId="68713EE5"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3.97</w:t>
            </w:r>
          </w:p>
        </w:tc>
        <w:tc>
          <w:tcPr>
            <w:tcW w:w="1212" w:type="dxa"/>
            <w:gridSpan w:val="2"/>
          </w:tcPr>
          <w:p w14:paraId="5B86BA52"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3.</w:t>
            </w:r>
            <w:r w:rsidRPr="007801A8">
              <w:rPr>
                <w:rFonts w:ascii="Calibri" w:eastAsia="Times New Roman" w:hAnsi="Calibri" w:cs="Times New Roman"/>
                <w:color w:val="000000"/>
                <w:lang w:eastAsia="en-NZ"/>
              </w:rPr>
              <w:t>66</w:t>
            </w:r>
          </w:p>
        </w:tc>
      </w:tr>
      <w:tr w:rsidR="00312065" w:rsidRPr="00A21800" w14:paraId="4E15116D" w14:textId="77777777" w:rsidTr="0038024C">
        <w:trPr>
          <w:trHeight w:val="288"/>
        </w:trPr>
        <w:tc>
          <w:tcPr>
            <w:tcW w:w="1943" w:type="dxa"/>
            <w:hideMark/>
          </w:tcPr>
          <w:p w14:paraId="4A5BBE99" w14:textId="77777777" w:rsidR="00312065" w:rsidRPr="00B376A1" w:rsidRDefault="00312065" w:rsidP="0038024C">
            <w:pPr>
              <w:rPr>
                <w:rFonts w:ascii="Calibri" w:eastAsia="Times New Roman" w:hAnsi="Calibri" w:cs="Times New Roman"/>
                <w:i/>
                <w:color w:val="000000"/>
                <w:lang w:eastAsia="en-NZ"/>
              </w:rPr>
            </w:pPr>
            <w:r w:rsidRPr="00B376A1">
              <w:rPr>
                <w:rFonts w:ascii="Calibri" w:eastAsia="Times New Roman" w:hAnsi="Calibri" w:cs="Times New Roman"/>
                <w:i/>
                <w:color w:val="000000"/>
                <w:lang w:eastAsia="en-NZ"/>
              </w:rPr>
              <w:t>p&gt;F</w:t>
            </w:r>
          </w:p>
        </w:tc>
        <w:tc>
          <w:tcPr>
            <w:tcW w:w="1243" w:type="dxa"/>
          </w:tcPr>
          <w:p w14:paraId="3CABC9E6"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0.000</w:t>
            </w:r>
          </w:p>
        </w:tc>
        <w:tc>
          <w:tcPr>
            <w:tcW w:w="1354" w:type="dxa"/>
          </w:tcPr>
          <w:p w14:paraId="256D5FFD"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0.000</w:t>
            </w:r>
          </w:p>
        </w:tc>
        <w:tc>
          <w:tcPr>
            <w:tcW w:w="1133" w:type="dxa"/>
          </w:tcPr>
          <w:p w14:paraId="700821CF" w14:textId="77777777" w:rsidR="00312065" w:rsidRPr="00380115" w:rsidRDefault="00312065" w:rsidP="0038024C">
            <w:pPr>
              <w:rPr>
                <w:rFonts w:ascii="Calibri" w:eastAsia="Times New Roman" w:hAnsi="Calibri" w:cs="Times New Roman"/>
                <w:color w:val="000000"/>
                <w:lang w:eastAsia="en-NZ"/>
              </w:rPr>
            </w:pPr>
            <w:r w:rsidRPr="00380115">
              <w:rPr>
                <w:rFonts w:ascii="Calibri" w:eastAsia="Times New Roman" w:hAnsi="Calibri" w:cs="Times New Roman"/>
                <w:color w:val="000000"/>
                <w:lang w:eastAsia="en-NZ"/>
              </w:rPr>
              <w:t>0.000</w:t>
            </w:r>
          </w:p>
        </w:tc>
        <w:tc>
          <w:tcPr>
            <w:tcW w:w="1243" w:type="dxa"/>
            <w:noWrap/>
            <w:hideMark/>
          </w:tcPr>
          <w:p w14:paraId="0305E52F"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0.000</w:t>
            </w:r>
          </w:p>
        </w:tc>
        <w:tc>
          <w:tcPr>
            <w:tcW w:w="1354" w:type="dxa"/>
          </w:tcPr>
          <w:p w14:paraId="1435ED9B"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0.000</w:t>
            </w:r>
          </w:p>
        </w:tc>
        <w:tc>
          <w:tcPr>
            <w:tcW w:w="1212" w:type="dxa"/>
            <w:gridSpan w:val="2"/>
          </w:tcPr>
          <w:p w14:paraId="73E90942"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0.000</w:t>
            </w:r>
          </w:p>
        </w:tc>
      </w:tr>
      <w:tr w:rsidR="00312065" w:rsidRPr="00A21800" w14:paraId="322D464A" w14:textId="77777777" w:rsidTr="0038024C">
        <w:trPr>
          <w:trHeight w:val="288"/>
        </w:trPr>
        <w:tc>
          <w:tcPr>
            <w:tcW w:w="1943" w:type="dxa"/>
            <w:hideMark/>
          </w:tcPr>
          <w:p w14:paraId="194A6488" w14:textId="77777777" w:rsidR="00312065" w:rsidRPr="00B376A1" w:rsidRDefault="00312065" w:rsidP="0038024C">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Obs</w:t>
            </w:r>
          </w:p>
        </w:tc>
        <w:tc>
          <w:tcPr>
            <w:tcW w:w="1243" w:type="dxa"/>
          </w:tcPr>
          <w:p w14:paraId="55FF7864" w14:textId="77777777" w:rsidR="00312065" w:rsidRPr="00107649" w:rsidRDefault="00312065" w:rsidP="0038024C">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105</w:t>
            </w:r>
          </w:p>
        </w:tc>
        <w:tc>
          <w:tcPr>
            <w:tcW w:w="1354" w:type="dxa"/>
          </w:tcPr>
          <w:p w14:paraId="44BA7D01"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131</w:t>
            </w:r>
          </w:p>
        </w:tc>
        <w:tc>
          <w:tcPr>
            <w:tcW w:w="1133" w:type="dxa"/>
          </w:tcPr>
          <w:p w14:paraId="415A5FB0" w14:textId="77777777" w:rsidR="00312065" w:rsidRPr="00380115" w:rsidRDefault="00312065" w:rsidP="0038024C">
            <w:pPr>
              <w:rPr>
                <w:rFonts w:ascii="Calibri" w:eastAsia="Times New Roman" w:hAnsi="Calibri" w:cs="Times New Roman"/>
                <w:color w:val="000000"/>
                <w:lang w:eastAsia="en-NZ"/>
              </w:rPr>
            </w:pPr>
            <w:r w:rsidRPr="00380115">
              <w:rPr>
                <w:rFonts w:ascii="Calibri" w:eastAsia="Times New Roman" w:hAnsi="Calibri" w:cs="Times New Roman"/>
                <w:color w:val="000000"/>
                <w:lang w:eastAsia="en-NZ"/>
              </w:rPr>
              <w:t>131</w:t>
            </w:r>
          </w:p>
        </w:tc>
        <w:tc>
          <w:tcPr>
            <w:tcW w:w="1243" w:type="dxa"/>
            <w:noWrap/>
            <w:hideMark/>
          </w:tcPr>
          <w:p w14:paraId="4315B1FD" w14:textId="77777777" w:rsidR="00312065" w:rsidRPr="00107649" w:rsidRDefault="00312065" w:rsidP="0038024C">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79</w:t>
            </w:r>
          </w:p>
        </w:tc>
        <w:tc>
          <w:tcPr>
            <w:tcW w:w="1354" w:type="dxa"/>
          </w:tcPr>
          <w:p w14:paraId="325A0297" w14:textId="77777777" w:rsidR="00312065" w:rsidRPr="00107649" w:rsidRDefault="00312065" w:rsidP="0038024C">
            <w:pPr>
              <w:rPr>
                <w:rFonts w:ascii="Calibri" w:eastAsia="Times New Roman" w:hAnsi="Calibri" w:cs="Times New Roman"/>
                <w:color w:val="000000"/>
                <w:lang w:eastAsia="en-NZ"/>
              </w:rPr>
            </w:pPr>
            <w:r w:rsidRPr="000E4666">
              <w:rPr>
                <w:rFonts w:ascii="Calibri" w:eastAsia="Times New Roman" w:hAnsi="Calibri" w:cs="Times New Roman"/>
                <w:color w:val="000000"/>
                <w:lang w:eastAsia="en-NZ"/>
              </w:rPr>
              <w:t>108</w:t>
            </w:r>
          </w:p>
        </w:tc>
        <w:tc>
          <w:tcPr>
            <w:tcW w:w="1212" w:type="dxa"/>
            <w:gridSpan w:val="2"/>
          </w:tcPr>
          <w:p w14:paraId="42221FDD" w14:textId="77777777" w:rsidR="00312065" w:rsidRPr="009A734F" w:rsidRDefault="00312065" w:rsidP="0038024C">
            <w:pPr>
              <w:rPr>
                <w:rFonts w:ascii="Calibri" w:eastAsia="Times New Roman" w:hAnsi="Calibri" w:cs="Times New Roman"/>
                <w:color w:val="000000"/>
                <w:lang w:eastAsia="en-NZ"/>
              </w:rPr>
            </w:pPr>
            <w:r w:rsidRPr="009A734F">
              <w:rPr>
                <w:rFonts w:ascii="Calibri" w:eastAsia="Times New Roman" w:hAnsi="Calibri" w:cs="Times New Roman"/>
                <w:color w:val="000000"/>
                <w:lang w:eastAsia="en-NZ"/>
              </w:rPr>
              <w:t>108</w:t>
            </w:r>
          </w:p>
        </w:tc>
      </w:tr>
    </w:tbl>
    <w:p w14:paraId="0DEE5908" w14:textId="77777777" w:rsidR="00312065" w:rsidRPr="00A21800" w:rsidRDefault="00312065" w:rsidP="00312065">
      <w:pPr>
        <w:rPr>
          <w:highlight w:val="yellow"/>
        </w:rPr>
      </w:pPr>
    </w:p>
    <w:p w14:paraId="0BDA3AB6" w14:textId="4E0CAA40" w:rsidR="00670822" w:rsidRDefault="00312065" w:rsidP="00312065">
      <w:pPr>
        <w:jc w:val="both"/>
      </w:pPr>
      <w:r>
        <w:t xml:space="preserve">This table reports the robustness results from </w:t>
      </w:r>
      <w:r w:rsidRPr="00C774E8">
        <w:t xml:space="preserve">OLS cross-sectional regressions </w:t>
      </w:r>
      <w:r>
        <w:t xml:space="preserve">of the cumulative abnormal returns for each project announcement. The dependent variable is the 3-day </w:t>
      </w:r>
      <w:r w:rsidR="003B13F2" w:rsidRPr="003B13F2">
        <w:rPr>
          <w:i/>
        </w:rPr>
        <w:t>CAR</w:t>
      </w:r>
      <w:r w:rsidRPr="00492C81">
        <w:t xml:space="preserve"> </w:t>
      </w:r>
      <w:r w:rsidR="006716DF">
        <w:t>[</w:t>
      </w:r>
      <w:r w:rsidRPr="00492C81">
        <w:t>0,+2</w:t>
      </w:r>
      <w:r w:rsidR="006716DF">
        <w:t>]</w:t>
      </w:r>
      <w:r>
        <w:t xml:space="preserve"> estimated using market adjusted returns. Model additions include project size (</w:t>
      </w:r>
      <w:r w:rsidRPr="007801A8">
        <w:rPr>
          <w:i/>
        </w:rPr>
        <w:t>Cost</w:t>
      </w:r>
      <w:r>
        <w:rPr>
          <w:i/>
        </w:rPr>
        <w:t>)</w:t>
      </w:r>
      <w:r w:rsidRPr="007801A8">
        <w:rPr>
          <w:i/>
        </w:rPr>
        <w:t xml:space="preserve">, </w:t>
      </w:r>
      <w:r w:rsidRPr="007801A8">
        <w:t>pre-event</w:t>
      </w:r>
      <w:r>
        <w:rPr>
          <w:i/>
        </w:rPr>
        <w:t xml:space="preserve"> </w:t>
      </w:r>
      <w:r>
        <w:t>stock return volatility (</w:t>
      </w:r>
      <w:r w:rsidRPr="007801A8">
        <w:rPr>
          <w:i/>
        </w:rPr>
        <w:t>Volatility</w:t>
      </w:r>
      <w:r>
        <w:rPr>
          <w:i/>
        </w:rPr>
        <w:t>)</w:t>
      </w:r>
      <w:r>
        <w:t xml:space="preserve"> and an alternative </w:t>
      </w:r>
      <w:r w:rsidR="002A64B7">
        <w:t>transparency</w:t>
      </w:r>
      <w:r>
        <w:t xml:space="preserve"> proxy, </w:t>
      </w:r>
      <w:r w:rsidRPr="007801A8">
        <w:rPr>
          <w:i/>
        </w:rPr>
        <w:t>DCP</w:t>
      </w:r>
      <w:r>
        <w:t xml:space="preserve">. </w:t>
      </w:r>
      <w:r w:rsidRPr="00C774E8">
        <w:t xml:space="preserve">See Appendix </w:t>
      </w:r>
      <w:r>
        <w:t>2</w:t>
      </w:r>
      <w:r w:rsidRPr="00C774E8">
        <w:t xml:space="preserve"> for variable definitions. Coefficient estimates are </w:t>
      </w:r>
      <w:r>
        <w:t>reported</w:t>
      </w:r>
      <w:r w:rsidRPr="00C774E8">
        <w:t xml:space="preserve"> with</w:t>
      </w:r>
      <w:r>
        <w:t xml:space="preserve"> heteroscedasticity-robust</w:t>
      </w:r>
      <w:r w:rsidRPr="00C774E8">
        <w:t xml:space="preserve"> </w:t>
      </w:r>
      <w:r w:rsidRPr="00546729">
        <w:rPr>
          <w:i/>
        </w:rPr>
        <w:t>t</w:t>
      </w:r>
      <w:r w:rsidRPr="00C774E8">
        <w:t xml:space="preserve">-statistics in parentheses below. ***, ** and * denote significance at the 1%, 5% and 10% levels, respectively. </w:t>
      </w:r>
    </w:p>
    <w:p w14:paraId="45AD44D8" w14:textId="77777777" w:rsidR="00670822" w:rsidRDefault="00670822">
      <w:r>
        <w:br w:type="page"/>
      </w:r>
    </w:p>
    <w:p w14:paraId="552ED05D" w14:textId="66697A25" w:rsidR="00670822" w:rsidRPr="00C35785" w:rsidRDefault="00670822" w:rsidP="00670822">
      <w:pPr>
        <w:rPr>
          <w:highlight w:val="yellow"/>
        </w:rPr>
      </w:pPr>
      <w:r w:rsidRPr="003A07B8">
        <w:rPr>
          <w:b/>
        </w:rPr>
        <w:lastRenderedPageBreak/>
        <w:t xml:space="preserve">Table 7  </w:t>
      </w:r>
      <w:r w:rsidRPr="003D6E55">
        <w:rPr>
          <w:b/>
        </w:rPr>
        <w:t>Probit</w:t>
      </w:r>
      <w:r w:rsidRPr="003A07B8">
        <w:rPr>
          <w:b/>
        </w:rPr>
        <w:t xml:space="preserve"> model for</w:t>
      </w:r>
      <w:r>
        <w:rPr>
          <w:b/>
        </w:rPr>
        <w:t xml:space="preserve"> the determinants of </w:t>
      </w:r>
      <w:r w:rsidR="00892CEB">
        <w:rPr>
          <w:b/>
        </w:rPr>
        <w:t xml:space="preserve">positive/negative </w:t>
      </w:r>
      <w:r>
        <w:rPr>
          <w:b/>
        </w:rPr>
        <w:t xml:space="preserve">project-level </w:t>
      </w:r>
      <w:r w:rsidRPr="006A77ED">
        <w:rPr>
          <w:b/>
          <w:i/>
        </w:rPr>
        <w:t>CAR</w:t>
      </w:r>
      <w:r w:rsidRPr="00212E7B">
        <w:rPr>
          <w:b/>
        </w:rPr>
        <w:t xml:space="preserve"> </w:t>
      </w:r>
    </w:p>
    <w:p w14:paraId="7FFC68E8" w14:textId="161E0F17" w:rsidR="00670822" w:rsidRPr="00C35785" w:rsidRDefault="00670822" w:rsidP="00670822">
      <w:pPr>
        <w:rPr>
          <w:highlight w:val="yellow"/>
        </w:rPr>
      </w:pPr>
    </w:p>
    <w:tbl>
      <w:tblPr>
        <w:tblStyle w:val="TableGrid"/>
        <w:tblW w:w="807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943"/>
        <w:gridCol w:w="1459"/>
        <w:gridCol w:w="1559"/>
        <w:gridCol w:w="1413"/>
        <w:gridCol w:w="1701"/>
      </w:tblGrid>
      <w:tr w:rsidR="00070F03" w:rsidRPr="00C35785" w14:paraId="50C27FCC" w14:textId="14DBCA17" w:rsidTr="003D6E55">
        <w:tc>
          <w:tcPr>
            <w:tcW w:w="1943" w:type="dxa"/>
            <w:tcBorders>
              <w:bottom w:val="single" w:sz="4" w:space="0" w:color="auto"/>
            </w:tcBorders>
          </w:tcPr>
          <w:p w14:paraId="1151866B" w14:textId="77777777" w:rsidR="00070F03" w:rsidRPr="00C306A2" w:rsidRDefault="00070F03" w:rsidP="00070F03"/>
        </w:tc>
        <w:tc>
          <w:tcPr>
            <w:tcW w:w="1459" w:type="dxa"/>
            <w:tcBorders>
              <w:bottom w:val="single" w:sz="4" w:space="0" w:color="auto"/>
            </w:tcBorders>
          </w:tcPr>
          <w:p w14:paraId="7F9E6D57" w14:textId="5C455376" w:rsidR="00070F03" w:rsidRPr="00C306A2" w:rsidRDefault="00070F03" w:rsidP="00070F03">
            <w:r w:rsidRPr="00C306A2">
              <w:t xml:space="preserve">(1) </w:t>
            </w:r>
          </w:p>
          <w:p w14:paraId="7BD5A4D4" w14:textId="3BEAF285" w:rsidR="00070F03" w:rsidRPr="00C306A2" w:rsidRDefault="00070F03">
            <w:pPr>
              <w:rPr>
                <w:i/>
              </w:rPr>
            </w:pPr>
            <w:r w:rsidRPr="00C306A2">
              <w:rPr>
                <w:i/>
              </w:rPr>
              <w:t>BAS</w:t>
            </w:r>
          </w:p>
        </w:tc>
        <w:tc>
          <w:tcPr>
            <w:tcW w:w="1559" w:type="dxa"/>
            <w:tcBorders>
              <w:bottom w:val="single" w:sz="4" w:space="0" w:color="auto"/>
            </w:tcBorders>
          </w:tcPr>
          <w:p w14:paraId="2CCBCA34" w14:textId="77777777" w:rsidR="00070F03" w:rsidRPr="00C306A2" w:rsidRDefault="00070F03" w:rsidP="00070F03">
            <w:r w:rsidRPr="00C306A2">
              <w:t>(2)</w:t>
            </w:r>
          </w:p>
          <w:p w14:paraId="6EA81F43" w14:textId="09841D6E" w:rsidR="00070F03" w:rsidRPr="00C306A2" w:rsidRDefault="005F21D2" w:rsidP="00070F03">
            <w:pPr>
              <w:rPr>
                <w:i/>
              </w:rPr>
            </w:pPr>
            <w:r w:rsidRPr="00C306A2">
              <w:rPr>
                <w:rFonts w:ascii="Calibri" w:eastAsia="Times New Roman" w:hAnsi="Calibri" w:cs="Times New Roman"/>
                <w:i/>
                <w:color w:val="000000"/>
                <w:lang w:eastAsia="en-NZ"/>
              </w:rPr>
              <w:t>DQ</w:t>
            </w:r>
            <w:r w:rsidRPr="00C306A2">
              <w:rPr>
                <w:rFonts w:ascii="Calibri" w:eastAsia="Times New Roman" w:hAnsi="Calibri" w:cs="Times New Roman"/>
                <w:i/>
                <w:color w:val="000000"/>
                <w:vertAlign w:val="subscript"/>
                <w:lang w:eastAsia="en-NZ"/>
              </w:rPr>
              <w:t>LOW</w:t>
            </w:r>
            <w:r w:rsidRPr="00C306A2">
              <w:rPr>
                <w:rFonts w:ascii="Calibri" w:eastAsia="Times New Roman" w:hAnsi="Calibri" w:cs="Times New Roman"/>
                <w:i/>
                <w:color w:val="000000"/>
                <w:lang w:eastAsia="en-NZ"/>
              </w:rPr>
              <w:t xml:space="preserve"> </w:t>
            </w:r>
            <w:r w:rsidRPr="00C306A2">
              <w:rPr>
                <w:rFonts w:ascii="Calibri" w:eastAsia="Times New Roman" w:hAnsi="Calibri" w:cs="Calibri"/>
                <w:i/>
                <w:color w:val="000000"/>
                <w:lang w:eastAsia="en-NZ"/>
              </w:rPr>
              <w:t>×</w:t>
            </w:r>
            <w:r w:rsidRPr="00C306A2">
              <w:rPr>
                <w:rFonts w:ascii="Calibri" w:eastAsia="Times New Roman" w:hAnsi="Calibri" w:cs="Times New Roman"/>
                <w:i/>
                <w:color w:val="000000"/>
                <w:lang w:eastAsia="en-NZ"/>
              </w:rPr>
              <w:t xml:space="preserve"> BAS</w:t>
            </w:r>
          </w:p>
        </w:tc>
        <w:tc>
          <w:tcPr>
            <w:tcW w:w="1413" w:type="dxa"/>
            <w:tcBorders>
              <w:bottom w:val="single" w:sz="4" w:space="0" w:color="auto"/>
            </w:tcBorders>
          </w:tcPr>
          <w:p w14:paraId="24F9632C" w14:textId="63A987DC" w:rsidR="00070F03" w:rsidRPr="00C306A2" w:rsidRDefault="00070F03" w:rsidP="00070F03">
            <w:r w:rsidRPr="00C306A2">
              <w:t>(3)</w:t>
            </w:r>
          </w:p>
          <w:p w14:paraId="7F754419" w14:textId="79CDE5F9" w:rsidR="00070F03" w:rsidRPr="00C306A2" w:rsidRDefault="00070F03">
            <w:pPr>
              <w:rPr>
                <w:i/>
              </w:rPr>
            </w:pPr>
            <w:r w:rsidRPr="00C306A2">
              <w:rPr>
                <w:i/>
              </w:rPr>
              <w:t>BASDev</w:t>
            </w:r>
          </w:p>
        </w:tc>
        <w:tc>
          <w:tcPr>
            <w:tcW w:w="1701" w:type="dxa"/>
            <w:tcBorders>
              <w:bottom w:val="single" w:sz="4" w:space="0" w:color="auto"/>
            </w:tcBorders>
          </w:tcPr>
          <w:p w14:paraId="7E756307" w14:textId="1F6424C1" w:rsidR="00070F03" w:rsidRPr="00896853" w:rsidRDefault="00070F03" w:rsidP="00070F03">
            <w:r w:rsidRPr="00896853">
              <w:t>(4)</w:t>
            </w:r>
          </w:p>
          <w:p w14:paraId="4EE49565" w14:textId="6E3199BA" w:rsidR="00070F03" w:rsidRPr="00896853" w:rsidRDefault="005F21D2" w:rsidP="00070F03">
            <w:r>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BASDev</w:t>
            </w:r>
            <w:r w:rsidRPr="00896853" w:rsidDel="005F21D2">
              <w:rPr>
                <w:i/>
              </w:rPr>
              <w:t xml:space="preserve"> </w:t>
            </w:r>
          </w:p>
        </w:tc>
      </w:tr>
      <w:tr w:rsidR="00070F03" w:rsidRPr="00C35785" w14:paraId="2FB51F7F" w14:textId="324410A5" w:rsidTr="003D6E55">
        <w:trPr>
          <w:trHeight w:val="288"/>
        </w:trPr>
        <w:tc>
          <w:tcPr>
            <w:tcW w:w="1943" w:type="dxa"/>
            <w:tcBorders>
              <w:bottom w:val="nil"/>
            </w:tcBorders>
            <w:noWrap/>
          </w:tcPr>
          <w:p w14:paraId="50AD93BE" w14:textId="5FDA5B03" w:rsidR="00070F03" w:rsidRPr="003D6E55" w:rsidRDefault="00070F03" w:rsidP="00070F03">
            <w:pPr>
              <w:rPr>
                <w:rFonts w:ascii="Calibri" w:eastAsia="Times New Roman" w:hAnsi="Calibri" w:cs="Times New Roman"/>
                <w:i/>
                <w:color w:val="000000"/>
                <w:highlight w:val="green"/>
                <w:vertAlign w:val="subscript"/>
                <w:lang w:eastAsia="en-NZ"/>
              </w:rPr>
            </w:pPr>
            <w:r w:rsidRPr="00B376A1">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p>
        </w:tc>
        <w:tc>
          <w:tcPr>
            <w:tcW w:w="1459" w:type="dxa"/>
            <w:tcBorders>
              <w:bottom w:val="nil"/>
            </w:tcBorders>
            <w:noWrap/>
          </w:tcPr>
          <w:p w14:paraId="64033F94" w14:textId="54A77A3B" w:rsidR="00070F03" w:rsidRDefault="005F21D2" w:rsidP="00070F03">
            <w:r>
              <w:t>-0.307***</w:t>
            </w:r>
          </w:p>
          <w:p w14:paraId="488AA9AB" w14:textId="3808FE2E" w:rsidR="00070F03" w:rsidRPr="006A77ED" w:rsidRDefault="005C68E8">
            <w:pPr>
              <w:rPr>
                <w:rFonts w:ascii="Calibri" w:hAnsi="Calibri"/>
                <w:color w:val="000000"/>
                <w:highlight w:val="green"/>
              </w:rPr>
            </w:pPr>
            <w:r>
              <w:t>(0.04)</w:t>
            </w:r>
          </w:p>
        </w:tc>
        <w:tc>
          <w:tcPr>
            <w:tcW w:w="1559" w:type="dxa"/>
            <w:tcBorders>
              <w:bottom w:val="nil"/>
            </w:tcBorders>
            <w:noWrap/>
          </w:tcPr>
          <w:p w14:paraId="7E8FFB98" w14:textId="4C0BEEE5" w:rsidR="00070F03" w:rsidRDefault="00263614" w:rsidP="00070F03">
            <w:r>
              <w:t>-0.228***</w:t>
            </w:r>
          </w:p>
          <w:p w14:paraId="1A9F9FB4" w14:textId="00D8AC46" w:rsidR="00070F03" w:rsidRPr="00E744A9" w:rsidRDefault="00070F03">
            <w:pPr>
              <w:rPr>
                <w:rFonts w:ascii="Calibri" w:hAnsi="Calibri"/>
                <w:color w:val="000000"/>
              </w:rPr>
            </w:pPr>
            <w:r>
              <w:t>(</w:t>
            </w:r>
            <w:r w:rsidR="00DD56CE">
              <w:t>0.05</w:t>
            </w:r>
            <w:r>
              <w:t>)</w:t>
            </w:r>
          </w:p>
        </w:tc>
        <w:tc>
          <w:tcPr>
            <w:tcW w:w="1413" w:type="dxa"/>
            <w:tcBorders>
              <w:bottom w:val="nil"/>
            </w:tcBorders>
            <w:noWrap/>
          </w:tcPr>
          <w:p w14:paraId="1892C27A" w14:textId="5907EFC1" w:rsidR="00070F03" w:rsidRPr="003D6E55" w:rsidRDefault="008B372C" w:rsidP="00070F03">
            <w:r>
              <w:t>-0.317***</w:t>
            </w:r>
          </w:p>
          <w:p w14:paraId="3E5A77DD" w14:textId="42F16BB1" w:rsidR="00070F03" w:rsidRPr="003D6E55" w:rsidRDefault="00070F03">
            <w:pPr>
              <w:rPr>
                <w:rFonts w:ascii="Calibri" w:hAnsi="Calibri"/>
                <w:color w:val="000000"/>
              </w:rPr>
            </w:pPr>
            <w:r w:rsidRPr="003D6E55">
              <w:t>(</w:t>
            </w:r>
            <w:r w:rsidR="002B74D4" w:rsidRPr="003D6E55">
              <w:t>0.</w:t>
            </w:r>
            <w:r w:rsidR="00C306A2">
              <w:t>04</w:t>
            </w:r>
            <w:r w:rsidRPr="003D6E55">
              <w:t>)</w:t>
            </w:r>
          </w:p>
        </w:tc>
        <w:tc>
          <w:tcPr>
            <w:tcW w:w="1701" w:type="dxa"/>
            <w:tcBorders>
              <w:bottom w:val="nil"/>
            </w:tcBorders>
          </w:tcPr>
          <w:p w14:paraId="54BB1A3D" w14:textId="42BD2BA9" w:rsidR="00070F03" w:rsidRPr="003D6E55" w:rsidRDefault="00896853" w:rsidP="00070F03">
            <w:r w:rsidRPr="003D6E55">
              <w:t>-0.239***</w:t>
            </w:r>
          </w:p>
          <w:p w14:paraId="783F5252" w14:textId="6E40BB5F" w:rsidR="00070F03" w:rsidRPr="003D6E55" w:rsidRDefault="00070F03">
            <w:r w:rsidRPr="003D6E55">
              <w:t>(</w:t>
            </w:r>
            <w:r w:rsidR="00D876DA">
              <w:t>0.06</w:t>
            </w:r>
            <w:r w:rsidRPr="003D6E55">
              <w:t>)</w:t>
            </w:r>
          </w:p>
        </w:tc>
      </w:tr>
      <w:tr w:rsidR="00070F03" w:rsidRPr="00C35785" w14:paraId="00F8B613" w14:textId="52C44F22" w:rsidTr="003D6E55">
        <w:trPr>
          <w:trHeight w:val="288"/>
        </w:trPr>
        <w:tc>
          <w:tcPr>
            <w:tcW w:w="1943" w:type="dxa"/>
            <w:tcBorders>
              <w:top w:val="nil"/>
              <w:bottom w:val="nil"/>
            </w:tcBorders>
            <w:noWrap/>
          </w:tcPr>
          <w:p w14:paraId="0CA8EC61" w14:textId="52FA513F" w:rsidR="00070F03" w:rsidRPr="00892CEB" w:rsidRDefault="00070F03" w:rsidP="00070F03">
            <w:pPr>
              <w:rPr>
                <w:rFonts w:ascii="Calibri" w:eastAsia="Times New Roman" w:hAnsi="Calibri" w:cs="Times New Roman"/>
                <w:i/>
                <w:color w:val="000000"/>
                <w:lang w:eastAsia="en-NZ"/>
              </w:rPr>
            </w:pPr>
            <w:r>
              <w:rPr>
                <w:rFonts w:ascii="Calibri" w:eastAsia="Times New Roman" w:hAnsi="Calibri" w:cs="Times New Roman"/>
                <w:i/>
                <w:color w:val="000000"/>
                <w:lang w:eastAsia="en-NZ"/>
              </w:rPr>
              <w:t>BAS</w:t>
            </w:r>
          </w:p>
        </w:tc>
        <w:tc>
          <w:tcPr>
            <w:tcW w:w="1459" w:type="dxa"/>
            <w:tcBorders>
              <w:top w:val="nil"/>
              <w:bottom w:val="nil"/>
            </w:tcBorders>
            <w:noWrap/>
          </w:tcPr>
          <w:p w14:paraId="458A998B" w14:textId="44612891" w:rsidR="00070F03" w:rsidRDefault="005F21D2" w:rsidP="00070F03">
            <w:pPr>
              <w:rPr>
                <w:rFonts w:ascii="Calibri" w:eastAsia="Times New Roman" w:hAnsi="Calibri" w:cs="Times New Roman"/>
                <w:color w:val="000000"/>
                <w:lang w:eastAsia="en-NZ"/>
              </w:rPr>
            </w:pPr>
            <w:r>
              <w:rPr>
                <w:rFonts w:ascii="Calibri" w:eastAsia="Times New Roman" w:hAnsi="Calibri" w:cs="Times New Roman"/>
                <w:color w:val="000000"/>
                <w:lang w:eastAsia="en-NZ"/>
              </w:rPr>
              <w:t>-0.876</w:t>
            </w:r>
            <w:r w:rsidR="00263614">
              <w:rPr>
                <w:rFonts w:ascii="Calibri" w:eastAsia="Times New Roman" w:hAnsi="Calibri" w:cs="Times New Roman"/>
                <w:color w:val="000000"/>
                <w:lang w:eastAsia="en-NZ"/>
              </w:rPr>
              <w:t>***</w:t>
            </w:r>
          </w:p>
          <w:p w14:paraId="4780FB43" w14:textId="5E5E22A8" w:rsidR="00263614" w:rsidRPr="00107649" w:rsidRDefault="00DD56CE">
            <w:pPr>
              <w:rPr>
                <w:rFonts w:ascii="Calibri" w:eastAsia="Times New Roman" w:hAnsi="Calibri" w:cs="Times New Roman"/>
                <w:color w:val="000000"/>
                <w:lang w:eastAsia="en-NZ"/>
              </w:rPr>
            </w:pPr>
            <w:r>
              <w:rPr>
                <w:rFonts w:ascii="Calibri" w:eastAsia="Times New Roman" w:hAnsi="Calibri" w:cs="Times New Roman"/>
                <w:color w:val="000000"/>
                <w:lang w:eastAsia="en-NZ"/>
              </w:rPr>
              <w:t>(0.23)</w:t>
            </w:r>
          </w:p>
        </w:tc>
        <w:tc>
          <w:tcPr>
            <w:tcW w:w="1559" w:type="dxa"/>
            <w:tcBorders>
              <w:top w:val="nil"/>
              <w:bottom w:val="nil"/>
            </w:tcBorders>
            <w:noWrap/>
          </w:tcPr>
          <w:p w14:paraId="3EFBD3BF" w14:textId="1F4B49CB" w:rsidR="00070F03" w:rsidRPr="001C2124" w:rsidRDefault="00263614" w:rsidP="00070F03">
            <w:pPr>
              <w:rPr>
                <w:rFonts w:ascii="Calibri" w:hAnsi="Calibri"/>
              </w:rPr>
            </w:pPr>
            <w:r w:rsidRPr="001C2124">
              <w:rPr>
                <w:rFonts w:ascii="Calibri" w:hAnsi="Calibri"/>
              </w:rPr>
              <w:t>0.261</w:t>
            </w:r>
          </w:p>
          <w:p w14:paraId="3A3411C2" w14:textId="5AA7AEB8" w:rsidR="00070F03" w:rsidRPr="001C2124" w:rsidRDefault="00DD56CE">
            <w:pPr>
              <w:rPr>
                <w:rFonts w:ascii="Calibri" w:hAnsi="Calibri"/>
              </w:rPr>
            </w:pPr>
            <w:r>
              <w:rPr>
                <w:rFonts w:ascii="Calibri" w:hAnsi="Calibri"/>
              </w:rPr>
              <w:t>(0.45)</w:t>
            </w:r>
          </w:p>
        </w:tc>
        <w:tc>
          <w:tcPr>
            <w:tcW w:w="1413" w:type="dxa"/>
            <w:tcBorders>
              <w:top w:val="nil"/>
              <w:bottom w:val="nil"/>
            </w:tcBorders>
            <w:noWrap/>
          </w:tcPr>
          <w:p w14:paraId="7A99FFD6" w14:textId="1574DD31" w:rsidR="00070F03" w:rsidRPr="003D6E55" w:rsidRDefault="00070F03" w:rsidP="00070F03">
            <w:pPr>
              <w:rPr>
                <w:rFonts w:ascii="Calibri" w:hAnsi="Calibri"/>
                <w:color w:val="000000"/>
              </w:rPr>
            </w:pPr>
          </w:p>
        </w:tc>
        <w:tc>
          <w:tcPr>
            <w:tcW w:w="1701" w:type="dxa"/>
            <w:tcBorders>
              <w:top w:val="nil"/>
              <w:bottom w:val="nil"/>
            </w:tcBorders>
          </w:tcPr>
          <w:p w14:paraId="501CA1E5" w14:textId="77777777" w:rsidR="00070F03" w:rsidRPr="003D6E55" w:rsidRDefault="00070F03" w:rsidP="00070F03">
            <w:pPr>
              <w:rPr>
                <w:rFonts w:ascii="Calibri" w:hAnsi="Calibri"/>
                <w:color w:val="000000"/>
              </w:rPr>
            </w:pPr>
          </w:p>
        </w:tc>
      </w:tr>
      <w:tr w:rsidR="00070F03" w:rsidRPr="00C35785" w14:paraId="0FFE658D" w14:textId="77777777" w:rsidTr="003D6E55">
        <w:trPr>
          <w:trHeight w:val="288"/>
        </w:trPr>
        <w:tc>
          <w:tcPr>
            <w:tcW w:w="1943" w:type="dxa"/>
            <w:tcBorders>
              <w:top w:val="nil"/>
              <w:bottom w:val="nil"/>
            </w:tcBorders>
            <w:noWrap/>
          </w:tcPr>
          <w:p w14:paraId="416A2406" w14:textId="29AD81E5" w:rsidR="00070F03" w:rsidRPr="00070F03" w:rsidRDefault="00070F03" w:rsidP="00070F03">
            <w:pPr>
              <w:rPr>
                <w:rFonts w:ascii="Calibri" w:eastAsia="Times New Roman" w:hAnsi="Calibri" w:cs="Times New Roman"/>
                <w:i/>
                <w:color w:val="000000"/>
                <w:lang w:eastAsia="en-NZ"/>
              </w:rPr>
            </w:pPr>
            <w:r>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w:t>
            </w:r>
          </w:p>
        </w:tc>
        <w:tc>
          <w:tcPr>
            <w:tcW w:w="1459" w:type="dxa"/>
            <w:tcBorders>
              <w:top w:val="nil"/>
              <w:bottom w:val="nil"/>
            </w:tcBorders>
            <w:noWrap/>
          </w:tcPr>
          <w:p w14:paraId="1FF4D0B9" w14:textId="476B7DAC" w:rsidR="00263614" w:rsidRPr="00107649" w:rsidRDefault="00263614">
            <w:pPr>
              <w:rPr>
                <w:rFonts w:ascii="Calibri" w:eastAsia="Times New Roman" w:hAnsi="Calibri" w:cs="Times New Roman"/>
                <w:color w:val="000000"/>
                <w:lang w:eastAsia="en-NZ"/>
              </w:rPr>
            </w:pPr>
          </w:p>
        </w:tc>
        <w:tc>
          <w:tcPr>
            <w:tcW w:w="1559" w:type="dxa"/>
            <w:tcBorders>
              <w:top w:val="nil"/>
              <w:bottom w:val="nil"/>
            </w:tcBorders>
            <w:noWrap/>
          </w:tcPr>
          <w:p w14:paraId="2C011B05" w14:textId="77777777" w:rsidR="00070F03" w:rsidRDefault="00263614" w:rsidP="00070F03">
            <w:pPr>
              <w:rPr>
                <w:rFonts w:ascii="Calibri" w:hAnsi="Calibri"/>
                <w:color w:val="000000"/>
              </w:rPr>
            </w:pPr>
            <w:r>
              <w:rPr>
                <w:rFonts w:ascii="Calibri" w:hAnsi="Calibri"/>
                <w:color w:val="000000"/>
              </w:rPr>
              <w:t>-1.512***</w:t>
            </w:r>
          </w:p>
          <w:p w14:paraId="0DF81B2F" w14:textId="01C10DD3" w:rsidR="00263614" w:rsidRDefault="00263614">
            <w:pPr>
              <w:rPr>
                <w:rFonts w:ascii="Calibri" w:hAnsi="Calibri"/>
                <w:color w:val="000000"/>
              </w:rPr>
            </w:pPr>
            <w:r>
              <w:rPr>
                <w:rFonts w:ascii="Calibri" w:hAnsi="Calibri"/>
                <w:color w:val="000000"/>
              </w:rPr>
              <w:t>(</w:t>
            </w:r>
            <w:r w:rsidR="00DD56CE">
              <w:rPr>
                <w:rFonts w:ascii="Calibri" w:hAnsi="Calibri"/>
                <w:color w:val="000000"/>
              </w:rPr>
              <w:t>0.51</w:t>
            </w:r>
            <w:r>
              <w:rPr>
                <w:rFonts w:ascii="Calibri" w:hAnsi="Calibri"/>
                <w:color w:val="000000"/>
              </w:rPr>
              <w:t>)</w:t>
            </w:r>
          </w:p>
        </w:tc>
        <w:tc>
          <w:tcPr>
            <w:tcW w:w="1413" w:type="dxa"/>
            <w:tcBorders>
              <w:top w:val="nil"/>
              <w:bottom w:val="nil"/>
            </w:tcBorders>
            <w:noWrap/>
          </w:tcPr>
          <w:p w14:paraId="0237829D" w14:textId="77777777" w:rsidR="00070F03" w:rsidRPr="003D6E55" w:rsidRDefault="00070F03" w:rsidP="00070F03">
            <w:pPr>
              <w:rPr>
                <w:rFonts w:ascii="Calibri" w:hAnsi="Calibri"/>
                <w:color w:val="000000"/>
              </w:rPr>
            </w:pPr>
          </w:p>
        </w:tc>
        <w:tc>
          <w:tcPr>
            <w:tcW w:w="1701" w:type="dxa"/>
            <w:tcBorders>
              <w:top w:val="nil"/>
              <w:bottom w:val="nil"/>
            </w:tcBorders>
          </w:tcPr>
          <w:p w14:paraId="269A7EC7" w14:textId="77777777" w:rsidR="00070F03" w:rsidRPr="003D6E55" w:rsidRDefault="00070F03" w:rsidP="00070F03">
            <w:pPr>
              <w:rPr>
                <w:rFonts w:ascii="Calibri" w:hAnsi="Calibri"/>
                <w:color w:val="000000"/>
              </w:rPr>
            </w:pPr>
          </w:p>
        </w:tc>
      </w:tr>
      <w:tr w:rsidR="000019C2" w:rsidRPr="00C35785" w14:paraId="3E91A860" w14:textId="77777777" w:rsidTr="003D6E55">
        <w:trPr>
          <w:trHeight w:val="288"/>
        </w:trPr>
        <w:tc>
          <w:tcPr>
            <w:tcW w:w="1943" w:type="dxa"/>
            <w:tcBorders>
              <w:top w:val="nil"/>
              <w:bottom w:val="nil"/>
            </w:tcBorders>
            <w:noWrap/>
          </w:tcPr>
          <w:p w14:paraId="2B191521" w14:textId="4A81C872" w:rsidR="000019C2" w:rsidRDefault="000019C2" w:rsidP="000019C2">
            <w:pPr>
              <w:rPr>
                <w:rFonts w:ascii="Calibri" w:eastAsia="Times New Roman" w:hAnsi="Calibri" w:cs="Times New Roman"/>
                <w:i/>
                <w:color w:val="000000"/>
                <w:lang w:eastAsia="en-NZ"/>
              </w:rPr>
            </w:pPr>
            <w:r>
              <w:rPr>
                <w:rFonts w:ascii="Calibri" w:eastAsia="Times New Roman" w:hAnsi="Calibri" w:cs="Times New Roman"/>
                <w:i/>
                <w:color w:val="000000"/>
                <w:lang w:eastAsia="en-NZ"/>
              </w:rPr>
              <w:t>BASDev</w:t>
            </w:r>
          </w:p>
        </w:tc>
        <w:tc>
          <w:tcPr>
            <w:tcW w:w="1459" w:type="dxa"/>
            <w:tcBorders>
              <w:top w:val="nil"/>
              <w:bottom w:val="nil"/>
            </w:tcBorders>
            <w:noWrap/>
          </w:tcPr>
          <w:p w14:paraId="7C4C687A" w14:textId="77777777" w:rsidR="000019C2" w:rsidRDefault="000019C2" w:rsidP="000019C2">
            <w:pPr>
              <w:rPr>
                <w:rFonts w:ascii="Calibri" w:eastAsia="Times New Roman" w:hAnsi="Calibri" w:cs="Times New Roman"/>
                <w:color w:val="000000"/>
                <w:lang w:eastAsia="en-NZ"/>
              </w:rPr>
            </w:pPr>
          </w:p>
        </w:tc>
        <w:tc>
          <w:tcPr>
            <w:tcW w:w="1559" w:type="dxa"/>
            <w:tcBorders>
              <w:top w:val="nil"/>
              <w:bottom w:val="nil"/>
            </w:tcBorders>
            <w:noWrap/>
          </w:tcPr>
          <w:p w14:paraId="1A511A31" w14:textId="77777777" w:rsidR="000019C2" w:rsidRDefault="000019C2" w:rsidP="000019C2">
            <w:pPr>
              <w:rPr>
                <w:rFonts w:ascii="Calibri" w:hAnsi="Calibri"/>
                <w:color w:val="000000"/>
              </w:rPr>
            </w:pPr>
          </w:p>
        </w:tc>
        <w:tc>
          <w:tcPr>
            <w:tcW w:w="1413" w:type="dxa"/>
            <w:tcBorders>
              <w:top w:val="nil"/>
              <w:bottom w:val="nil"/>
            </w:tcBorders>
            <w:noWrap/>
          </w:tcPr>
          <w:p w14:paraId="7FD2C748" w14:textId="77777777" w:rsidR="00C306A2" w:rsidRDefault="000019C2" w:rsidP="000019C2">
            <w:pPr>
              <w:rPr>
                <w:rFonts w:ascii="Calibri" w:hAnsi="Calibri"/>
                <w:color w:val="000000"/>
              </w:rPr>
            </w:pPr>
            <w:r>
              <w:rPr>
                <w:rFonts w:ascii="Calibri" w:hAnsi="Calibri"/>
                <w:color w:val="000000"/>
              </w:rPr>
              <w:t>-0.373</w:t>
            </w:r>
          </w:p>
          <w:p w14:paraId="346685AB" w14:textId="26B4F77C" w:rsidR="000019C2" w:rsidRPr="003D6E55" w:rsidRDefault="00C306A2" w:rsidP="000019C2">
            <w:pPr>
              <w:rPr>
                <w:rFonts w:ascii="Calibri" w:hAnsi="Calibri"/>
                <w:color w:val="000000"/>
              </w:rPr>
            </w:pPr>
            <w:r>
              <w:rPr>
                <w:rFonts w:ascii="Calibri" w:hAnsi="Calibri"/>
                <w:color w:val="000000"/>
              </w:rPr>
              <w:t>(0.26)</w:t>
            </w:r>
          </w:p>
        </w:tc>
        <w:tc>
          <w:tcPr>
            <w:tcW w:w="1701" w:type="dxa"/>
            <w:tcBorders>
              <w:top w:val="nil"/>
              <w:bottom w:val="nil"/>
            </w:tcBorders>
          </w:tcPr>
          <w:p w14:paraId="7AA5355C" w14:textId="77777777" w:rsidR="000019C2" w:rsidRPr="003D6E55" w:rsidRDefault="000019C2" w:rsidP="000019C2">
            <w:pPr>
              <w:rPr>
                <w:rFonts w:ascii="Calibri" w:hAnsi="Calibri"/>
                <w:color w:val="000000"/>
              </w:rPr>
            </w:pPr>
            <w:r w:rsidRPr="003D6E55">
              <w:rPr>
                <w:rFonts w:ascii="Calibri" w:hAnsi="Calibri"/>
                <w:color w:val="000000"/>
              </w:rPr>
              <w:t>0.707</w:t>
            </w:r>
          </w:p>
          <w:p w14:paraId="5C22CFFB" w14:textId="66B242E5" w:rsidR="000019C2" w:rsidRPr="003D6E55" w:rsidRDefault="000019C2">
            <w:pPr>
              <w:rPr>
                <w:rFonts w:ascii="Calibri" w:hAnsi="Calibri"/>
                <w:color w:val="000000"/>
              </w:rPr>
            </w:pPr>
            <w:r w:rsidRPr="003D6E55">
              <w:rPr>
                <w:rFonts w:ascii="Calibri" w:hAnsi="Calibri"/>
                <w:color w:val="000000"/>
              </w:rPr>
              <w:t>(</w:t>
            </w:r>
            <w:r w:rsidR="00D876DA">
              <w:rPr>
                <w:rFonts w:ascii="Calibri" w:hAnsi="Calibri"/>
                <w:color w:val="000000"/>
              </w:rPr>
              <w:t>0.57</w:t>
            </w:r>
            <w:r w:rsidRPr="003D6E55">
              <w:rPr>
                <w:rFonts w:ascii="Calibri" w:hAnsi="Calibri"/>
                <w:color w:val="000000"/>
              </w:rPr>
              <w:t>)</w:t>
            </w:r>
          </w:p>
        </w:tc>
      </w:tr>
      <w:tr w:rsidR="00896853" w:rsidRPr="00C35785" w14:paraId="1D1C9966" w14:textId="77777777" w:rsidTr="003D6E55">
        <w:trPr>
          <w:trHeight w:val="288"/>
        </w:trPr>
        <w:tc>
          <w:tcPr>
            <w:tcW w:w="1943" w:type="dxa"/>
            <w:tcBorders>
              <w:top w:val="nil"/>
              <w:bottom w:val="nil"/>
            </w:tcBorders>
            <w:noWrap/>
          </w:tcPr>
          <w:p w14:paraId="74F53CB2" w14:textId="1CEA2A84" w:rsidR="00896853" w:rsidRDefault="00896853" w:rsidP="00070F03">
            <w:pPr>
              <w:rPr>
                <w:rFonts w:ascii="Calibri" w:eastAsia="Times New Roman" w:hAnsi="Calibri" w:cs="Times New Roman"/>
                <w:i/>
                <w:color w:val="000000"/>
                <w:lang w:eastAsia="en-NZ"/>
              </w:rPr>
            </w:pPr>
            <w:r>
              <w:rPr>
                <w:rFonts w:ascii="Calibri" w:eastAsia="Times New Roman" w:hAnsi="Calibri" w:cs="Times New Roman"/>
                <w:i/>
                <w:color w:val="000000"/>
                <w:lang w:eastAsia="en-NZ"/>
              </w:rPr>
              <w:t>DQ</w:t>
            </w:r>
            <w:r>
              <w:rPr>
                <w:rFonts w:ascii="Calibri" w:eastAsia="Times New Roman" w:hAnsi="Calibri" w:cs="Times New Roman"/>
                <w:i/>
                <w:color w:val="000000"/>
                <w:vertAlign w:val="subscript"/>
                <w:lang w:eastAsia="en-NZ"/>
              </w:rPr>
              <w:t>LOW</w:t>
            </w:r>
            <w:r>
              <w:rPr>
                <w:rFonts w:ascii="Calibri" w:eastAsia="Times New Roman" w:hAnsi="Calibri" w:cs="Times New Roman"/>
                <w:i/>
                <w:color w:val="000000"/>
                <w:lang w:eastAsia="en-NZ"/>
              </w:rPr>
              <w:t xml:space="preserve"> </w:t>
            </w:r>
            <w:r>
              <w:rPr>
                <w:rFonts w:ascii="Calibri" w:eastAsia="Times New Roman" w:hAnsi="Calibri" w:cs="Calibri"/>
                <w:i/>
                <w:color w:val="000000"/>
                <w:lang w:eastAsia="en-NZ"/>
              </w:rPr>
              <w:t>×</w:t>
            </w:r>
            <w:r>
              <w:rPr>
                <w:rFonts w:ascii="Calibri" w:eastAsia="Times New Roman" w:hAnsi="Calibri" w:cs="Times New Roman"/>
                <w:i/>
                <w:color w:val="000000"/>
                <w:lang w:eastAsia="en-NZ"/>
              </w:rPr>
              <w:t xml:space="preserve"> BASDev</w:t>
            </w:r>
          </w:p>
        </w:tc>
        <w:tc>
          <w:tcPr>
            <w:tcW w:w="1459" w:type="dxa"/>
            <w:tcBorders>
              <w:top w:val="nil"/>
              <w:bottom w:val="nil"/>
            </w:tcBorders>
            <w:noWrap/>
          </w:tcPr>
          <w:p w14:paraId="7F265FFD" w14:textId="77777777" w:rsidR="00896853" w:rsidRDefault="00896853" w:rsidP="00070F03">
            <w:pPr>
              <w:rPr>
                <w:rFonts w:ascii="Calibri" w:eastAsia="Times New Roman" w:hAnsi="Calibri" w:cs="Times New Roman"/>
                <w:color w:val="000000"/>
                <w:lang w:eastAsia="en-NZ"/>
              </w:rPr>
            </w:pPr>
          </w:p>
        </w:tc>
        <w:tc>
          <w:tcPr>
            <w:tcW w:w="1559" w:type="dxa"/>
            <w:tcBorders>
              <w:top w:val="nil"/>
              <w:bottom w:val="nil"/>
            </w:tcBorders>
            <w:noWrap/>
          </w:tcPr>
          <w:p w14:paraId="7E3D5954" w14:textId="77777777" w:rsidR="00896853" w:rsidRDefault="00896853" w:rsidP="00070F03">
            <w:pPr>
              <w:rPr>
                <w:rFonts w:ascii="Calibri" w:hAnsi="Calibri"/>
                <w:color w:val="000000"/>
              </w:rPr>
            </w:pPr>
          </w:p>
        </w:tc>
        <w:tc>
          <w:tcPr>
            <w:tcW w:w="1413" w:type="dxa"/>
            <w:tcBorders>
              <w:top w:val="nil"/>
              <w:bottom w:val="nil"/>
            </w:tcBorders>
            <w:noWrap/>
          </w:tcPr>
          <w:p w14:paraId="1298E56D" w14:textId="5FBD35AA" w:rsidR="00896853" w:rsidRPr="003D6E55" w:rsidRDefault="00896853" w:rsidP="00070F03">
            <w:pPr>
              <w:rPr>
                <w:rFonts w:ascii="Calibri" w:hAnsi="Calibri"/>
                <w:color w:val="000000"/>
              </w:rPr>
            </w:pPr>
          </w:p>
        </w:tc>
        <w:tc>
          <w:tcPr>
            <w:tcW w:w="1701" w:type="dxa"/>
            <w:tcBorders>
              <w:top w:val="nil"/>
              <w:bottom w:val="nil"/>
            </w:tcBorders>
          </w:tcPr>
          <w:p w14:paraId="1B2DE5D5" w14:textId="096E2300" w:rsidR="00896853" w:rsidRPr="003D6E55" w:rsidRDefault="00896853" w:rsidP="00070F03">
            <w:pPr>
              <w:rPr>
                <w:rFonts w:ascii="Calibri" w:hAnsi="Calibri"/>
                <w:color w:val="000000"/>
              </w:rPr>
            </w:pPr>
            <w:r w:rsidRPr="003D6E55">
              <w:rPr>
                <w:rFonts w:ascii="Calibri" w:hAnsi="Calibri"/>
                <w:color w:val="000000"/>
              </w:rPr>
              <w:t>-1.414**</w:t>
            </w:r>
          </w:p>
          <w:p w14:paraId="0EA64E75" w14:textId="78C098DD" w:rsidR="00896853" w:rsidRPr="003D6E55" w:rsidRDefault="00896853">
            <w:pPr>
              <w:rPr>
                <w:rFonts w:ascii="Calibri" w:hAnsi="Calibri"/>
                <w:color w:val="000000"/>
              </w:rPr>
            </w:pPr>
            <w:r w:rsidRPr="003D6E55">
              <w:rPr>
                <w:rFonts w:ascii="Calibri" w:hAnsi="Calibri"/>
                <w:color w:val="000000"/>
              </w:rPr>
              <w:t>(</w:t>
            </w:r>
            <w:r w:rsidR="005D75E6">
              <w:rPr>
                <w:rFonts w:ascii="Calibri" w:hAnsi="Calibri"/>
                <w:color w:val="000000"/>
              </w:rPr>
              <w:t>0.65</w:t>
            </w:r>
            <w:r w:rsidRPr="003D6E55">
              <w:rPr>
                <w:rFonts w:ascii="Calibri" w:hAnsi="Calibri"/>
                <w:color w:val="000000"/>
              </w:rPr>
              <w:t>)</w:t>
            </w:r>
          </w:p>
        </w:tc>
      </w:tr>
      <w:tr w:rsidR="00070F03" w:rsidRPr="00C35785" w14:paraId="5C041D1E" w14:textId="757BA029" w:rsidTr="003D6E55">
        <w:trPr>
          <w:trHeight w:val="288"/>
        </w:trPr>
        <w:tc>
          <w:tcPr>
            <w:tcW w:w="1943" w:type="dxa"/>
            <w:tcBorders>
              <w:top w:val="nil"/>
              <w:bottom w:val="nil"/>
            </w:tcBorders>
            <w:noWrap/>
          </w:tcPr>
          <w:p w14:paraId="26806FF0" w14:textId="257DD65A" w:rsidR="00070F03" w:rsidRDefault="00070F03" w:rsidP="00070F03">
            <w:pPr>
              <w:rPr>
                <w:rFonts w:ascii="Calibri" w:eastAsia="Times New Roman" w:hAnsi="Calibri" w:cs="Times New Roman"/>
                <w:i/>
                <w:color w:val="000000"/>
                <w:lang w:eastAsia="en-NZ"/>
              </w:rPr>
            </w:pPr>
            <w:r w:rsidRPr="006A77ED">
              <w:rPr>
                <w:rFonts w:ascii="Calibri" w:eastAsia="Times New Roman" w:hAnsi="Calibri" w:cs="Times New Roman"/>
                <w:i/>
                <w:color w:val="000000"/>
                <w:lang w:eastAsia="en-NZ"/>
              </w:rPr>
              <w:t>Intangibles</w:t>
            </w:r>
          </w:p>
        </w:tc>
        <w:tc>
          <w:tcPr>
            <w:tcW w:w="1459" w:type="dxa"/>
            <w:tcBorders>
              <w:top w:val="nil"/>
              <w:bottom w:val="nil"/>
            </w:tcBorders>
            <w:noWrap/>
          </w:tcPr>
          <w:p w14:paraId="71A80C5B" w14:textId="77777777" w:rsidR="00070F03" w:rsidRDefault="005F21D2" w:rsidP="00070F03">
            <w:pPr>
              <w:rPr>
                <w:rFonts w:ascii="Calibri" w:eastAsia="Times New Roman" w:hAnsi="Calibri" w:cs="Times New Roman"/>
                <w:color w:val="000000"/>
                <w:lang w:eastAsia="en-NZ"/>
              </w:rPr>
            </w:pPr>
            <w:r w:rsidRPr="005F21D2">
              <w:rPr>
                <w:rFonts w:ascii="Calibri" w:eastAsia="Times New Roman" w:hAnsi="Calibri" w:cs="Times New Roman"/>
                <w:color w:val="000000"/>
                <w:lang w:eastAsia="en-NZ"/>
              </w:rPr>
              <w:t>2.591***</w:t>
            </w:r>
          </w:p>
          <w:p w14:paraId="28530874" w14:textId="29739EE2" w:rsidR="00DD56CE" w:rsidRPr="005F21D2" w:rsidRDefault="00DD56CE" w:rsidP="00070F03">
            <w:pPr>
              <w:rPr>
                <w:rFonts w:ascii="Calibri" w:eastAsia="Times New Roman" w:hAnsi="Calibri" w:cs="Times New Roman"/>
                <w:color w:val="000000"/>
                <w:lang w:eastAsia="en-NZ"/>
              </w:rPr>
            </w:pPr>
            <w:r>
              <w:rPr>
                <w:rFonts w:ascii="Calibri" w:eastAsia="Times New Roman" w:hAnsi="Calibri" w:cs="Times New Roman"/>
                <w:color w:val="000000"/>
                <w:lang w:eastAsia="en-NZ"/>
              </w:rPr>
              <w:t>(0.24)</w:t>
            </w:r>
          </w:p>
        </w:tc>
        <w:tc>
          <w:tcPr>
            <w:tcW w:w="1559" w:type="dxa"/>
            <w:tcBorders>
              <w:top w:val="nil"/>
              <w:bottom w:val="nil"/>
            </w:tcBorders>
            <w:noWrap/>
          </w:tcPr>
          <w:p w14:paraId="6C02EE1A" w14:textId="7751CA70" w:rsidR="00070F03" w:rsidRPr="00107649" w:rsidRDefault="00263614" w:rsidP="00070F03">
            <w:pPr>
              <w:rPr>
                <w:rFonts w:ascii="Calibri" w:eastAsia="Times New Roman" w:hAnsi="Calibri" w:cs="Times New Roman"/>
                <w:color w:val="000000"/>
                <w:lang w:eastAsia="en-NZ"/>
              </w:rPr>
            </w:pPr>
            <w:r>
              <w:rPr>
                <w:rFonts w:ascii="Calibri" w:eastAsia="Times New Roman" w:hAnsi="Calibri" w:cs="Times New Roman"/>
                <w:color w:val="000000"/>
                <w:lang w:eastAsia="en-NZ"/>
              </w:rPr>
              <w:t>2.569</w:t>
            </w:r>
            <w:r w:rsidR="00070F03" w:rsidRPr="00107649">
              <w:rPr>
                <w:rFonts w:ascii="Calibri" w:eastAsia="Times New Roman" w:hAnsi="Calibri" w:cs="Times New Roman"/>
                <w:color w:val="000000"/>
                <w:lang w:eastAsia="en-NZ"/>
              </w:rPr>
              <w:t>***</w:t>
            </w:r>
          </w:p>
          <w:p w14:paraId="147821CF" w14:textId="0FB55BE3" w:rsidR="00070F03" w:rsidRPr="000E4666" w:rsidRDefault="00070F03">
            <w:pPr>
              <w:rPr>
                <w:rFonts w:ascii="Calibri" w:hAnsi="Calibri"/>
                <w:color w:val="000000"/>
              </w:rPr>
            </w:pPr>
            <w:r w:rsidRPr="00107649">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0.24</w:t>
            </w:r>
            <w:r w:rsidRPr="00107649">
              <w:rPr>
                <w:rFonts w:ascii="Calibri" w:eastAsia="Times New Roman" w:hAnsi="Calibri" w:cs="Times New Roman"/>
                <w:color w:val="000000"/>
                <w:lang w:eastAsia="en-NZ"/>
              </w:rPr>
              <w:t>)</w:t>
            </w:r>
          </w:p>
        </w:tc>
        <w:tc>
          <w:tcPr>
            <w:tcW w:w="1413" w:type="dxa"/>
            <w:tcBorders>
              <w:top w:val="nil"/>
              <w:bottom w:val="nil"/>
            </w:tcBorders>
            <w:noWrap/>
          </w:tcPr>
          <w:p w14:paraId="706E549B" w14:textId="77777777" w:rsidR="00070F03" w:rsidRDefault="000019C2" w:rsidP="00070F03">
            <w:pPr>
              <w:rPr>
                <w:rFonts w:ascii="Calibri" w:hAnsi="Calibri"/>
                <w:color w:val="000000"/>
              </w:rPr>
            </w:pPr>
            <w:r>
              <w:rPr>
                <w:rFonts w:ascii="Calibri" w:hAnsi="Calibri"/>
                <w:color w:val="000000"/>
              </w:rPr>
              <w:t>2.566***</w:t>
            </w:r>
          </w:p>
          <w:p w14:paraId="5FB5C99B" w14:textId="442B985D" w:rsidR="00C306A2" w:rsidRPr="003D6E55" w:rsidRDefault="00C306A2" w:rsidP="00070F03">
            <w:pPr>
              <w:rPr>
                <w:rFonts w:ascii="Calibri" w:hAnsi="Calibri"/>
                <w:color w:val="000000"/>
              </w:rPr>
            </w:pPr>
            <w:r>
              <w:rPr>
                <w:rFonts w:ascii="Calibri" w:hAnsi="Calibri"/>
                <w:color w:val="000000"/>
              </w:rPr>
              <w:t>(0.24)</w:t>
            </w:r>
          </w:p>
        </w:tc>
        <w:tc>
          <w:tcPr>
            <w:tcW w:w="1701" w:type="dxa"/>
            <w:tcBorders>
              <w:top w:val="nil"/>
              <w:bottom w:val="nil"/>
            </w:tcBorders>
          </w:tcPr>
          <w:p w14:paraId="7A7CDD42" w14:textId="70F38BE0" w:rsidR="00070F03" w:rsidRPr="003D6E55" w:rsidRDefault="00070F03" w:rsidP="00070F03">
            <w:pPr>
              <w:rPr>
                <w:rFonts w:ascii="Calibri" w:eastAsia="Times New Roman" w:hAnsi="Calibri" w:cs="Times New Roman"/>
                <w:color w:val="000000"/>
                <w:lang w:eastAsia="en-NZ"/>
              </w:rPr>
            </w:pPr>
            <w:r w:rsidRPr="003D6E55">
              <w:rPr>
                <w:rFonts w:ascii="Calibri" w:eastAsia="Times New Roman" w:hAnsi="Calibri" w:cs="Times New Roman"/>
                <w:color w:val="000000"/>
                <w:lang w:eastAsia="en-NZ"/>
              </w:rPr>
              <w:t>2.</w:t>
            </w:r>
            <w:r w:rsidR="00896853" w:rsidRPr="003D6E55">
              <w:rPr>
                <w:rFonts w:ascii="Calibri" w:eastAsia="Times New Roman" w:hAnsi="Calibri" w:cs="Times New Roman"/>
                <w:color w:val="000000"/>
                <w:lang w:eastAsia="en-NZ"/>
              </w:rPr>
              <w:t>572</w:t>
            </w:r>
            <w:r w:rsidRPr="003D6E55">
              <w:rPr>
                <w:rFonts w:ascii="Calibri" w:eastAsia="Times New Roman" w:hAnsi="Calibri" w:cs="Times New Roman"/>
                <w:color w:val="000000"/>
                <w:lang w:eastAsia="en-NZ"/>
              </w:rPr>
              <w:t>***</w:t>
            </w:r>
          </w:p>
          <w:p w14:paraId="22BC3A29" w14:textId="3B92C1D9" w:rsidR="00070F03" w:rsidRPr="003D6E55" w:rsidRDefault="00070F03">
            <w:pPr>
              <w:rPr>
                <w:rFonts w:ascii="Calibri" w:hAnsi="Calibri"/>
                <w:color w:val="000000"/>
              </w:rPr>
            </w:pPr>
            <w:r w:rsidRPr="003D6E55">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0.24</w:t>
            </w:r>
            <w:r w:rsidRPr="003D6E55">
              <w:rPr>
                <w:rFonts w:ascii="Calibri" w:eastAsia="Times New Roman" w:hAnsi="Calibri" w:cs="Times New Roman"/>
                <w:color w:val="000000"/>
                <w:lang w:eastAsia="en-NZ"/>
              </w:rPr>
              <w:t>)</w:t>
            </w:r>
          </w:p>
        </w:tc>
      </w:tr>
      <w:tr w:rsidR="00896853" w:rsidRPr="00C35785" w14:paraId="5F0054A1" w14:textId="2A0FF4B6" w:rsidTr="003D6E55">
        <w:trPr>
          <w:trHeight w:val="288"/>
        </w:trPr>
        <w:tc>
          <w:tcPr>
            <w:tcW w:w="1943" w:type="dxa"/>
            <w:tcBorders>
              <w:top w:val="nil"/>
              <w:bottom w:val="nil"/>
            </w:tcBorders>
            <w:noWrap/>
          </w:tcPr>
          <w:p w14:paraId="182CA390" w14:textId="383DBEA4" w:rsidR="00896853" w:rsidRPr="006A77ED" w:rsidRDefault="00896853" w:rsidP="00896853">
            <w:pPr>
              <w:rPr>
                <w:rFonts w:ascii="Calibri" w:eastAsia="Times New Roman" w:hAnsi="Calibri" w:cs="Times New Roman"/>
                <w:i/>
                <w:color w:val="000000"/>
                <w:highlight w:val="green"/>
                <w:lang w:eastAsia="en-NZ"/>
              </w:rPr>
            </w:pPr>
            <w:r w:rsidRPr="00B376A1">
              <w:rPr>
                <w:rFonts w:ascii="Calibri" w:eastAsia="Times New Roman" w:hAnsi="Calibri" w:cs="Times New Roman"/>
                <w:i/>
                <w:color w:val="000000"/>
                <w:lang w:eastAsia="en-NZ"/>
              </w:rPr>
              <w:t>Debt</w:t>
            </w:r>
          </w:p>
        </w:tc>
        <w:tc>
          <w:tcPr>
            <w:tcW w:w="1459" w:type="dxa"/>
            <w:tcBorders>
              <w:top w:val="nil"/>
              <w:bottom w:val="nil"/>
            </w:tcBorders>
            <w:noWrap/>
          </w:tcPr>
          <w:p w14:paraId="083C4162" w14:textId="77777777" w:rsidR="00896853" w:rsidRDefault="005F21D2" w:rsidP="00896853">
            <w:pPr>
              <w:rPr>
                <w:rFonts w:ascii="Calibri" w:hAnsi="Calibri"/>
                <w:color w:val="000000"/>
              </w:rPr>
            </w:pPr>
            <w:r w:rsidRPr="001C2124">
              <w:rPr>
                <w:rFonts w:ascii="Calibri" w:hAnsi="Calibri"/>
                <w:color w:val="000000"/>
              </w:rPr>
              <w:t>0.420***</w:t>
            </w:r>
          </w:p>
          <w:p w14:paraId="1A523422" w14:textId="44665A4A" w:rsidR="00DD56CE" w:rsidRPr="001C2124" w:rsidRDefault="00DD56CE" w:rsidP="00896853">
            <w:pPr>
              <w:rPr>
                <w:rFonts w:ascii="Calibri" w:hAnsi="Calibri"/>
                <w:color w:val="000000"/>
              </w:rPr>
            </w:pPr>
            <w:r>
              <w:rPr>
                <w:rFonts w:ascii="Calibri" w:hAnsi="Calibri"/>
                <w:color w:val="000000"/>
              </w:rPr>
              <w:t>(0.06)</w:t>
            </w:r>
          </w:p>
        </w:tc>
        <w:tc>
          <w:tcPr>
            <w:tcW w:w="1559" w:type="dxa"/>
            <w:tcBorders>
              <w:top w:val="nil"/>
              <w:bottom w:val="nil"/>
            </w:tcBorders>
            <w:noWrap/>
          </w:tcPr>
          <w:p w14:paraId="163FAC80" w14:textId="08236605" w:rsidR="00896853" w:rsidRPr="00FE6753" w:rsidRDefault="00896853" w:rsidP="00896853">
            <w:pPr>
              <w:rPr>
                <w:rFonts w:ascii="Calibri" w:eastAsia="Times New Roman" w:hAnsi="Calibri" w:cs="Times New Roman"/>
                <w:color w:val="000000"/>
                <w:lang w:eastAsia="en-NZ"/>
              </w:rPr>
            </w:pPr>
            <w:r w:rsidRPr="00FE6753">
              <w:rPr>
                <w:rFonts w:ascii="Calibri" w:eastAsia="Times New Roman" w:hAnsi="Calibri" w:cs="Times New Roman"/>
                <w:color w:val="000000"/>
                <w:lang w:eastAsia="en-NZ"/>
              </w:rPr>
              <w:t>0.4</w:t>
            </w:r>
            <w:r w:rsidR="005F21D2" w:rsidRPr="00FE6753">
              <w:rPr>
                <w:rFonts w:ascii="Calibri" w:eastAsia="Times New Roman" w:hAnsi="Calibri" w:cs="Times New Roman"/>
                <w:color w:val="000000"/>
                <w:lang w:eastAsia="en-NZ"/>
              </w:rPr>
              <w:t>6</w:t>
            </w:r>
            <w:r w:rsidRPr="00FE6753">
              <w:rPr>
                <w:rFonts w:ascii="Calibri" w:eastAsia="Times New Roman" w:hAnsi="Calibri" w:cs="Times New Roman"/>
                <w:color w:val="000000"/>
                <w:lang w:eastAsia="en-NZ"/>
              </w:rPr>
              <w:t>0***</w:t>
            </w:r>
          </w:p>
          <w:p w14:paraId="3F042389" w14:textId="510D8C88" w:rsidR="00896853" w:rsidRPr="00FE6753" w:rsidRDefault="00896853">
            <w:pPr>
              <w:rPr>
                <w:rFonts w:ascii="Calibri" w:hAnsi="Calibri"/>
                <w:color w:val="000000"/>
              </w:rPr>
            </w:pPr>
            <w:r w:rsidRPr="00FE6753">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0.06</w:t>
            </w:r>
            <w:r w:rsidRPr="00FE6753">
              <w:rPr>
                <w:rFonts w:ascii="Calibri" w:eastAsia="Times New Roman" w:hAnsi="Calibri" w:cs="Times New Roman"/>
                <w:color w:val="000000"/>
                <w:lang w:eastAsia="en-NZ"/>
              </w:rPr>
              <w:t>)</w:t>
            </w:r>
          </w:p>
        </w:tc>
        <w:tc>
          <w:tcPr>
            <w:tcW w:w="1413" w:type="dxa"/>
            <w:tcBorders>
              <w:top w:val="nil"/>
              <w:bottom w:val="nil"/>
            </w:tcBorders>
            <w:noWrap/>
          </w:tcPr>
          <w:p w14:paraId="3EE91020" w14:textId="77777777" w:rsidR="00896853" w:rsidRDefault="000019C2" w:rsidP="00896853">
            <w:pPr>
              <w:rPr>
                <w:rFonts w:ascii="Calibri" w:hAnsi="Calibri"/>
                <w:color w:val="000000"/>
              </w:rPr>
            </w:pPr>
            <w:r>
              <w:rPr>
                <w:rFonts w:ascii="Calibri" w:hAnsi="Calibri"/>
                <w:color w:val="000000"/>
              </w:rPr>
              <w:t>0.378***</w:t>
            </w:r>
          </w:p>
          <w:p w14:paraId="1178B68F" w14:textId="366B4FB7" w:rsidR="00C306A2" w:rsidRPr="003D6E55" w:rsidRDefault="00C306A2" w:rsidP="00896853">
            <w:pPr>
              <w:rPr>
                <w:rFonts w:ascii="Calibri" w:hAnsi="Calibri"/>
                <w:color w:val="000000"/>
              </w:rPr>
            </w:pPr>
            <w:r>
              <w:rPr>
                <w:rFonts w:ascii="Calibri" w:hAnsi="Calibri"/>
                <w:color w:val="000000"/>
              </w:rPr>
              <w:t>(0.06)</w:t>
            </w:r>
          </w:p>
        </w:tc>
        <w:tc>
          <w:tcPr>
            <w:tcW w:w="1701" w:type="dxa"/>
            <w:tcBorders>
              <w:top w:val="nil"/>
              <w:bottom w:val="nil"/>
            </w:tcBorders>
          </w:tcPr>
          <w:p w14:paraId="7CFAAF79" w14:textId="7FE6711A"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0.408***</w:t>
            </w:r>
          </w:p>
          <w:p w14:paraId="412BBE56" w14:textId="0FD51886"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0.06</w:t>
            </w:r>
            <w:r w:rsidRPr="00896853">
              <w:rPr>
                <w:rFonts w:ascii="Calibri" w:eastAsia="Times New Roman" w:hAnsi="Calibri" w:cs="Times New Roman"/>
                <w:color w:val="000000"/>
                <w:lang w:eastAsia="en-NZ"/>
              </w:rPr>
              <w:t>)</w:t>
            </w:r>
          </w:p>
        </w:tc>
      </w:tr>
      <w:tr w:rsidR="00896853" w:rsidRPr="00C35785" w14:paraId="09813A60" w14:textId="4631C960" w:rsidTr="003D6E55">
        <w:trPr>
          <w:trHeight w:val="288"/>
        </w:trPr>
        <w:tc>
          <w:tcPr>
            <w:tcW w:w="1943" w:type="dxa"/>
            <w:tcBorders>
              <w:top w:val="nil"/>
              <w:bottom w:val="nil"/>
            </w:tcBorders>
            <w:noWrap/>
          </w:tcPr>
          <w:p w14:paraId="2ABB85AC" w14:textId="07081183" w:rsidR="00896853" w:rsidRPr="006A77ED" w:rsidRDefault="00896853" w:rsidP="00896853">
            <w:pPr>
              <w:rPr>
                <w:rFonts w:ascii="Calibri" w:eastAsia="Times New Roman" w:hAnsi="Calibri" w:cs="Times New Roman"/>
                <w:i/>
                <w:color w:val="000000"/>
                <w:highlight w:val="green"/>
                <w:lang w:eastAsia="en-NZ"/>
              </w:rPr>
            </w:pPr>
            <w:r w:rsidRPr="00B376A1">
              <w:rPr>
                <w:rFonts w:ascii="Calibri" w:eastAsia="Times New Roman" w:hAnsi="Calibri" w:cs="Times New Roman"/>
                <w:i/>
                <w:color w:val="000000"/>
                <w:lang w:eastAsia="en-NZ"/>
              </w:rPr>
              <w:t>CFD</w:t>
            </w:r>
            <w:r w:rsidRPr="00B376A1">
              <w:rPr>
                <w:rFonts w:ascii="Calibri" w:eastAsia="Times New Roman" w:hAnsi="Calibri" w:cs="Times New Roman"/>
                <w:i/>
                <w:color w:val="000000"/>
                <w:vertAlign w:val="subscript"/>
                <w:lang w:eastAsia="en-NZ"/>
              </w:rPr>
              <w:t>H</w:t>
            </w:r>
          </w:p>
        </w:tc>
        <w:tc>
          <w:tcPr>
            <w:tcW w:w="1459" w:type="dxa"/>
            <w:tcBorders>
              <w:top w:val="nil"/>
              <w:bottom w:val="nil"/>
            </w:tcBorders>
            <w:noWrap/>
          </w:tcPr>
          <w:p w14:paraId="1F666F36" w14:textId="77777777" w:rsidR="00896853" w:rsidRDefault="005F21D2" w:rsidP="00896853">
            <w:pPr>
              <w:rPr>
                <w:rFonts w:ascii="Calibri" w:hAnsi="Calibri"/>
                <w:color w:val="000000"/>
              </w:rPr>
            </w:pPr>
            <w:r>
              <w:rPr>
                <w:rFonts w:ascii="Calibri" w:hAnsi="Calibri"/>
                <w:color w:val="000000"/>
              </w:rPr>
              <w:t>0.160**</w:t>
            </w:r>
          </w:p>
          <w:p w14:paraId="6AEF4A1C" w14:textId="2242DE90" w:rsidR="00DD56CE" w:rsidRPr="001C2124" w:rsidRDefault="00DD56CE" w:rsidP="00896853">
            <w:pPr>
              <w:rPr>
                <w:rFonts w:ascii="Calibri" w:hAnsi="Calibri"/>
                <w:color w:val="000000"/>
              </w:rPr>
            </w:pPr>
            <w:r>
              <w:rPr>
                <w:rFonts w:ascii="Calibri" w:hAnsi="Calibri"/>
                <w:color w:val="000000"/>
              </w:rPr>
              <w:t>(0.06)</w:t>
            </w:r>
          </w:p>
        </w:tc>
        <w:tc>
          <w:tcPr>
            <w:tcW w:w="1559" w:type="dxa"/>
            <w:tcBorders>
              <w:top w:val="nil"/>
              <w:bottom w:val="nil"/>
            </w:tcBorders>
            <w:noWrap/>
          </w:tcPr>
          <w:p w14:paraId="1CA9BE86" w14:textId="37F2294A" w:rsidR="00896853" w:rsidRDefault="0089685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w:t>
            </w:r>
            <w:r>
              <w:rPr>
                <w:rFonts w:ascii="Calibri" w:eastAsia="Times New Roman" w:hAnsi="Calibri" w:cs="Times New Roman"/>
                <w:color w:val="000000"/>
                <w:lang w:eastAsia="en-NZ"/>
              </w:rPr>
              <w:t>138**</w:t>
            </w:r>
          </w:p>
          <w:p w14:paraId="514F8F62" w14:textId="7BFB587A" w:rsidR="00896853" w:rsidRPr="00E744A9" w:rsidRDefault="00896853">
            <w:pPr>
              <w:rPr>
                <w:rFonts w:ascii="Calibri" w:hAnsi="Calibri"/>
                <w:color w:val="000000"/>
              </w:rPr>
            </w:pPr>
            <w:r w:rsidRPr="00107649">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0.07</w:t>
            </w:r>
            <w:r>
              <w:rPr>
                <w:rFonts w:ascii="Calibri" w:eastAsia="Times New Roman" w:hAnsi="Calibri" w:cs="Times New Roman"/>
                <w:color w:val="000000"/>
                <w:lang w:eastAsia="en-NZ"/>
              </w:rPr>
              <w:t>)</w:t>
            </w:r>
          </w:p>
        </w:tc>
        <w:tc>
          <w:tcPr>
            <w:tcW w:w="1413" w:type="dxa"/>
            <w:tcBorders>
              <w:top w:val="nil"/>
              <w:bottom w:val="nil"/>
            </w:tcBorders>
            <w:noWrap/>
          </w:tcPr>
          <w:p w14:paraId="65A7A877" w14:textId="77777777" w:rsidR="00896853" w:rsidRDefault="000019C2" w:rsidP="00896853">
            <w:pPr>
              <w:rPr>
                <w:rFonts w:ascii="Calibri" w:hAnsi="Calibri"/>
                <w:color w:val="000000"/>
              </w:rPr>
            </w:pPr>
            <w:r>
              <w:rPr>
                <w:rFonts w:ascii="Calibri" w:hAnsi="Calibri"/>
                <w:color w:val="000000"/>
              </w:rPr>
              <w:t>0.180***</w:t>
            </w:r>
          </w:p>
          <w:p w14:paraId="4FF1C78D" w14:textId="1D2F546F" w:rsidR="000019C2" w:rsidRPr="003D6E55" w:rsidRDefault="00C306A2" w:rsidP="00896853">
            <w:pPr>
              <w:rPr>
                <w:rFonts w:ascii="Calibri" w:hAnsi="Calibri"/>
                <w:color w:val="000000"/>
              </w:rPr>
            </w:pPr>
            <w:r>
              <w:rPr>
                <w:rFonts w:ascii="Calibri" w:hAnsi="Calibri"/>
                <w:color w:val="000000"/>
              </w:rPr>
              <w:t>(0.06)</w:t>
            </w:r>
          </w:p>
        </w:tc>
        <w:tc>
          <w:tcPr>
            <w:tcW w:w="1701" w:type="dxa"/>
            <w:tcBorders>
              <w:top w:val="nil"/>
              <w:bottom w:val="nil"/>
            </w:tcBorders>
          </w:tcPr>
          <w:p w14:paraId="7FF80BDB" w14:textId="1BD21C75"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0.165**</w:t>
            </w:r>
          </w:p>
          <w:p w14:paraId="7F07436F" w14:textId="747E3B6D"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0.07</w:t>
            </w:r>
            <w:r w:rsidRPr="00896853">
              <w:rPr>
                <w:rFonts w:ascii="Calibri" w:eastAsia="Times New Roman" w:hAnsi="Calibri" w:cs="Times New Roman"/>
                <w:color w:val="000000"/>
                <w:lang w:eastAsia="en-NZ"/>
              </w:rPr>
              <w:t>)</w:t>
            </w:r>
          </w:p>
        </w:tc>
      </w:tr>
      <w:tr w:rsidR="00896853" w:rsidRPr="00C35785" w14:paraId="0DA1CA35" w14:textId="54B2F82D" w:rsidTr="003D6E55">
        <w:trPr>
          <w:trHeight w:val="288"/>
        </w:trPr>
        <w:tc>
          <w:tcPr>
            <w:tcW w:w="1943" w:type="dxa"/>
            <w:tcBorders>
              <w:top w:val="nil"/>
              <w:bottom w:val="nil"/>
            </w:tcBorders>
            <w:noWrap/>
          </w:tcPr>
          <w:p w14:paraId="3DA939A9" w14:textId="6965EDD5" w:rsidR="00896853" w:rsidRPr="006A77ED" w:rsidRDefault="00896853" w:rsidP="00896853">
            <w:pPr>
              <w:rPr>
                <w:rFonts w:ascii="Calibri" w:eastAsia="Times New Roman" w:hAnsi="Calibri" w:cs="Times New Roman"/>
                <w:i/>
                <w:color w:val="000000"/>
                <w:highlight w:val="green"/>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L</w:t>
            </w:r>
          </w:p>
        </w:tc>
        <w:tc>
          <w:tcPr>
            <w:tcW w:w="1459" w:type="dxa"/>
            <w:tcBorders>
              <w:top w:val="nil"/>
              <w:bottom w:val="nil"/>
            </w:tcBorders>
            <w:noWrap/>
          </w:tcPr>
          <w:p w14:paraId="2EF207C9" w14:textId="77777777" w:rsidR="00896853" w:rsidRDefault="005F21D2" w:rsidP="00896853">
            <w:pPr>
              <w:rPr>
                <w:rFonts w:ascii="Calibri" w:hAnsi="Calibri"/>
                <w:color w:val="000000"/>
              </w:rPr>
            </w:pPr>
            <w:r>
              <w:rPr>
                <w:rFonts w:ascii="Calibri" w:hAnsi="Calibri"/>
                <w:color w:val="000000"/>
              </w:rPr>
              <w:t>-0.111**</w:t>
            </w:r>
          </w:p>
          <w:p w14:paraId="011F3A49" w14:textId="547592AE" w:rsidR="00DD56CE" w:rsidRPr="001C2124" w:rsidRDefault="00DD56CE" w:rsidP="00896853">
            <w:pPr>
              <w:rPr>
                <w:rFonts w:ascii="Calibri" w:hAnsi="Calibri"/>
                <w:color w:val="000000"/>
              </w:rPr>
            </w:pPr>
            <w:r>
              <w:rPr>
                <w:rFonts w:ascii="Calibri" w:hAnsi="Calibri"/>
                <w:color w:val="000000"/>
              </w:rPr>
              <w:t>(0.05)</w:t>
            </w:r>
          </w:p>
        </w:tc>
        <w:tc>
          <w:tcPr>
            <w:tcW w:w="1559" w:type="dxa"/>
            <w:tcBorders>
              <w:top w:val="nil"/>
              <w:bottom w:val="nil"/>
            </w:tcBorders>
            <w:noWrap/>
          </w:tcPr>
          <w:p w14:paraId="29A0F240" w14:textId="080DC3CF" w:rsidR="00896853" w:rsidRPr="00107649" w:rsidRDefault="00896853"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w:t>
            </w:r>
            <w:r w:rsidRPr="00107649">
              <w:rPr>
                <w:rFonts w:ascii="Calibri" w:eastAsia="Times New Roman" w:hAnsi="Calibri" w:cs="Times New Roman"/>
                <w:color w:val="000000"/>
                <w:lang w:eastAsia="en-NZ"/>
              </w:rPr>
              <w:t>0.</w:t>
            </w:r>
            <w:r>
              <w:rPr>
                <w:rFonts w:ascii="Calibri" w:eastAsia="Times New Roman" w:hAnsi="Calibri" w:cs="Times New Roman"/>
                <w:color w:val="000000"/>
                <w:lang w:eastAsia="en-NZ"/>
              </w:rPr>
              <w:t>111**</w:t>
            </w:r>
          </w:p>
          <w:p w14:paraId="2A0CCC6A" w14:textId="29BAAF39" w:rsidR="00896853" w:rsidRPr="00E744A9" w:rsidRDefault="00896853">
            <w:pPr>
              <w:rPr>
                <w:rFonts w:ascii="Calibri" w:hAnsi="Calibri"/>
                <w:color w:val="000000"/>
              </w:rPr>
            </w:pPr>
            <w:r w:rsidRPr="00107649">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0.05</w:t>
            </w:r>
            <w:r w:rsidRPr="00107649">
              <w:rPr>
                <w:rFonts w:ascii="Calibri" w:eastAsia="Times New Roman" w:hAnsi="Calibri" w:cs="Times New Roman"/>
                <w:color w:val="000000"/>
                <w:lang w:eastAsia="en-NZ"/>
              </w:rPr>
              <w:t>)</w:t>
            </w:r>
          </w:p>
        </w:tc>
        <w:tc>
          <w:tcPr>
            <w:tcW w:w="1413" w:type="dxa"/>
            <w:tcBorders>
              <w:top w:val="nil"/>
              <w:bottom w:val="nil"/>
            </w:tcBorders>
            <w:noWrap/>
          </w:tcPr>
          <w:p w14:paraId="427F7552" w14:textId="77777777" w:rsidR="00896853" w:rsidRDefault="000019C2" w:rsidP="00896853">
            <w:pPr>
              <w:rPr>
                <w:rFonts w:ascii="Calibri" w:hAnsi="Calibri"/>
                <w:color w:val="000000"/>
              </w:rPr>
            </w:pPr>
            <w:r>
              <w:rPr>
                <w:rFonts w:ascii="Calibri" w:hAnsi="Calibri"/>
                <w:color w:val="000000"/>
              </w:rPr>
              <w:t>-0.122**</w:t>
            </w:r>
          </w:p>
          <w:p w14:paraId="6255B8DC" w14:textId="0D5D0E03" w:rsidR="00C306A2" w:rsidRPr="003D6E55" w:rsidRDefault="00C306A2" w:rsidP="00896853">
            <w:pPr>
              <w:rPr>
                <w:rFonts w:ascii="Calibri" w:hAnsi="Calibri"/>
                <w:color w:val="000000"/>
              </w:rPr>
            </w:pPr>
            <w:r>
              <w:rPr>
                <w:rFonts w:ascii="Calibri" w:hAnsi="Calibri"/>
                <w:color w:val="000000"/>
              </w:rPr>
              <w:t>(0.05)</w:t>
            </w:r>
          </w:p>
        </w:tc>
        <w:tc>
          <w:tcPr>
            <w:tcW w:w="1701" w:type="dxa"/>
            <w:tcBorders>
              <w:top w:val="nil"/>
              <w:bottom w:val="nil"/>
            </w:tcBorders>
          </w:tcPr>
          <w:p w14:paraId="2DE58968" w14:textId="3A137FB4"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-0.124**</w:t>
            </w:r>
          </w:p>
          <w:p w14:paraId="70E7C41D" w14:textId="79E0E376"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0.05</w:t>
            </w:r>
            <w:r w:rsidRPr="00896853">
              <w:rPr>
                <w:rFonts w:ascii="Calibri" w:eastAsia="Times New Roman" w:hAnsi="Calibri" w:cs="Times New Roman"/>
                <w:color w:val="000000"/>
                <w:lang w:eastAsia="en-NZ"/>
              </w:rPr>
              <w:t>)</w:t>
            </w:r>
          </w:p>
        </w:tc>
      </w:tr>
      <w:tr w:rsidR="00896853" w:rsidRPr="00C35785" w14:paraId="3EDEBE85" w14:textId="065B90B6" w:rsidTr="003D6E55">
        <w:trPr>
          <w:trHeight w:val="288"/>
        </w:trPr>
        <w:tc>
          <w:tcPr>
            <w:tcW w:w="1943" w:type="dxa"/>
            <w:tcBorders>
              <w:top w:val="nil"/>
              <w:bottom w:val="nil"/>
            </w:tcBorders>
            <w:noWrap/>
          </w:tcPr>
          <w:p w14:paraId="12D71784" w14:textId="7506CB75" w:rsidR="00896853" w:rsidRPr="006A77ED" w:rsidRDefault="00896853" w:rsidP="00896853">
            <w:pPr>
              <w:rPr>
                <w:rFonts w:ascii="Calibri" w:eastAsia="Times New Roman" w:hAnsi="Calibri" w:cs="Times New Roman"/>
                <w:i/>
                <w:color w:val="000000"/>
                <w:highlight w:val="green"/>
                <w:lang w:eastAsia="en-NZ"/>
              </w:rPr>
            </w:pPr>
            <w:r w:rsidRPr="00B376A1">
              <w:rPr>
                <w:rFonts w:ascii="Calibri" w:eastAsia="Times New Roman" w:hAnsi="Calibri" w:cs="Times New Roman"/>
                <w:i/>
                <w:color w:val="000000"/>
                <w:lang w:eastAsia="en-NZ"/>
              </w:rPr>
              <w:t>MBD</w:t>
            </w:r>
            <w:r w:rsidRPr="00B376A1">
              <w:rPr>
                <w:rFonts w:ascii="Calibri" w:eastAsia="Times New Roman" w:hAnsi="Calibri" w:cs="Times New Roman"/>
                <w:i/>
                <w:color w:val="000000"/>
                <w:vertAlign w:val="subscript"/>
                <w:lang w:eastAsia="en-NZ"/>
              </w:rPr>
              <w:t xml:space="preserve">L </w:t>
            </w:r>
            <w:r w:rsidRPr="00B376A1">
              <w:rPr>
                <w:rFonts w:ascii="Calibri" w:eastAsia="Times New Roman" w:hAnsi="Calibri" w:cs="Calibri"/>
                <w:i/>
                <w:color w:val="000000"/>
                <w:lang w:eastAsia="en-NZ"/>
              </w:rPr>
              <w:t>×</w:t>
            </w:r>
            <w:r w:rsidRPr="00B376A1">
              <w:rPr>
                <w:rFonts w:ascii="Calibri" w:eastAsia="Times New Roman" w:hAnsi="Calibri" w:cs="Times New Roman"/>
                <w:i/>
                <w:color w:val="000000"/>
                <w:lang w:eastAsia="en-NZ"/>
              </w:rPr>
              <w:t xml:space="preserve"> CFD</w:t>
            </w:r>
            <w:r w:rsidRPr="00B376A1">
              <w:rPr>
                <w:rFonts w:ascii="Calibri" w:eastAsia="Times New Roman" w:hAnsi="Calibri" w:cs="Times New Roman"/>
                <w:i/>
                <w:color w:val="000000"/>
                <w:vertAlign w:val="subscript"/>
                <w:lang w:eastAsia="en-NZ"/>
              </w:rPr>
              <w:t>H</w:t>
            </w:r>
          </w:p>
        </w:tc>
        <w:tc>
          <w:tcPr>
            <w:tcW w:w="1459" w:type="dxa"/>
            <w:tcBorders>
              <w:top w:val="nil"/>
              <w:bottom w:val="nil"/>
            </w:tcBorders>
            <w:noWrap/>
          </w:tcPr>
          <w:p w14:paraId="3A7D2E56" w14:textId="77777777" w:rsidR="00896853" w:rsidRDefault="005F21D2" w:rsidP="00896853">
            <w:pPr>
              <w:rPr>
                <w:rFonts w:ascii="Calibri" w:hAnsi="Calibri"/>
                <w:color w:val="000000"/>
              </w:rPr>
            </w:pPr>
            <w:r>
              <w:rPr>
                <w:rFonts w:ascii="Calibri" w:hAnsi="Calibri"/>
                <w:color w:val="000000"/>
              </w:rPr>
              <w:t>-0.077</w:t>
            </w:r>
          </w:p>
          <w:p w14:paraId="0AC28C36" w14:textId="62DB5087" w:rsidR="00DD56CE" w:rsidRPr="001C2124" w:rsidRDefault="00DD56CE" w:rsidP="00896853">
            <w:pPr>
              <w:rPr>
                <w:rFonts w:ascii="Calibri" w:hAnsi="Calibri"/>
                <w:color w:val="000000"/>
              </w:rPr>
            </w:pPr>
            <w:r>
              <w:rPr>
                <w:rFonts w:ascii="Calibri" w:hAnsi="Calibri"/>
                <w:color w:val="000000"/>
              </w:rPr>
              <w:t>(0.08)</w:t>
            </w:r>
          </w:p>
        </w:tc>
        <w:tc>
          <w:tcPr>
            <w:tcW w:w="1559" w:type="dxa"/>
            <w:tcBorders>
              <w:top w:val="nil"/>
              <w:bottom w:val="nil"/>
            </w:tcBorders>
            <w:noWrap/>
          </w:tcPr>
          <w:p w14:paraId="2ABA1C2D" w14:textId="4E794D49" w:rsidR="00896853" w:rsidRPr="00107649" w:rsidRDefault="00896853"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w:t>
            </w:r>
            <w:r w:rsidRPr="00107649">
              <w:rPr>
                <w:rFonts w:ascii="Calibri" w:eastAsia="Times New Roman" w:hAnsi="Calibri" w:cs="Times New Roman"/>
                <w:color w:val="000000"/>
                <w:lang w:eastAsia="en-NZ"/>
              </w:rPr>
              <w:t>0.0</w:t>
            </w:r>
            <w:r>
              <w:rPr>
                <w:rFonts w:ascii="Calibri" w:eastAsia="Times New Roman" w:hAnsi="Calibri" w:cs="Times New Roman"/>
                <w:color w:val="000000"/>
                <w:lang w:eastAsia="en-NZ"/>
              </w:rPr>
              <w:t>63</w:t>
            </w:r>
          </w:p>
          <w:p w14:paraId="0F327D06" w14:textId="43832A31" w:rsidR="00896853" w:rsidRPr="00E744A9" w:rsidRDefault="00896853">
            <w:pPr>
              <w:rPr>
                <w:rFonts w:ascii="Calibri" w:hAnsi="Calibri"/>
                <w:color w:val="000000"/>
              </w:rPr>
            </w:pPr>
            <w:r w:rsidRPr="00107649">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0.08</w:t>
            </w:r>
            <w:r w:rsidRPr="00107649">
              <w:rPr>
                <w:rFonts w:ascii="Calibri" w:eastAsia="Times New Roman" w:hAnsi="Calibri" w:cs="Times New Roman"/>
                <w:color w:val="000000"/>
                <w:lang w:eastAsia="en-NZ"/>
              </w:rPr>
              <w:t>)</w:t>
            </w:r>
          </w:p>
        </w:tc>
        <w:tc>
          <w:tcPr>
            <w:tcW w:w="1413" w:type="dxa"/>
            <w:tcBorders>
              <w:top w:val="nil"/>
              <w:bottom w:val="nil"/>
            </w:tcBorders>
            <w:noWrap/>
          </w:tcPr>
          <w:p w14:paraId="2CB955E4" w14:textId="77777777" w:rsidR="00896853" w:rsidRDefault="000019C2" w:rsidP="00896853">
            <w:pPr>
              <w:rPr>
                <w:rFonts w:ascii="Calibri" w:hAnsi="Calibri"/>
                <w:color w:val="000000"/>
              </w:rPr>
            </w:pPr>
            <w:r>
              <w:rPr>
                <w:rFonts w:ascii="Calibri" w:hAnsi="Calibri"/>
                <w:color w:val="000000"/>
              </w:rPr>
              <w:t>-0.099</w:t>
            </w:r>
          </w:p>
          <w:p w14:paraId="6D99C31A" w14:textId="0D97457A" w:rsidR="00C306A2" w:rsidRPr="003D6E55" w:rsidRDefault="00C306A2" w:rsidP="00896853">
            <w:pPr>
              <w:rPr>
                <w:rFonts w:ascii="Calibri" w:hAnsi="Calibri"/>
                <w:color w:val="000000"/>
              </w:rPr>
            </w:pPr>
            <w:r>
              <w:rPr>
                <w:rFonts w:ascii="Calibri" w:hAnsi="Calibri"/>
                <w:color w:val="000000"/>
              </w:rPr>
              <w:t>(0.08)</w:t>
            </w:r>
          </w:p>
        </w:tc>
        <w:tc>
          <w:tcPr>
            <w:tcW w:w="1701" w:type="dxa"/>
            <w:tcBorders>
              <w:top w:val="nil"/>
              <w:bottom w:val="nil"/>
            </w:tcBorders>
          </w:tcPr>
          <w:p w14:paraId="5D0D227D" w14:textId="79018830"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-0.086</w:t>
            </w:r>
          </w:p>
          <w:p w14:paraId="01CB597B" w14:textId="19F66B40"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0.08</w:t>
            </w:r>
            <w:r w:rsidRPr="00896853">
              <w:rPr>
                <w:rFonts w:ascii="Calibri" w:eastAsia="Times New Roman" w:hAnsi="Calibri" w:cs="Times New Roman"/>
                <w:color w:val="000000"/>
                <w:lang w:eastAsia="en-NZ"/>
              </w:rPr>
              <w:t>)</w:t>
            </w:r>
          </w:p>
        </w:tc>
      </w:tr>
      <w:tr w:rsidR="00896853" w:rsidRPr="00C35785" w14:paraId="6AF6300C" w14:textId="71348279" w:rsidTr="003D6E55">
        <w:trPr>
          <w:trHeight w:val="288"/>
        </w:trPr>
        <w:tc>
          <w:tcPr>
            <w:tcW w:w="1943" w:type="dxa"/>
            <w:tcBorders>
              <w:top w:val="nil"/>
              <w:bottom w:val="nil"/>
            </w:tcBorders>
            <w:noWrap/>
          </w:tcPr>
          <w:p w14:paraId="023FDABF" w14:textId="5A026CB9" w:rsidR="00896853" w:rsidRPr="006A77ED" w:rsidRDefault="00896853" w:rsidP="00896853">
            <w:pPr>
              <w:rPr>
                <w:rFonts w:ascii="Calibri" w:eastAsia="Times New Roman" w:hAnsi="Calibri" w:cs="Times New Roman"/>
                <w:color w:val="000000"/>
                <w:highlight w:val="green"/>
                <w:lang w:eastAsia="en-NZ"/>
              </w:rPr>
            </w:pPr>
            <w:r w:rsidRPr="00B376A1">
              <w:rPr>
                <w:rFonts w:ascii="Calibri" w:eastAsia="Times New Roman" w:hAnsi="Calibri" w:cs="Times New Roman"/>
                <w:i/>
                <w:color w:val="000000"/>
                <w:lang w:eastAsia="en-NZ"/>
              </w:rPr>
              <w:t>LnAssets</w:t>
            </w:r>
          </w:p>
        </w:tc>
        <w:tc>
          <w:tcPr>
            <w:tcW w:w="1459" w:type="dxa"/>
            <w:tcBorders>
              <w:top w:val="nil"/>
              <w:bottom w:val="nil"/>
            </w:tcBorders>
            <w:noWrap/>
          </w:tcPr>
          <w:p w14:paraId="32AA4D17" w14:textId="77777777" w:rsidR="00896853" w:rsidRDefault="005F21D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-0.033***</w:t>
            </w:r>
          </w:p>
          <w:p w14:paraId="2B2E6FEA" w14:textId="252C18CC" w:rsidR="00DD56CE" w:rsidRPr="001C2124" w:rsidRDefault="00DD56CE"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(0.01)</w:t>
            </w:r>
          </w:p>
        </w:tc>
        <w:tc>
          <w:tcPr>
            <w:tcW w:w="1559" w:type="dxa"/>
            <w:tcBorders>
              <w:top w:val="nil"/>
              <w:bottom w:val="nil"/>
            </w:tcBorders>
            <w:noWrap/>
          </w:tcPr>
          <w:p w14:paraId="4B104C68" w14:textId="71B2051D" w:rsidR="00896853" w:rsidRPr="00107649" w:rsidRDefault="00896853" w:rsidP="0089685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-0.0</w:t>
            </w:r>
            <w:r>
              <w:rPr>
                <w:rFonts w:ascii="Calibri" w:eastAsia="Times New Roman" w:hAnsi="Calibri" w:cs="Times New Roman"/>
                <w:color w:val="000000"/>
                <w:lang w:eastAsia="en-NZ"/>
              </w:rPr>
              <w:t>32***</w:t>
            </w:r>
          </w:p>
          <w:p w14:paraId="185D83A5" w14:textId="684318E2" w:rsidR="00896853" w:rsidRPr="00E744A9" w:rsidRDefault="0089685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00DD56CE">
              <w:rPr>
                <w:rFonts w:ascii="Calibri" w:eastAsia="Times New Roman" w:hAnsi="Calibri" w:cs="Times New Roman"/>
                <w:color w:val="000000"/>
                <w:lang w:eastAsia="en-NZ"/>
              </w:rPr>
              <w:t>0.01</w:t>
            </w:r>
            <w:r w:rsidRPr="00107649">
              <w:rPr>
                <w:rFonts w:ascii="Calibri" w:eastAsia="Times New Roman" w:hAnsi="Calibri" w:cs="Times New Roman"/>
                <w:color w:val="000000"/>
                <w:lang w:eastAsia="en-NZ"/>
              </w:rPr>
              <w:t>)</w:t>
            </w:r>
          </w:p>
        </w:tc>
        <w:tc>
          <w:tcPr>
            <w:tcW w:w="1413" w:type="dxa"/>
            <w:tcBorders>
              <w:top w:val="nil"/>
              <w:bottom w:val="nil"/>
            </w:tcBorders>
            <w:noWrap/>
          </w:tcPr>
          <w:p w14:paraId="25C887A2" w14:textId="77777777" w:rsidR="00896853" w:rsidRDefault="000019C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-0.016</w:t>
            </w:r>
          </w:p>
          <w:p w14:paraId="7078F259" w14:textId="562DE1ED" w:rsidR="00C306A2" w:rsidRPr="003D6E55" w:rsidRDefault="00C306A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(0.01)</w:t>
            </w:r>
          </w:p>
        </w:tc>
        <w:tc>
          <w:tcPr>
            <w:tcW w:w="1701" w:type="dxa"/>
            <w:tcBorders>
              <w:top w:val="nil"/>
              <w:bottom w:val="nil"/>
            </w:tcBorders>
          </w:tcPr>
          <w:p w14:paraId="1B1F81FF" w14:textId="119178AA"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-0.018*</w:t>
            </w:r>
          </w:p>
          <w:p w14:paraId="067E3E0B" w14:textId="711E8717"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0.01</w:t>
            </w:r>
            <w:r w:rsidRPr="00896853">
              <w:rPr>
                <w:rFonts w:ascii="Calibri" w:eastAsia="Times New Roman" w:hAnsi="Calibri" w:cs="Times New Roman"/>
                <w:color w:val="000000"/>
                <w:lang w:eastAsia="en-NZ"/>
              </w:rPr>
              <w:t>)</w:t>
            </w:r>
          </w:p>
        </w:tc>
      </w:tr>
      <w:tr w:rsidR="00896853" w:rsidRPr="00C35785" w14:paraId="349D3424" w14:textId="341EED8F" w:rsidTr="003D6E55">
        <w:trPr>
          <w:trHeight w:val="288"/>
        </w:trPr>
        <w:tc>
          <w:tcPr>
            <w:tcW w:w="1943" w:type="dxa"/>
            <w:tcBorders>
              <w:top w:val="nil"/>
              <w:bottom w:val="nil"/>
            </w:tcBorders>
            <w:noWrap/>
          </w:tcPr>
          <w:p w14:paraId="019E35F9" w14:textId="32B1B6F2" w:rsidR="00896853" w:rsidRPr="00D12BB0" w:rsidRDefault="00896853" w:rsidP="00896853">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Intercept</w:t>
            </w:r>
          </w:p>
        </w:tc>
        <w:tc>
          <w:tcPr>
            <w:tcW w:w="1459" w:type="dxa"/>
            <w:tcBorders>
              <w:top w:val="nil"/>
              <w:bottom w:val="nil"/>
            </w:tcBorders>
            <w:noWrap/>
          </w:tcPr>
          <w:p w14:paraId="7F9117AF" w14:textId="77777777" w:rsidR="00896853" w:rsidRDefault="005F21D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0.443***</w:t>
            </w:r>
          </w:p>
          <w:p w14:paraId="2D893D71" w14:textId="7D6E2E83" w:rsidR="00DD56CE" w:rsidRPr="005F21D2" w:rsidRDefault="00DD56CE"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(0.16)</w:t>
            </w:r>
          </w:p>
        </w:tc>
        <w:tc>
          <w:tcPr>
            <w:tcW w:w="1559" w:type="dxa"/>
            <w:tcBorders>
              <w:top w:val="nil"/>
              <w:bottom w:val="nil"/>
            </w:tcBorders>
            <w:noWrap/>
          </w:tcPr>
          <w:p w14:paraId="049B1F2F" w14:textId="0BB1B25F" w:rsidR="00896853" w:rsidRPr="00107649" w:rsidRDefault="00896853"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0.389**</w:t>
            </w:r>
          </w:p>
          <w:p w14:paraId="0506E36F" w14:textId="3B317A43" w:rsidR="00896853" w:rsidRPr="00E744A9" w:rsidRDefault="0089685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w:t>
            </w:r>
            <w:r w:rsidR="00C306A2">
              <w:rPr>
                <w:rFonts w:ascii="Calibri" w:eastAsia="Times New Roman" w:hAnsi="Calibri" w:cs="Times New Roman"/>
                <w:color w:val="000000"/>
                <w:lang w:eastAsia="en-NZ"/>
              </w:rPr>
              <w:t>0.16</w:t>
            </w:r>
            <w:r w:rsidRPr="00107649">
              <w:rPr>
                <w:rFonts w:ascii="Calibri" w:eastAsia="Times New Roman" w:hAnsi="Calibri" w:cs="Times New Roman"/>
                <w:color w:val="000000"/>
                <w:lang w:eastAsia="en-NZ"/>
              </w:rPr>
              <w:t>)</w:t>
            </w:r>
          </w:p>
        </w:tc>
        <w:tc>
          <w:tcPr>
            <w:tcW w:w="1413" w:type="dxa"/>
            <w:tcBorders>
              <w:top w:val="nil"/>
              <w:bottom w:val="nil"/>
            </w:tcBorders>
            <w:noWrap/>
          </w:tcPr>
          <w:p w14:paraId="66004237" w14:textId="77777777" w:rsidR="00896853" w:rsidRDefault="000019C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0.236</w:t>
            </w:r>
          </w:p>
          <w:p w14:paraId="744FCDF5" w14:textId="12DC1863" w:rsidR="00C306A2" w:rsidRPr="003D6E55" w:rsidRDefault="00C306A2" w:rsidP="00896853">
            <w:pPr>
              <w:rPr>
                <w:rFonts w:ascii="Calibri" w:eastAsia="Times New Roman" w:hAnsi="Calibri" w:cs="Times New Roman"/>
                <w:color w:val="000000"/>
                <w:lang w:eastAsia="en-NZ"/>
              </w:rPr>
            </w:pPr>
            <w:r>
              <w:rPr>
                <w:rFonts w:ascii="Calibri" w:eastAsia="Times New Roman" w:hAnsi="Calibri" w:cs="Times New Roman"/>
                <w:color w:val="000000"/>
                <w:lang w:eastAsia="en-NZ"/>
              </w:rPr>
              <w:t>(0.15)</w:t>
            </w:r>
          </w:p>
        </w:tc>
        <w:tc>
          <w:tcPr>
            <w:tcW w:w="1701" w:type="dxa"/>
            <w:tcBorders>
              <w:top w:val="nil"/>
              <w:bottom w:val="nil"/>
            </w:tcBorders>
          </w:tcPr>
          <w:p w14:paraId="6014E9E4" w14:textId="4D2D921E" w:rsidR="00896853" w:rsidRPr="00896853" w:rsidRDefault="00896853" w:rsidP="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0.193</w:t>
            </w:r>
          </w:p>
          <w:p w14:paraId="218C5E51" w14:textId="742C2E62" w:rsidR="00896853" w:rsidRPr="003D6E55" w:rsidRDefault="00896853">
            <w:pPr>
              <w:rPr>
                <w:rFonts w:ascii="Calibri" w:eastAsia="Times New Roman" w:hAnsi="Calibri" w:cs="Times New Roman"/>
                <w:color w:val="000000"/>
                <w:lang w:eastAsia="en-NZ"/>
              </w:rPr>
            </w:pPr>
            <w:r w:rsidRPr="00896853">
              <w:rPr>
                <w:rFonts w:ascii="Calibri" w:eastAsia="Times New Roman" w:hAnsi="Calibri" w:cs="Times New Roman"/>
                <w:color w:val="000000"/>
                <w:lang w:eastAsia="en-NZ"/>
              </w:rPr>
              <w:t>(</w:t>
            </w:r>
            <w:r w:rsidR="005D75E6">
              <w:rPr>
                <w:rFonts w:ascii="Calibri" w:eastAsia="Times New Roman" w:hAnsi="Calibri" w:cs="Times New Roman"/>
                <w:color w:val="000000"/>
                <w:lang w:eastAsia="en-NZ"/>
              </w:rPr>
              <w:t>0.15</w:t>
            </w:r>
            <w:r w:rsidRPr="00896853">
              <w:rPr>
                <w:rFonts w:ascii="Calibri" w:eastAsia="Times New Roman" w:hAnsi="Calibri" w:cs="Times New Roman"/>
                <w:color w:val="000000"/>
                <w:lang w:eastAsia="en-NZ"/>
              </w:rPr>
              <w:t>)</w:t>
            </w:r>
          </w:p>
        </w:tc>
      </w:tr>
      <w:tr w:rsidR="00070F03" w:rsidRPr="00C35785" w14:paraId="611D3559" w14:textId="210B1B53" w:rsidTr="003D6E55">
        <w:trPr>
          <w:trHeight w:val="288"/>
        </w:trPr>
        <w:tc>
          <w:tcPr>
            <w:tcW w:w="1943" w:type="dxa"/>
            <w:tcBorders>
              <w:top w:val="nil"/>
              <w:bottom w:val="nil"/>
            </w:tcBorders>
            <w:noWrap/>
          </w:tcPr>
          <w:p w14:paraId="323DA5D7" w14:textId="0689A9C6" w:rsidR="00070F03" w:rsidRPr="00D12BB0" w:rsidRDefault="00070F03" w:rsidP="00070F03">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Industry dummies</w:t>
            </w:r>
          </w:p>
        </w:tc>
        <w:tc>
          <w:tcPr>
            <w:tcW w:w="1459" w:type="dxa"/>
            <w:tcBorders>
              <w:top w:val="nil"/>
              <w:bottom w:val="nil"/>
            </w:tcBorders>
            <w:noWrap/>
          </w:tcPr>
          <w:p w14:paraId="020FF89C" w14:textId="6A42B964" w:rsidR="00070F03" w:rsidRPr="00E744A9" w:rsidRDefault="00070F03" w:rsidP="00070F0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559" w:type="dxa"/>
            <w:tcBorders>
              <w:top w:val="nil"/>
              <w:bottom w:val="nil"/>
            </w:tcBorders>
            <w:noWrap/>
          </w:tcPr>
          <w:p w14:paraId="39C1216F" w14:textId="1D778076" w:rsidR="00070F03" w:rsidRPr="00E744A9" w:rsidRDefault="00070F03" w:rsidP="00070F0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413" w:type="dxa"/>
            <w:tcBorders>
              <w:top w:val="nil"/>
              <w:bottom w:val="nil"/>
            </w:tcBorders>
            <w:noWrap/>
          </w:tcPr>
          <w:p w14:paraId="412C71F9" w14:textId="359506D3" w:rsidR="00070F03" w:rsidRPr="003D6E55" w:rsidRDefault="00070F03" w:rsidP="00070F03">
            <w:pPr>
              <w:rPr>
                <w:rFonts w:ascii="Calibri" w:eastAsia="Times New Roman" w:hAnsi="Calibri" w:cs="Times New Roman"/>
                <w:color w:val="000000"/>
                <w:lang w:eastAsia="en-NZ"/>
              </w:rPr>
            </w:pPr>
            <w:r w:rsidRPr="003D6E55">
              <w:rPr>
                <w:rFonts w:ascii="Calibri" w:eastAsia="Times New Roman" w:hAnsi="Calibri" w:cs="Times New Roman"/>
                <w:color w:val="000000"/>
                <w:lang w:eastAsia="en-NZ"/>
              </w:rPr>
              <w:t>Yes</w:t>
            </w:r>
          </w:p>
        </w:tc>
        <w:tc>
          <w:tcPr>
            <w:tcW w:w="1701" w:type="dxa"/>
            <w:tcBorders>
              <w:top w:val="nil"/>
              <w:bottom w:val="nil"/>
            </w:tcBorders>
          </w:tcPr>
          <w:p w14:paraId="42240715" w14:textId="1192A973" w:rsidR="00070F03" w:rsidRPr="003D6E55" w:rsidRDefault="00070F03" w:rsidP="00070F03">
            <w:pPr>
              <w:rPr>
                <w:rFonts w:ascii="Calibri" w:eastAsia="Times New Roman" w:hAnsi="Calibri" w:cs="Times New Roman"/>
                <w:color w:val="000000"/>
                <w:lang w:eastAsia="en-NZ"/>
              </w:rPr>
            </w:pPr>
            <w:r w:rsidRPr="003D6E55">
              <w:rPr>
                <w:rFonts w:ascii="Calibri" w:eastAsia="Times New Roman" w:hAnsi="Calibri" w:cs="Times New Roman"/>
                <w:color w:val="000000"/>
                <w:lang w:eastAsia="en-NZ"/>
              </w:rPr>
              <w:t>Yes</w:t>
            </w:r>
          </w:p>
        </w:tc>
      </w:tr>
      <w:tr w:rsidR="00070F03" w:rsidRPr="00C35785" w14:paraId="1797A659" w14:textId="7B3098DA" w:rsidTr="003D6E55">
        <w:trPr>
          <w:trHeight w:val="288"/>
        </w:trPr>
        <w:tc>
          <w:tcPr>
            <w:tcW w:w="1943" w:type="dxa"/>
            <w:tcBorders>
              <w:top w:val="nil"/>
              <w:bottom w:val="single" w:sz="4" w:space="0" w:color="auto"/>
            </w:tcBorders>
            <w:noWrap/>
          </w:tcPr>
          <w:p w14:paraId="0DE61C2D" w14:textId="6FD243D2" w:rsidR="00070F03" w:rsidRPr="00D12BB0" w:rsidRDefault="00070F03" w:rsidP="00070F03">
            <w:pPr>
              <w:rPr>
                <w:rFonts w:ascii="Calibri" w:eastAsia="Times New Roman" w:hAnsi="Calibri" w:cs="Times New Roman"/>
                <w:color w:val="000000"/>
                <w:lang w:eastAsia="en-NZ"/>
              </w:rPr>
            </w:pPr>
            <w:r w:rsidRPr="00B376A1">
              <w:rPr>
                <w:rFonts w:ascii="Calibri" w:eastAsia="Times New Roman" w:hAnsi="Calibri" w:cs="Times New Roman"/>
                <w:color w:val="000000"/>
                <w:lang w:eastAsia="en-NZ"/>
              </w:rPr>
              <w:t>Year dummies</w:t>
            </w:r>
          </w:p>
        </w:tc>
        <w:tc>
          <w:tcPr>
            <w:tcW w:w="1459" w:type="dxa"/>
            <w:tcBorders>
              <w:top w:val="nil"/>
              <w:bottom w:val="single" w:sz="4" w:space="0" w:color="auto"/>
            </w:tcBorders>
            <w:noWrap/>
          </w:tcPr>
          <w:p w14:paraId="4FD3AEAE" w14:textId="7080D45C" w:rsidR="00070F03" w:rsidRPr="00E744A9" w:rsidRDefault="00070F03" w:rsidP="00070F0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559" w:type="dxa"/>
            <w:tcBorders>
              <w:top w:val="nil"/>
              <w:bottom w:val="single" w:sz="4" w:space="0" w:color="auto"/>
            </w:tcBorders>
            <w:noWrap/>
          </w:tcPr>
          <w:p w14:paraId="06E13C3B" w14:textId="59024217" w:rsidR="00070F03" w:rsidRPr="00E744A9" w:rsidRDefault="00070F03" w:rsidP="00070F03">
            <w:pPr>
              <w:rPr>
                <w:rFonts w:ascii="Calibri" w:eastAsia="Times New Roman" w:hAnsi="Calibri" w:cs="Times New Roman"/>
                <w:color w:val="000000"/>
                <w:lang w:eastAsia="en-NZ"/>
              </w:rPr>
            </w:pPr>
            <w:r w:rsidRPr="00107649">
              <w:rPr>
                <w:rFonts w:ascii="Calibri" w:eastAsia="Times New Roman" w:hAnsi="Calibri" w:cs="Times New Roman"/>
                <w:color w:val="000000"/>
                <w:lang w:eastAsia="en-NZ"/>
              </w:rPr>
              <w:t>Yes</w:t>
            </w:r>
          </w:p>
        </w:tc>
        <w:tc>
          <w:tcPr>
            <w:tcW w:w="1413" w:type="dxa"/>
            <w:tcBorders>
              <w:top w:val="nil"/>
              <w:bottom w:val="single" w:sz="4" w:space="0" w:color="auto"/>
            </w:tcBorders>
            <w:noWrap/>
          </w:tcPr>
          <w:p w14:paraId="09D04FF2" w14:textId="21E3AB59" w:rsidR="00070F03" w:rsidRPr="003D6E55" w:rsidRDefault="00070F03" w:rsidP="00070F03">
            <w:pPr>
              <w:rPr>
                <w:rFonts w:ascii="Calibri" w:eastAsia="Times New Roman" w:hAnsi="Calibri" w:cs="Times New Roman"/>
                <w:color w:val="000000"/>
                <w:lang w:eastAsia="en-NZ"/>
              </w:rPr>
            </w:pPr>
            <w:r w:rsidRPr="003D6E55">
              <w:rPr>
                <w:rFonts w:ascii="Calibri" w:eastAsia="Times New Roman" w:hAnsi="Calibri" w:cs="Times New Roman"/>
                <w:color w:val="000000"/>
                <w:lang w:eastAsia="en-NZ"/>
              </w:rPr>
              <w:t>Yes</w:t>
            </w:r>
          </w:p>
        </w:tc>
        <w:tc>
          <w:tcPr>
            <w:tcW w:w="1701" w:type="dxa"/>
            <w:tcBorders>
              <w:top w:val="nil"/>
              <w:bottom w:val="single" w:sz="4" w:space="0" w:color="auto"/>
            </w:tcBorders>
          </w:tcPr>
          <w:p w14:paraId="1264D670" w14:textId="427B6663" w:rsidR="00070F03" w:rsidRPr="003D6E55" w:rsidRDefault="00070F03" w:rsidP="00070F03">
            <w:pPr>
              <w:rPr>
                <w:rFonts w:ascii="Calibri" w:eastAsia="Times New Roman" w:hAnsi="Calibri" w:cs="Times New Roman"/>
                <w:color w:val="000000"/>
                <w:lang w:eastAsia="en-NZ"/>
              </w:rPr>
            </w:pPr>
            <w:r w:rsidRPr="003D6E55">
              <w:rPr>
                <w:rFonts w:ascii="Calibri" w:eastAsia="Times New Roman" w:hAnsi="Calibri" w:cs="Times New Roman"/>
                <w:color w:val="000000"/>
                <w:lang w:eastAsia="en-NZ"/>
              </w:rPr>
              <w:t>Yes</w:t>
            </w:r>
          </w:p>
        </w:tc>
      </w:tr>
      <w:tr w:rsidR="0025073D" w:rsidRPr="00C35785" w14:paraId="044C06A4" w14:textId="77777777" w:rsidTr="001C2124">
        <w:trPr>
          <w:trHeight w:val="300"/>
        </w:trPr>
        <w:tc>
          <w:tcPr>
            <w:tcW w:w="1943" w:type="dxa"/>
            <w:tcBorders>
              <w:bottom w:val="nil"/>
            </w:tcBorders>
            <w:hideMark/>
          </w:tcPr>
          <w:p w14:paraId="2FD556FC" w14:textId="77777777" w:rsidR="00070F03" w:rsidRPr="00D12BB0" w:rsidRDefault="00070F03" w:rsidP="00070F03">
            <w:pPr>
              <w:rPr>
                <w:rFonts w:ascii="Calibri" w:eastAsia="Times New Roman" w:hAnsi="Calibri" w:cs="Times New Roman"/>
                <w:color w:val="000000"/>
                <w:lang w:eastAsia="en-NZ"/>
              </w:rPr>
            </w:pPr>
            <w:r w:rsidRPr="007801A8">
              <w:rPr>
                <w:rFonts w:ascii="Calibri" w:eastAsia="Times New Roman" w:hAnsi="Calibri" w:cs="Times New Roman"/>
                <w:i/>
                <w:color w:val="000000"/>
                <w:lang w:eastAsia="en-NZ"/>
              </w:rPr>
              <w:t>Pseuo</w:t>
            </w:r>
            <w:r w:rsidRPr="00D12BB0">
              <w:rPr>
                <w:rFonts w:ascii="Calibri" w:eastAsia="Times New Roman" w:hAnsi="Calibri" w:cs="Times New Roman"/>
                <w:color w:val="000000"/>
                <w:lang w:eastAsia="en-NZ"/>
              </w:rPr>
              <w:t xml:space="preserve"> </w:t>
            </w:r>
            <w:r w:rsidRPr="00D12BB0">
              <w:rPr>
                <w:rFonts w:ascii="Calibri" w:eastAsia="Times New Roman" w:hAnsi="Calibri" w:cs="Times New Roman"/>
                <w:i/>
                <w:color w:val="000000"/>
                <w:lang w:eastAsia="en-NZ"/>
              </w:rPr>
              <w:t>R</w:t>
            </w:r>
            <w:r w:rsidRPr="00D12BB0">
              <w:rPr>
                <w:rFonts w:ascii="Calibri" w:eastAsia="Times New Roman" w:hAnsi="Calibri" w:cs="Times New Roman"/>
                <w:i/>
                <w:color w:val="000000"/>
                <w:vertAlign w:val="superscript"/>
                <w:lang w:eastAsia="en-NZ"/>
              </w:rPr>
              <w:t>2</w:t>
            </w:r>
          </w:p>
        </w:tc>
        <w:tc>
          <w:tcPr>
            <w:tcW w:w="1459" w:type="dxa"/>
            <w:tcBorders>
              <w:bottom w:val="nil"/>
            </w:tcBorders>
            <w:noWrap/>
            <w:vAlign w:val="bottom"/>
          </w:tcPr>
          <w:p w14:paraId="2676D34C" w14:textId="5DFC61D5" w:rsidR="00070F03" w:rsidRPr="004250D9" w:rsidRDefault="00D877B5">
            <w:pPr>
              <w:rPr>
                <w:rFonts w:ascii="Calibri" w:hAnsi="Calibri"/>
                <w:color w:val="000000"/>
              </w:rPr>
            </w:pPr>
            <w:r>
              <w:rPr>
                <w:rFonts w:ascii="Calibri" w:hAnsi="Calibri"/>
                <w:color w:val="000000"/>
              </w:rPr>
              <w:t>0.1</w:t>
            </w:r>
            <w:r w:rsidR="005F21D2">
              <w:rPr>
                <w:rFonts w:ascii="Calibri" w:hAnsi="Calibri"/>
                <w:color w:val="000000"/>
              </w:rPr>
              <w:t>68</w:t>
            </w:r>
          </w:p>
        </w:tc>
        <w:tc>
          <w:tcPr>
            <w:tcW w:w="1559" w:type="dxa"/>
            <w:tcBorders>
              <w:bottom w:val="nil"/>
            </w:tcBorders>
            <w:vAlign w:val="bottom"/>
          </w:tcPr>
          <w:p w14:paraId="6477969D" w14:textId="36420883" w:rsidR="00070F03" w:rsidRPr="004250D9" w:rsidRDefault="00D877B5">
            <w:pPr>
              <w:rPr>
                <w:rFonts w:ascii="Calibri" w:hAnsi="Calibri"/>
                <w:color w:val="000000"/>
              </w:rPr>
            </w:pPr>
            <w:r>
              <w:rPr>
                <w:rFonts w:ascii="Calibri" w:hAnsi="Calibri"/>
                <w:color w:val="000000"/>
              </w:rPr>
              <w:t>0.</w:t>
            </w:r>
            <w:r w:rsidR="000019C2">
              <w:rPr>
                <w:rFonts w:ascii="Calibri" w:hAnsi="Calibri"/>
                <w:color w:val="000000"/>
              </w:rPr>
              <w:t>170</w:t>
            </w:r>
          </w:p>
        </w:tc>
        <w:tc>
          <w:tcPr>
            <w:tcW w:w="1413" w:type="dxa"/>
            <w:tcBorders>
              <w:bottom w:val="nil"/>
            </w:tcBorders>
            <w:noWrap/>
            <w:vAlign w:val="bottom"/>
          </w:tcPr>
          <w:p w14:paraId="3794C49B" w14:textId="1E4D6528" w:rsidR="00070F03" w:rsidRPr="004250D9" w:rsidRDefault="00896853">
            <w:pPr>
              <w:rPr>
                <w:rFonts w:ascii="Calibri" w:hAnsi="Calibri"/>
                <w:color w:val="000000"/>
              </w:rPr>
            </w:pPr>
            <w:r>
              <w:rPr>
                <w:rFonts w:ascii="Calibri" w:hAnsi="Calibri"/>
                <w:color w:val="000000"/>
              </w:rPr>
              <w:t>0.1</w:t>
            </w:r>
            <w:r w:rsidR="000019C2">
              <w:rPr>
                <w:rFonts w:ascii="Calibri" w:hAnsi="Calibri"/>
                <w:color w:val="000000"/>
              </w:rPr>
              <w:t>66</w:t>
            </w:r>
          </w:p>
        </w:tc>
        <w:tc>
          <w:tcPr>
            <w:tcW w:w="1701" w:type="dxa"/>
            <w:tcBorders>
              <w:bottom w:val="nil"/>
            </w:tcBorders>
            <w:noWrap/>
            <w:vAlign w:val="bottom"/>
          </w:tcPr>
          <w:p w14:paraId="61473869" w14:textId="1A2E61A9" w:rsidR="00070F03" w:rsidRPr="004250D9" w:rsidRDefault="00896853">
            <w:pPr>
              <w:rPr>
                <w:rFonts w:ascii="Calibri" w:hAnsi="Calibri"/>
                <w:color w:val="000000"/>
              </w:rPr>
            </w:pPr>
            <w:r>
              <w:rPr>
                <w:rFonts w:ascii="Calibri" w:hAnsi="Calibri"/>
                <w:color w:val="000000"/>
              </w:rPr>
              <w:t>0.1</w:t>
            </w:r>
            <w:r w:rsidR="000019C2">
              <w:rPr>
                <w:rFonts w:ascii="Calibri" w:hAnsi="Calibri"/>
                <w:color w:val="000000"/>
              </w:rPr>
              <w:t>67</w:t>
            </w:r>
          </w:p>
        </w:tc>
      </w:tr>
      <w:tr w:rsidR="0025073D" w:rsidRPr="00C35785" w14:paraId="3FB0073F" w14:textId="77777777" w:rsidTr="003D6E55">
        <w:trPr>
          <w:trHeight w:val="288"/>
        </w:trPr>
        <w:tc>
          <w:tcPr>
            <w:tcW w:w="1943" w:type="dxa"/>
            <w:tcBorders>
              <w:top w:val="nil"/>
              <w:bottom w:val="nil"/>
            </w:tcBorders>
            <w:hideMark/>
          </w:tcPr>
          <w:p w14:paraId="73A763AB" w14:textId="77777777" w:rsidR="00070F03" w:rsidRPr="007801A8" w:rsidRDefault="00070F03" w:rsidP="00070F03">
            <w:pPr>
              <w:rPr>
                <w:rFonts w:ascii="Calibri" w:eastAsia="Times New Roman" w:hAnsi="Calibri" w:cs="Times New Roman"/>
                <w:i/>
                <w:color w:val="000000"/>
                <w:vertAlign w:val="superscript"/>
                <w:lang w:eastAsia="en-NZ"/>
              </w:rPr>
            </w:pPr>
            <w:r w:rsidRPr="007801A8">
              <w:rPr>
                <w:rFonts w:ascii="Calibri" w:eastAsia="Times New Roman" w:hAnsi="Calibri" w:cs="Times New Roman"/>
                <w:i/>
                <w:color w:val="000000"/>
                <w:lang w:eastAsia="en-NZ"/>
              </w:rPr>
              <w:t xml:space="preserve">Likelihood ratio </w:t>
            </w:r>
            <w:r w:rsidRPr="007801A8">
              <w:rPr>
                <w:rFonts w:ascii="Calibri" w:eastAsia="Times New Roman" w:hAnsi="Calibri" w:cs="Calibri"/>
                <w:i/>
                <w:color w:val="000000"/>
                <w:lang w:eastAsia="en-NZ"/>
              </w:rPr>
              <w:t>χ</w:t>
            </w:r>
            <w:r w:rsidRPr="007801A8">
              <w:rPr>
                <w:rFonts w:ascii="Calibri" w:eastAsia="Times New Roman" w:hAnsi="Calibri" w:cs="Times New Roman"/>
                <w:i/>
                <w:color w:val="000000"/>
                <w:vertAlign w:val="superscript"/>
                <w:lang w:eastAsia="en-NZ"/>
              </w:rPr>
              <w:t>2</w:t>
            </w:r>
          </w:p>
        </w:tc>
        <w:tc>
          <w:tcPr>
            <w:tcW w:w="1459" w:type="dxa"/>
            <w:tcBorders>
              <w:top w:val="nil"/>
              <w:bottom w:val="nil"/>
            </w:tcBorders>
            <w:noWrap/>
            <w:vAlign w:val="bottom"/>
          </w:tcPr>
          <w:p w14:paraId="77A789C2" w14:textId="006557BB" w:rsidR="00070F03" w:rsidRPr="004250D9" w:rsidRDefault="005F21D2">
            <w:pPr>
              <w:rPr>
                <w:rFonts w:ascii="Calibri" w:hAnsi="Calibri"/>
                <w:color w:val="000000"/>
              </w:rPr>
            </w:pPr>
            <w:r>
              <w:rPr>
                <w:rFonts w:ascii="Calibri" w:hAnsi="Calibri"/>
                <w:color w:val="000000"/>
              </w:rPr>
              <w:t>813.67</w:t>
            </w:r>
            <w:r w:rsidR="00D877B5">
              <w:rPr>
                <w:rFonts w:ascii="Calibri" w:hAnsi="Calibri"/>
                <w:color w:val="000000"/>
              </w:rPr>
              <w:t>***</w:t>
            </w:r>
          </w:p>
        </w:tc>
        <w:tc>
          <w:tcPr>
            <w:tcW w:w="1559" w:type="dxa"/>
            <w:tcBorders>
              <w:top w:val="nil"/>
              <w:bottom w:val="nil"/>
            </w:tcBorders>
          </w:tcPr>
          <w:p w14:paraId="77D7148A" w14:textId="1F5E052C" w:rsidR="00070F03" w:rsidRPr="004250D9" w:rsidRDefault="00D877B5" w:rsidP="00070F03">
            <w:pPr>
              <w:rPr>
                <w:rFonts w:ascii="Calibri" w:hAnsi="Calibri"/>
                <w:color w:val="000000"/>
              </w:rPr>
            </w:pPr>
            <w:r>
              <w:rPr>
                <w:rFonts w:ascii="Calibri" w:hAnsi="Calibri"/>
                <w:color w:val="000000"/>
              </w:rPr>
              <w:t>823.48***</w:t>
            </w:r>
          </w:p>
        </w:tc>
        <w:tc>
          <w:tcPr>
            <w:tcW w:w="1413" w:type="dxa"/>
            <w:tcBorders>
              <w:top w:val="nil"/>
              <w:bottom w:val="nil"/>
            </w:tcBorders>
            <w:noWrap/>
            <w:vAlign w:val="bottom"/>
          </w:tcPr>
          <w:p w14:paraId="715CD461" w14:textId="4AE35169" w:rsidR="00070F03" w:rsidRPr="004250D9" w:rsidRDefault="000019C2">
            <w:pPr>
              <w:rPr>
                <w:rFonts w:ascii="Calibri" w:hAnsi="Calibri"/>
                <w:color w:val="000000"/>
              </w:rPr>
            </w:pPr>
            <w:r>
              <w:rPr>
                <w:rFonts w:ascii="Calibri" w:hAnsi="Calibri"/>
                <w:color w:val="000000"/>
              </w:rPr>
              <w:t>801.17</w:t>
            </w:r>
            <w:r w:rsidR="00896853">
              <w:rPr>
                <w:rFonts w:ascii="Calibri" w:hAnsi="Calibri"/>
                <w:color w:val="000000"/>
              </w:rPr>
              <w:t>***</w:t>
            </w:r>
          </w:p>
        </w:tc>
        <w:tc>
          <w:tcPr>
            <w:tcW w:w="1701" w:type="dxa"/>
            <w:tcBorders>
              <w:top w:val="nil"/>
              <w:bottom w:val="nil"/>
            </w:tcBorders>
            <w:noWrap/>
            <w:vAlign w:val="bottom"/>
          </w:tcPr>
          <w:p w14:paraId="114C85A7" w14:textId="774D5DBB" w:rsidR="00070F03" w:rsidRPr="004250D9" w:rsidRDefault="00896853" w:rsidP="00070F03">
            <w:pPr>
              <w:rPr>
                <w:rFonts w:ascii="Calibri" w:hAnsi="Calibri"/>
                <w:color w:val="000000"/>
              </w:rPr>
            </w:pPr>
            <w:r>
              <w:rPr>
                <w:rFonts w:ascii="Calibri" w:hAnsi="Calibri"/>
                <w:color w:val="000000"/>
              </w:rPr>
              <w:t>806.53***</w:t>
            </w:r>
          </w:p>
        </w:tc>
      </w:tr>
      <w:tr w:rsidR="0025073D" w:rsidRPr="00C35785" w14:paraId="5EE5DB1F" w14:textId="77777777" w:rsidTr="003D6E55">
        <w:trPr>
          <w:trHeight w:val="288"/>
        </w:trPr>
        <w:tc>
          <w:tcPr>
            <w:tcW w:w="1943" w:type="dxa"/>
            <w:tcBorders>
              <w:top w:val="nil"/>
            </w:tcBorders>
            <w:hideMark/>
          </w:tcPr>
          <w:p w14:paraId="5F12E2D6" w14:textId="77777777" w:rsidR="00070F03" w:rsidRPr="00D12BB0" w:rsidRDefault="00070F03" w:rsidP="00070F03">
            <w:pPr>
              <w:rPr>
                <w:rFonts w:ascii="Calibri" w:eastAsia="Times New Roman" w:hAnsi="Calibri" w:cs="Times New Roman"/>
                <w:color w:val="000000"/>
                <w:lang w:eastAsia="en-NZ"/>
              </w:rPr>
            </w:pPr>
            <w:r w:rsidRPr="00D12BB0">
              <w:rPr>
                <w:rFonts w:ascii="Calibri" w:eastAsia="Times New Roman" w:hAnsi="Calibri" w:cs="Times New Roman"/>
                <w:color w:val="000000"/>
                <w:lang w:eastAsia="en-NZ"/>
              </w:rPr>
              <w:t>Obs</w:t>
            </w:r>
          </w:p>
        </w:tc>
        <w:tc>
          <w:tcPr>
            <w:tcW w:w="1459" w:type="dxa"/>
            <w:tcBorders>
              <w:top w:val="nil"/>
            </w:tcBorders>
            <w:noWrap/>
            <w:vAlign w:val="bottom"/>
          </w:tcPr>
          <w:p w14:paraId="72951B9B" w14:textId="471E24B1" w:rsidR="00070F03" w:rsidRPr="00E744A9" w:rsidRDefault="00D877B5">
            <w:pPr>
              <w:rPr>
                <w:rFonts w:ascii="Calibri" w:hAnsi="Calibri"/>
                <w:color w:val="000000"/>
              </w:rPr>
            </w:pPr>
            <w:r>
              <w:rPr>
                <w:rFonts w:ascii="Calibri" w:hAnsi="Calibri"/>
                <w:color w:val="000000"/>
              </w:rPr>
              <w:t>4426</w:t>
            </w:r>
          </w:p>
        </w:tc>
        <w:tc>
          <w:tcPr>
            <w:tcW w:w="1559" w:type="dxa"/>
            <w:tcBorders>
              <w:top w:val="nil"/>
            </w:tcBorders>
          </w:tcPr>
          <w:p w14:paraId="4034C860" w14:textId="70133C7A" w:rsidR="00070F03" w:rsidRDefault="00D877B5" w:rsidP="00070F03">
            <w:pPr>
              <w:rPr>
                <w:rFonts w:ascii="Calibri" w:hAnsi="Calibri"/>
                <w:color w:val="000000"/>
              </w:rPr>
            </w:pPr>
            <w:r>
              <w:rPr>
                <w:rFonts w:ascii="Calibri" w:hAnsi="Calibri"/>
                <w:color w:val="000000"/>
              </w:rPr>
              <w:t>4426</w:t>
            </w:r>
          </w:p>
        </w:tc>
        <w:tc>
          <w:tcPr>
            <w:tcW w:w="1413" w:type="dxa"/>
            <w:tcBorders>
              <w:top w:val="nil"/>
            </w:tcBorders>
            <w:noWrap/>
            <w:vAlign w:val="bottom"/>
          </w:tcPr>
          <w:p w14:paraId="5D5110C7" w14:textId="6A72879E" w:rsidR="00070F03" w:rsidRPr="00E744A9" w:rsidRDefault="00896853">
            <w:pPr>
              <w:rPr>
                <w:rFonts w:ascii="Calibri" w:hAnsi="Calibri"/>
                <w:color w:val="000000"/>
              </w:rPr>
            </w:pPr>
            <w:r>
              <w:rPr>
                <w:rFonts w:ascii="Calibri" w:hAnsi="Calibri"/>
                <w:color w:val="000000"/>
              </w:rPr>
              <w:t>4426</w:t>
            </w:r>
          </w:p>
        </w:tc>
        <w:tc>
          <w:tcPr>
            <w:tcW w:w="1701" w:type="dxa"/>
            <w:tcBorders>
              <w:top w:val="nil"/>
            </w:tcBorders>
            <w:noWrap/>
            <w:vAlign w:val="bottom"/>
          </w:tcPr>
          <w:p w14:paraId="09FD8BB8" w14:textId="30070469" w:rsidR="00070F03" w:rsidRPr="0052001E" w:rsidRDefault="00896853" w:rsidP="00070F03">
            <w:pPr>
              <w:rPr>
                <w:rFonts w:ascii="Calibri" w:hAnsi="Calibri"/>
                <w:color w:val="000000"/>
              </w:rPr>
            </w:pPr>
            <w:r>
              <w:rPr>
                <w:rFonts w:ascii="Calibri" w:hAnsi="Calibri"/>
                <w:color w:val="000000"/>
              </w:rPr>
              <w:t>4426</w:t>
            </w:r>
          </w:p>
        </w:tc>
      </w:tr>
    </w:tbl>
    <w:p w14:paraId="7D0DEE39" w14:textId="77777777" w:rsidR="00B07E12" w:rsidRDefault="00B07E12" w:rsidP="0084597F">
      <w:pPr>
        <w:jc w:val="both"/>
      </w:pPr>
    </w:p>
    <w:p w14:paraId="04FF4AFC" w14:textId="43F9DB13" w:rsidR="005C68E8" w:rsidRDefault="00670822" w:rsidP="005C68E8">
      <w:pPr>
        <w:jc w:val="both"/>
      </w:pPr>
      <w:r w:rsidRPr="006122B4">
        <w:t xml:space="preserve">This table reports the results of probit regressions of the determinants of the sign of the market reaction to capital expenditure announcements. The dependent variable is a dummy variable equal to one if the sign of the </w:t>
      </w:r>
      <w:r w:rsidRPr="006122B4">
        <w:rPr>
          <w:i/>
        </w:rPr>
        <w:t xml:space="preserve">CAR02 </w:t>
      </w:r>
      <w:r w:rsidRPr="006122B4">
        <w:t xml:space="preserve">event window </w:t>
      </w:r>
      <w:r w:rsidR="00F759BA" w:rsidRPr="006122B4">
        <w:t xml:space="preserve">return is </w:t>
      </w:r>
      <w:r w:rsidRPr="006122B4">
        <w:t>positive, and zero otherwise.</w:t>
      </w:r>
      <w:r w:rsidR="0061365C" w:rsidRPr="006122B4">
        <w:t xml:space="preserve"> </w:t>
      </w:r>
      <w:r w:rsidR="00D254FE" w:rsidRPr="006122B4">
        <w:t>The equations are estimated over the pre-</w:t>
      </w:r>
      <w:r w:rsidR="00F26B89" w:rsidRPr="006122B4">
        <w:t>announcement</w:t>
      </w:r>
      <w:r w:rsidR="00D254FE" w:rsidRPr="006122B4">
        <w:t xml:space="preserve"> window </w:t>
      </w:r>
      <w:r w:rsidR="00DD168C" w:rsidRPr="006122B4">
        <w:t>[</w:t>
      </w:r>
      <w:r w:rsidR="00D254FE" w:rsidRPr="006122B4">
        <w:t>-20,-1</w:t>
      </w:r>
      <w:r w:rsidR="00DD168C" w:rsidRPr="006122B4">
        <w:t>]</w:t>
      </w:r>
      <w:r w:rsidR="00D254FE" w:rsidRPr="006122B4">
        <w:t xml:space="preserve">. </w:t>
      </w:r>
      <w:r w:rsidR="0061365C" w:rsidRPr="002F6FA5">
        <w:rPr>
          <w:rFonts w:ascii="Calibri" w:eastAsia="Times New Roman" w:hAnsi="Calibri" w:cs="Times New Roman"/>
          <w:i/>
          <w:color w:val="000000"/>
          <w:lang w:eastAsia="en-NZ"/>
        </w:rPr>
        <w:t>DQ</w:t>
      </w:r>
      <w:r w:rsidR="0061365C" w:rsidRPr="002F6FA5">
        <w:rPr>
          <w:rFonts w:ascii="Calibri" w:eastAsia="Times New Roman" w:hAnsi="Calibri" w:cs="Times New Roman"/>
          <w:i/>
          <w:color w:val="000000"/>
          <w:vertAlign w:val="subscript"/>
          <w:lang w:eastAsia="en-NZ"/>
        </w:rPr>
        <w:t>LOW</w:t>
      </w:r>
      <w:r w:rsidRPr="002F6FA5">
        <w:t xml:space="preserve"> </w:t>
      </w:r>
      <w:r w:rsidR="0061365C" w:rsidRPr="002F6FA5">
        <w:t xml:space="preserve">is a dummy variable denoting new project announcements with low transparency. </w:t>
      </w:r>
      <w:r w:rsidR="0061365C" w:rsidRPr="002F6FA5">
        <w:rPr>
          <w:rFonts w:ascii="Calibri" w:eastAsia="Times New Roman" w:hAnsi="Calibri" w:cs="Times New Roman"/>
          <w:i/>
          <w:color w:val="000000"/>
          <w:lang w:eastAsia="en-NZ"/>
        </w:rPr>
        <w:t>DQ</w:t>
      </w:r>
      <w:r w:rsidR="0061365C" w:rsidRPr="002F6FA5">
        <w:rPr>
          <w:rFonts w:ascii="Calibri" w:eastAsia="Times New Roman" w:hAnsi="Calibri" w:cs="Times New Roman"/>
          <w:i/>
          <w:color w:val="000000"/>
          <w:vertAlign w:val="subscript"/>
          <w:lang w:eastAsia="en-NZ"/>
        </w:rPr>
        <w:t>LOW</w:t>
      </w:r>
      <w:r w:rsidR="0061365C" w:rsidRPr="002F6FA5">
        <w:rPr>
          <w:rFonts w:ascii="Calibri" w:eastAsia="Times New Roman" w:hAnsi="Calibri" w:cs="Times New Roman"/>
          <w:i/>
          <w:color w:val="000000"/>
          <w:lang w:eastAsia="en-NZ"/>
        </w:rPr>
        <w:t xml:space="preserve"> </w:t>
      </w:r>
      <w:r w:rsidR="0061365C" w:rsidRPr="002F6FA5">
        <w:rPr>
          <w:rFonts w:ascii="Calibri" w:eastAsia="Times New Roman" w:hAnsi="Calibri" w:cs="Calibri"/>
          <w:i/>
          <w:color w:val="000000"/>
          <w:lang w:eastAsia="en-NZ"/>
        </w:rPr>
        <w:t>×</w:t>
      </w:r>
      <w:r w:rsidR="0061365C" w:rsidRPr="002F6FA5">
        <w:rPr>
          <w:rFonts w:ascii="Calibri" w:eastAsia="Times New Roman" w:hAnsi="Calibri" w:cs="Times New Roman"/>
          <w:i/>
          <w:color w:val="000000"/>
          <w:lang w:eastAsia="en-NZ"/>
        </w:rPr>
        <w:t xml:space="preserve"> BAS</w:t>
      </w:r>
      <w:r w:rsidR="0061365C" w:rsidRPr="002F6FA5">
        <w:rPr>
          <w:rFonts w:ascii="Calibri" w:eastAsia="Times New Roman" w:hAnsi="Calibri" w:cs="Times New Roman"/>
          <w:color w:val="000000"/>
          <w:lang w:eastAsia="en-NZ"/>
        </w:rPr>
        <w:t xml:space="preserve"> is an interaction </w:t>
      </w:r>
      <w:r w:rsidR="00AF674D" w:rsidRPr="002F6FA5">
        <w:rPr>
          <w:rFonts w:ascii="Calibri" w:eastAsia="Times New Roman" w:hAnsi="Calibri" w:cs="Times New Roman"/>
          <w:color w:val="000000"/>
          <w:lang w:eastAsia="en-NZ"/>
        </w:rPr>
        <w:t xml:space="preserve">between low transparency announcements and </w:t>
      </w:r>
      <w:r w:rsidR="00E77DD4">
        <w:rPr>
          <w:rFonts w:ascii="Calibri" w:eastAsia="Times New Roman" w:hAnsi="Calibri" w:cs="Times New Roman"/>
          <w:color w:val="000000"/>
          <w:lang w:eastAsia="en-NZ"/>
        </w:rPr>
        <w:t xml:space="preserve">daily </w:t>
      </w:r>
      <w:r w:rsidR="00F26B89" w:rsidRPr="002F6FA5">
        <w:rPr>
          <w:rFonts w:ascii="Calibri" w:eastAsia="Times New Roman" w:hAnsi="Calibri" w:cs="Times New Roman"/>
          <w:color w:val="000000"/>
          <w:lang w:eastAsia="en-NZ"/>
        </w:rPr>
        <w:t xml:space="preserve">pre-announcement </w:t>
      </w:r>
      <w:r w:rsidR="00AF674D" w:rsidRPr="002F6FA5">
        <w:rPr>
          <w:rFonts w:ascii="Calibri" w:eastAsia="Times New Roman" w:hAnsi="Calibri" w:cs="Times New Roman"/>
          <w:color w:val="000000"/>
          <w:lang w:eastAsia="en-NZ"/>
        </w:rPr>
        <w:t>closing percent quoted bid-ask spread</w:t>
      </w:r>
      <w:r w:rsidR="00D254FE" w:rsidRPr="002F6FA5">
        <w:rPr>
          <w:rFonts w:ascii="Calibri" w:eastAsia="Times New Roman" w:hAnsi="Calibri" w:cs="Times New Roman"/>
          <w:color w:val="000000"/>
          <w:lang w:eastAsia="en-NZ"/>
        </w:rPr>
        <w:t xml:space="preserve">. </w:t>
      </w:r>
      <w:r w:rsidR="00966467" w:rsidRPr="002F6FA5">
        <w:rPr>
          <w:rFonts w:ascii="Calibri" w:eastAsia="Times New Roman" w:hAnsi="Calibri" w:cs="Times New Roman"/>
          <w:i/>
          <w:color w:val="000000"/>
          <w:lang w:eastAsia="en-NZ"/>
        </w:rPr>
        <w:t>BASDev</w:t>
      </w:r>
      <w:r w:rsidR="007B6BAA" w:rsidRPr="002F6FA5">
        <w:rPr>
          <w:rFonts w:ascii="Calibri" w:eastAsia="Times New Roman" w:hAnsi="Calibri" w:cs="Times New Roman"/>
          <w:color w:val="000000"/>
          <w:lang w:eastAsia="en-NZ"/>
        </w:rPr>
        <w:t xml:space="preserve"> is the absolute value of the deviation of the day </w:t>
      </w:r>
      <w:r w:rsidR="007B6BAA" w:rsidRPr="002F6FA5">
        <w:rPr>
          <w:rFonts w:ascii="Calibri" w:eastAsia="Times New Roman" w:hAnsi="Calibri" w:cs="Times New Roman"/>
          <w:i/>
          <w:color w:val="000000"/>
          <w:lang w:eastAsia="en-NZ"/>
        </w:rPr>
        <w:t>t</w:t>
      </w:r>
      <w:r w:rsidR="007B6BAA" w:rsidRPr="002F6FA5">
        <w:rPr>
          <w:rFonts w:ascii="Calibri" w:eastAsia="Times New Roman" w:hAnsi="Calibri" w:cs="Times New Roman"/>
          <w:color w:val="000000"/>
          <w:lang w:eastAsia="en-NZ"/>
        </w:rPr>
        <w:t xml:space="preserve"> </w:t>
      </w:r>
      <w:r w:rsidR="007B6BAA" w:rsidRPr="002F6FA5">
        <w:rPr>
          <w:rFonts w:ascii="Calibri" w:eastAsia="Times New Roman" w:hAnsi="Calibri" w:cs="Times New Roman"/>
          <w:i/>
          <w:color w:val="000000"/>
          <w:lang w:eastAsia="en-NZ"/>
        </w:rPr>
        <w:t>BAS</w:t>
      </w:r>
      <w:r w:rsidR="007B6BAA" w:rsidRPr="002F6FA5">
        <w:rPr>
          <w:rFonts w:ascii="Calibri" w:eastAsia="Times New Roman" w:hAnsi="Calibri" w:cs="Times New Roman"/>
          <w:color w:val="000000"/>
          <w:lang w:eastAsia="en-NZ"/>
        </w:rPr>
        <w:t xml:space="preserve"> </w:t>
      </w:r>
      <w:r w:rsidR="006122B4" w:rsidRPr="002F6FA5">
        <w:rPr>
          <w:rFonts w:ascii="Calibri" w:eastAsia="Times New Roman" w:hAnsi="Calibri" w:cs="Times New Roman"/>
          <w:color w:val="000000"/>
          <w:lang w:eastAsia="en-NZ"/>
        </w:rPr>
        <w:t xml:space="preserve">for firm </w:t>
      </w:r>
      <w:r w:rsidR="006122B4" w:rsidRPr="002F6FA5">
        <w:rPr>
          <w:rFonts w:ascii="Calibri" w:eastAsia="Times New Roman" w:hAnsi="Calibri" w:cs="Times New Roman"/>
          <w:i/>
          <w:color w:val="000000"/>
          <w:lang w:eastAsia="en-NZ"/>
        </w:rPr>
        <w:t xml:space="preserve">i </w:t>
      </w:r>
      <w:r w:rsidR="007B6BAA" w:rsidRPr="002F6FA5">
        <w:rPr>
          <w:rFonts w:ascii="Calibri" w:eastAsia="Times New Roman" w:hAnsi="Calibri" w:cs="Times New Roman"/>
          <w:color w:val="000000"/>
          <w:lang w:eastAsia="en-NZ"/>
        </w:rPr>
        <w:t>around the mean</w:t>
      </w:r>
      <w:r w:rsidR="006122B4" w:rsidRPr="002F6FA5">
        <w:rPr>
          <w:rFonts w:ascii="Calibri" w:eastAsia="Times New Roman" w:hAnsi="Calibri" w:cs="Times New Roman"/>
          <w:color w:val="000000"/>
          <w:lang w:eastAsia="en-NZ"/>
        </w:rPr>
        <w:t xml:space="preserve"> day </w:t>
      </w:r>
      <w:r w:rsidR="006122B4" w:rsidRPr="002F6FA5">
        <w:rPr>
          <w:rFonts w:ascii="Calibri" w:eastAsia="Times New Roman" w:hAnsi="Calibri" w:cs="Times New Roman"/>
          <w:i/>
          <w:color w:val="000000"/>
          <w:lang w:eastAsia="en-NZ"/>
        </w:rPr>
        <w:t>t</w:t>
      </w:r>
      <w:r w:rsidR="007B6BAA" w:rsidRPr="002F6FA5">
        <w:rPr>
          <w:rFonts w:ascii="Calibri" w:eastAsia="Times New Roman" w:hAnsi="Calibri" w:cs="Times New Roman"/>
          <w:color w:val="000000"/>
          <w:lang w:eastAsia="en-NZ"/>
        </w:rPr>
        <w:t xml:space="preserve"> </w:t>
      </w:r>
      <w:r w:rsidR="007B6BAA" w:rsidRPr="002F6FA5">
        <w:rPr>
          <w:rFonts w:ascii="Calibri" w:eastAsia="Times New Roman" w:hAnsi="Calibri" w:cs="Times New Roman"/>
          <w:i/>
          <w:color w:val="000000"/>
          <w:lang w:eastAsia="en-NZ"/>
        </w:rPr>
        <w:t>BAS</w:t>
      </w:r>
      <w:r w:rsidR="006122B4" w:rsidRPr="002F6FA5">
        <w:rPr>
          <w:rFonts w:ascii="Calibri" w:eastAsia="Times New Roman" w:hAnsi="Calibri" w:cs="Times New Roman"/>
          <w:color w:val="000000"/>
          <w:lang w:eastAsia="en-NZ"/>
        </w:rPr>
        <w:t xml:space="preserve"> for all sample firms</w:t>
      </w:r>
      <w:r w:rsidR="0018305D" w:rsidRPr="002F6FA5">
        <w:rPr>
          <w:rFonts w:ascii="Calibri" w:eastAsia="Times New Roman" w:hAnsi="Calibri" w:cs="Times New Roman"/>
          <w:color w:val="000000"/>
          <w:lang w:eastAsia="en-NZ"/>
        </w:rPr>
        <w:t>.</w:t>
      </w:r>
      <w:r w:rsidR="007B6BAA" w:rsidRPr="002F6FA5">
        <w:rPr>
          <w:rFonts w:ascii="Calibri" w:eastAsia="Times New Roman" w:hAnsi="Calibri" w:cs="Times New Roman"/>
          <w:color w:val="000000"/>
          <w:lang w:eastAsia="en-NZ"/>
        </w:rPr>
        <w:t xml:space="preserve"> </w:t>
      </w:r>
      <w:r w:rsidR="0018305D" w:rsidRPr="002F6FA5">
        <w:rPr>
          <w:rFonts w:ascii="Calibri" w:eastAsia="Times New Roman" w:hAnsi="Calibri" w:cs="Times New Roman"/>
          <w:i/>
          <w:color w:val="000000"/>
          <w:lang w:eastAsia="en-NZ"/>
        </w:rPr>
        <w:t>DQ</w:t>
      </w:r>
      <w:r w:rsidR="0018305D" w:rsidRPr="002F6FA5">
        <w:rPr>
          <w:rFonts w:ascii="Calibri" w:eastAsia="Times New Roman" w:hAnsi="Calibri" w:cs="Times New Roman"/>
          <w:i/>
          <w:color w:val="000000"/>
          <w:vertAlign w:val="subscript"/>
          <w:lang w:eastAsia="en-NZ"/>
        </w:rPr>
        <w:t>LOW</w:t>
      </w:r>
      <w:r w:rsidR="0018305D" w:rsidRPr="002F6FA5">
        <w:rPr>
          <w:rFonts w:ascii="Calibri" w:eastAsia="Times New Roman" w:hAnsi="Calibri" w:cs="Times New Roman"/>
          <w:i/>
          <w:color w:val="000000"/>
          <w:lang w:eastAsia="en-NZ"/>
        </w:rPr>
        <w:t xml:space="preserve"> </w:t>
      </w:r>
      <w:r w:rsidR="0018305D" w:rsidRPr="002F6FA5">
        <w:rPr>
          <w:rFonts w:ascii="Calibri" w:eastAsia="Times New Roman" w:hAnsi="Calibri" w:cs="Calibri"/>
          <w:i/>
          <w:color w:val="000000"/>
          <w:lang w:eastAsia="en-NZ"/>
        </w:rPr>
        <w:t>×</w:t>
      </w:r>
      <w:r w:rsidR="0018305D" w:rsidRPr="002F6FA5">
        <w:rPr>
          <w:rFonts w:ascii="Calibri" w:eastAsia="Times New Roman" w:hAnsi="Calibri" w:cs="Times New Roman"/>
          <w:i/>
          <w:color w:val="000000"/>
          <w:lang w:eastAsia="en-NZ"/>
        </w:rPr>
        <w:t xml:space="preserve"> BASDev</w:t>
      </w:r>
      <w:r w:rsidR="0018305D" w:rsidRPr="002F6FA5">
        <w:rPr>
          <w:rFonts w:ascii="Calibri" w:eastAsia="Times New Roman" w:hAnsi="Calibri" w:cs="Times New Roman"/>
          <w:color w:val="000000"/>
          <w:lang w:eastAsia="en-NZ"/>
        </w:rPr>
        <w:t xml:space="preserve"> is an interaction between low transparency announcements and </w:t>
      </w:r>
      <w:r w:rsidR="0018305D" w:rsidRPr="002F6FA5">
        <w:rPr>
          <w:rFonts w:ascii="Calibri" w:eastAsia="Times New Roman" w:hAnsi="Calibri" w:cs="Times New Roman"/>
          <w:i/>
          <w:color w:val="000000"/>
          <w:lang w:eastAsia="en-NZ"/>
        </w:rPr>
        <w:t>BASDev</w:t>
      </w:r>
      <w:r w:rsidR="0018305D" w:rsidRPr="002F6FA5">
        <w:rPr>
          <w:rFonts w:ascii="Calibri" w:eastAsia="Times New Roman" w:hAnsi="Calibri" w:cs="Times New Roman"/>
          <w:color w:val="000000"/>
          <w:lang w:eastAsia="en-NZ"/>
        </w:rPr>
        <w:t>.</w:t>
      </w:r>
      <w:r w:rsidR="0018305D" w:rsidRPr="006122B4">
        <w:rPr>
          <w:rFonts w:ascii="Calibri" w:eastAsia="Times New Roman" w:hAnsi="Calibri" w:cs="Times New Roman"/>
          <w:color w:val="000000"/>
          <w:lang w:eastAsia="en-NZ"/>
        </w:rPr>
        <w:t xml:space="preserve"> </w:t>
      </w:r>
      <w:r w:rsidR="0018305D" w:rsidRPr="006122B4">
        <w:rPr>
          <w:rFonts w:ascii="Calibri" w:eastAsia="Times New Roman" w:hAnsi="Calibri" w:cs="Times New Roman"/>
          <w:i/>
          <w:color w:val="000000"/>
          <w:lang w:eastAsia="en-NZ"/>
        </w:rPr>
        <w:t>Intangibles</w:t>
      </w:r>
      <w:r w:rsidR="0018305D" w:rsidRPr="006122B4">
        <w:rPr>
          <w:rFonts w:ascii="Calibri" w:eastAsia="Times New Roman" w:hAnsi="Calibri" w:cs="Times New Roman"/>
          <w:color w:val="000000"/>
          <w:lang w:eastAsia="en-NZ"/>
        </w:rPr>
        <w:t xml:space="preserve"> is </w:t>
      </w:r>
      <w:r w:rsidR="00E77DD4">
        <w:rPr>
          <w:rFonts w:ascii="Calibri" w:eastAsia="Times New Roman" w:hAnsi="Calibri" w:cs="Times New Roman"/>
          <w:color w:val="000000"/>
          <w:lang w:eastAsia="en-NZ"/>
        </w:rPr>
        <w:t>year</w:t>
      </w:r>
      <w:r w:rsidR="00DD168C" w:rsidRPr="006122B4">
        <w:rPr>
          <w:rFonts w:ascii="Calibri" w:eastAsia="Times New Roman" w:hAnsi="Calibri" w:cs="Times New Roman"/>
          <w:color w:val="000000"/>
          <w:lang w:eastAsia="en-NZ"/>
        </w:rPr>
        <w:t xml:space="preserve"> </w:t>
      </w:r>
      <w:r w:rsidR="00DD168C" w:rsidRPr="006122B4">
        <w:rPr>
          <w:rFonts w:ascii="Calibri" w:eastAsia="Times New Roman" w:hAnsi="Calibri" w:cs="Times New Roman"/>
          <w:i/>
          <w:color w:val="000000"/>
          <w:lang w:eastAsia="en-NZ"/>
        </w:rPr>
        <w:t>t</w:t>
      </w:r>
      <w:r w:rsidR="00DD168C" w:rsidRPr="006122B4">
        <w:rPr>
          <w:rFonts w:ascii="Calibri" w:eastAsia="Times New Roman" w:hAnsi="Calibri" w:cs="Times New Roman"/>
          <w:color w:val="000000"/>
          <w:lang w:eastAsia="en-NZ"/>
        </w:rPr>
        <w:t xml:space="preserve"> </w:t>
      </w:r>
      <w:r w:rsidR="0018305D" w:rsidRPr="006122B4">
        <w:rPr>
          <w:rFonts w:ascii="Calibri" w:eastAsia="Times New Roman" w:hAnsi="Calibri" w:cs="Times New Roman"/>
          <w:color w:val="000000"/>
          <w:lang w:eastAsia="en-NZ"/>
        </w:rPr>
        <w:t xml:space="preserve">intangible assets excluding goodwill, divided by total assets. </w:t>
      </w:r>
      <w:r w:rsidRPr="006122B4">
        <w:t>See Appendix 2 for variable definitions.</w:t>
      </w:r>
      <w:r w:rsidR="006C79A3" w:rsidRPr="006122B4">
        <w:t xml:space="preserve"> </w:t>
      </w:r>
      <w:r w:rsidR="005C68E8" w:rsidRPr="00DE2049">
        <w:t>Standard error estimates are reported in brackets. ***, ** and * denote significance at the 1%, 5% and 10% levels, respectively.</w:t>
      </w:r>
    </w:p>
    <w:p w14:paraId="3E536FB5" w14:textId="2F5BA190" w:rsidR="00D877B5" w:rsidRDefault="00D877B5" w:rsidP="0084597F">
      <w:pPr>
        <w:jc w:val="both"/>
      </w:pPr>
    </w:p>
    <w:p w14:paraId="7DE5D26C" w14:textId="136173EB" w:rsidR="00312065" w:rsidRDefault="00312065">
      <w:pPr>
        <w:rPr>
          <w:b/>
        </w:rPr>
      </w:pPr>
      <w:r>
        <w:rPr>
          <w:b/>
        </w:rPr>
        <w:br w:type="page"/>
      </w:r>
    </w:p>
    <w:p w14:paraId="339EE227" w14:textId="6D4A95C5" w:rsidR="004D2D79" w:rsidRDefault="004D2D79" w:rsidP="004D2D79">
      <w:pPr>
        <w:rPr>
          <w:b/>
        </w:rPr>
      </w:pPr>
      <w:r w:rsidRPr="000E4666">
        <w:rPr>
          <w:b/>
        </w:rPr>
        <w:lastRenderedPageBreak/>
        <w:t xml:space="preserve">Table </w:t>
      </w:r>
      <w:r w:rsidR="0084597F">
        <w:rPr>
          <w:b/>
        </w:rPr>
        <w:t>8</w:t>
      </w:r>
      <w:r w:rsidRPr="000E4666">
        <w:rPr>
          <w:b/>
        </w:rPr>
        <w:t xml:space="preserve">  Comparison of trading variables before and after announcement</w:t>
      </w:r>
      <w:r>
        <w:rPr>
          <w:b/>
        </w:rPr>
        <w:t xml:space="preserve"> </w:t>
      </w:r>
    </w:p>
    <w:p w14:paraId="7512AEA0" w14:textId="77777777" w:rsidR="00EC7A98" w:rsidRDefault="00EC7A98" w:rsidP="004D2D79">
      <w:pPr>
        <w:rPr>
          <w:b/>
        </w:rPr>
      </w:pPr>
    </w:p>
    <w:tbl>
      <w:tblPr>
        <w:tblStyle w:val="TableGrid"/>
        <w:tblW w:w="949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960"/>
        <w:gridCol w:w="883"/>
        <w:gridCol w:w="709"/>
        <w:gridCol w:w="1134"/>
        <w:gridCol w:w="992"/>
        <w:gridCol w:w="142"/>
        <w:gridCol w:w="992"/>
        <w:gridCol w:w="1276"/>
        <w:gridCol w:w="1161"/>
        <w:gridCol w:w="1249"/>
      </w:tblGrid>
      <w:tr w:rsidR="00A61F84" w:rsidRPr="00027788" w14:paraId="5444DE8E" w14:textId="77777777" w:rsidTr="003D6E55">
        <w:tc>
          <w:tcPr>
            <w:tcW w:w="960" w:type="dxa"/>
            <w:tcBorders>
              <w:bottom w:val="nil"/>
            </w:tcBorders>
          </w:tcPr>
          <w:p w14:paraId="7156B886" w14:textId="77777777" w:rsidR="004D2D79" w:rsidRPr="000E4666" w:rsidRDefault="004D2D79" w:rsidP="004D2D79"/>
        </w:tc>
        <w:tc>
          <w:tcPr>
            <w:tcW w:w="883" w:type="dxa"/>
            <w:tcBorders>
              <w:bottom w:val="nil"/>
            </w:tcBorders>
          </w:tcPr>
          <w:p w14:paraId="26F1DC06" w14:textId="77777777" w:rsidR="004D2D79" w:rsidRPr="000E4666" w:rsidRDefault="004D2D79" w:rsidP="004D2D79"/>
        </w:tc>
        <w:tc>
          <w:tcPr>
            <w:tcW w:w="709" w:type="dxa"/>
            <w:tcBorders>
              <w:bottom w:val="nil"/>
            </w:tcBorders>
          </w:tcPr>
          <w:p w14:paraId="2792A906" w14:textId="77777777" w:rsidR="004D2D79" w:rsidRPr="000E4666" w:rsidRDefault="004D2D79" w:rsidP="004D2D79"/>
        </w:tc>
        <w:tc>
          <w:tcPr>
            <w:tcW w:w="1134" w:type="dxa"/>
            <w:tcBorders>
              <w:bottom w:val="nil"/>
            </w:tcBorders>
          </w:tcPr>
          <w:p w14:paraId="406B12A9" w14:textId="77777777" w:rsidR="004D2D79" w:rsidRPr="000E4666" w:rsidRDefault="004D2D79" w:rsidP="004D2D79"/>
        </w:tc>
        <w:tc>
          <w:tcPr>
            <w:tcW w:w="1134" w:type="dxa"/>
            <w:gridSpan w:val="2"/>
            <w:tcBorders>
              <w:bottom w:val="nil"/>
            </w:tcBorders>
          </w:tcPr>
          <w:p w14:paraId="66B7C22C" w14:textId="77777777" w:rsidR="004D2D79" w:rsidRPr="000E4666" w:rsidRDefault="004D2D79" w:rsidP="004D2D79"/>
        </w:tc>
        <w:tc>
          <w:tcPr>
            <w:tcW w:w="992" w:type="dxa"/>
            <w:tcBorders>
              <w:bottom w:val="nil"/>
            </w:tcBorders>
          </w:tcPr>
          <w:p w14:paraId="32A0F797" w14:textId="77777777" w:rsidR="004D2D79" w:rsidRPr="000E4666" w:rsidRDefault="004D2D79" w:rsidP="004D2D79"/>
        </w:tc>
        <w:tc>
          <w:tcPr>
            <w:tcW w:w="3686" w:type="dxa"/>
            <w:gridSpan w:val="3"/>
          </w:tcPr>
          <w:p w14:paraId="64471B05" w14:textId="77777777" w:rsidR="004D2D79" w:rsidRPr="000E4666" w:rsidRDefault="004D2D79" w:rsidP="004D2D79">
            <w:pPr>
              <w:jc w:val="center"/>
            </w:pPr>
            <w:r w:rsidRPr="000E4666">
              <w:t>t-stat</w:t>
            </w:r>
          </w:p>
          <w:p w14:paraId="16E46D61" w14:textId="4CBEB469" w:rsidR="004D2D79" w:rsidRPr="000E4666" w:rsidRDefault="004D2D79" w:rsidP="004D2D79">
            <w:pPr>
              <w:jc w:val="center"/>
            </w:pPr>
            <w:r w:rsidRPr="000E4666">
              <w:t>(Wilcoxon</w:t>
            </w:r>
            <w:r w:rsidR="00EC7A98">
              <w:t xml:space="preserve"> Z</w:t>
            </w:r>
            <w:r w:rsidRPr="000E4666">
              <w:t>)</w:t>
            </w:r>
          </w:p>
        </w:tc>
      </w:tr>
      <w:tr w:rsidR="00A61F84" w:rsidRPr="00027788" w14:paraId="6FECE5E4" w14:textId="77777777" w:rsidTr="003D6E55">
        <w:tc>
          <w:tcPr>
            <w:tcW w:w="960" w:type="dxa"/>
            <w:tcBorders>
              <w:top w:val="nil"/>
              <w:bottom w:val="single" w:sz="4" w:space="0" w:color="auto"/>
            </w:tcBorders>
          </w:tcPr>
          <w:p w14:paraId="711ACFE4" w14:textId="77777777" w:rsidR="004D2D79" w:rsidRPr="000E4666" w:rsidRDefault="004D2D79" w:rsidP="004D2D79">
            <w:r w:rsidRPr="000E4666">
              <w:t>Variable</w:t>
            </w:r>
          </w:p>
        </w:tc>
        <w:tc>
          <w:tcPr>
            <w:tcW w:w="883" w:type="dxa"/>
            <w:tcBorders>
              <w:top w:val="nil"/>
              <w:bottom w:val="single" w:sz="4" w:space="0" w:color="auto"/>
            </w:tcBorders>
          </w:tcPr>
          <w:p w14:paraId="2CA643A8" w14:textId="77777777" w:rsidR="004D2D79" w:rsidRPr="000E4666" w:rsidRDefault="004D2D79" w:rsidP="004D2D79">
            <w:r w:rsidRPr="000E4666">
              <w:t>Sample</w:t>
            </w:r>
          </w:p>
        </w:tc>
        <w:tc>
          <w:tcPr>
            <w:tcW w:w="709" w:type="dxa"/>
            <w:tcBorders>
              <w:top w:val="nil"/>
              <w:bottom w:val="single" w:sz="4" w:space="0" w:color="auto"/>
            </w:tcBorders>
          </w:tcPr>
          <w:p w14:paraId="017E582E" w14:textId="77777777" w:rsidR="004D2D79" w:rsidRPr="000E4666" w:rsidRDefault="004D2D79" w:rsidP="004D2D79">
            <w:r w:rsidRPr="000E4666">
              <w:t>N</w:t>
            </w:r>
          </w:p>
        </w:tc>
        <w:tc>
          <w:tcPr>
            <w:tcW w:w="1134" w:type="dxa"/>
            <w:tcBorders>
              <w:top w:val="nil"/>
              <w:bottom w:val="single" w:sz="4" w:space="0" w:color="auto"/>
            </w:tcBorders>
          </w:tcPr>
          <w:p w14:paraId="67098F83" w14:textId="77777777" w:rsidR="004D2D79" w:rsidRPr="000E4666" w:rsidRDefault="004D2D79" w:rsidP="004D2D79">
            <w:r w:rsidRPr="000E4666">
              <w:t>Mean (</w:t>
            </w:r>
            <w:r>
              <w:t>m</w:t>
            </w:r>
            <w:r w:rsidRPr="000E4666">
              <w:t>edian)</w:t>
            </w:r>
          </w:p>
          <w:p w14:paraId="74D37446" w14:textId="77777777" w:rsidR="004D2D79" w:rsidRPr="000E4666" w:rsidRDefault="004D2D79" w:rsidP="004D2D79">
            <w:r w:rsidRPr="000E4666">
              <w:t>before</w:t>
            </w:r>
          </w:p>
        </w:tc>
        <w:tc>
          <w:tcPr>
            <w:tcW w:w="1134" w:type="dxa"/>
            <w:gridSpan w:val="2"/>
            <w:tcBorders>
              <w:top w:val="nil"/>
              <w:bottom w:val="single" w:sz="4" w:space="0" w:color="auto"/>
            </w:tcBorders>
          </w:tcPr>
          <w:p w14:paraId="6F208502" w14:textId="77777777" w:rsidR="004D2D79" w:rsidRPr="000E4666" w:rsidRDefault="004D2D79" w:rsidP="004D2D79">
            <w:r w:rsidRPr="000E4666">
              <w:t>Mean</w:t>
            </w:r>
          </w:p>
          <w:p w14:paraId="4D9B8700" w14:textId="77777777" w:rsidR="004D2D79" w:rsidRPr="000E4666" w:rsidRDefault="004D2D79" w:rsidP="004D2D79">
            <w:r w:rsidRPr="000E4666">
              <w:t>(median)</w:t>
            </w:r>
          </w:p>
          <w:p w14:paraId="6296ECC8" w14:textId="77777777" w:rsidR="004D2D79" w:rsidRPr="000E4666" w:rsidRDefault="004D2D79" w:rsidP="004D2D79">
            <w:r w:rsidRPr="000E4666">
              <w:t>after</w:t>
            </w:r>
          </w:p>
        </w:tc>
        <w:tc>
          <w:tcPr>
            <w:tcW w:w="992" w:type="dxa"/>
            <w:tcBorders>
              <w:top w:val="nil"/>
              <w:bottom w:val="single" w:sz="4" w:space="0" w:color="auto"/>
            </w:tcBorders>
          </w:tcPr>
          <w:p w14:paraId="53069011" w14:textId="77777777" w:rsidR="004D2D79" w:rsidRPr="000E4666" w:rsidRDefault="004D2D79" w:rsidP="003D6E55">
            <w:pPr>
              <w:ind w:left="-110"/>
            </w:pPr>
            <w:r w:rsidRPr="000E4666">
              <w:t>Mean (median)</w:t>
            </w:r>
          </w:p>
          <w:p w14:paraId="3DD1CD18" w14:textId="77777777" w:rsidR="004D2D79" w:rsidRPr="000E4666" w:rsidRDefault="004D2D79" w:rsidP="003D6E55">
            <w:pPr>
              <w:ind w:left="-110"/>
            </w:pPr>
            <w:r w:rsidRPr="000E4666">
              <w:t>Change</w:t>
            </w:r>
          </w:p>
        </w:tc>
        <w:tc>
          <w:tcPr>
            <w:tcW w:w="1276" w:type="dxa"/>
            <w:tcBorders>
              <w:bottom w:val="single" w:sz="4" w:space="0" w:color="auto"/>
            </w:tcBorders>
          </w:tcPr>
          <w:p w14:paraId="34B5E14B" w14:textId="77777777" w:rsidR="004D2D79" w:rsidRPr="000E4666" w:rsidRDefault="004D2D79" w:rsidP="004D2D79">
            <w:r w:rsidRPr="000E4666">
              <w:t>Paired obs.</w:t>
            </w:r>
          </w:p>
        </w:tc>
        <w:tc>
          <w:tcPr>
            <w:tcW w:w="1161" w:type="dxa"/>
            <w:tcBorders>
              <w:bottom w:val="single" w:sz="4" w:space="0" w:color="auto"/>
            </w:tcBorders>
          </w:tcPr>
          <w:p w14:paraId="4090D057" w14:textId="2CD973ED" w:rsidR="004D2D79" w:rsidRPr="000E4666" w:rsidRDefault="00A45138" w:rsidP="004D2D79">
            <w:r>
              <w:t>Between</w:t>
            </w:r>
            <w:r w:rsidR="004D2D79" w:rsidRPr="000E4666">
              <w:t xml:space="preserve"> groups</w:t>
            </w:r>
          </w:p>
          <w:p w14:paraId="0E956822" w14:textId="77777777" w:rsidR="004D2D79" w:rsidRPr="000E4666" w:rsidRDefault="004D2D79" w:rsidP="004D2D79">
            <w:r w:rsidRPr="000E4666">
              <w:t>before</w:t>
            </w:r>
          </w:p>
        </w:tc>
        <w:tc>
          <w:tcPr>
            <w:tcW w:w="1249" w:type="dxa"/>
            <w:tcBorders>
              <w:bottom w:val="single" w:sz="4" w:space="0" w:color="auto"/>
            </w:tcBorders>
          </w:tcPr>
          <w:p w14:paraId="14C8A19E" w14:textId="3EA9EDD4" w:rsidR="004D2D79" w:rsidRPr="000E4666" w:rsidRDefault="004D2D79">
            <w:r w:rsidRPr="000E4666">
              <w:t>Bet</w:t>
            </w:r>
            <w:r w:rsidR="00A45138">
              <w:t>ween</w:t>
            </w:r>
            <w:r w:rsidRPr="000E4666">
              <w:t xml:space="preserve"> groups after</w:t>
            </w:r>
          </w:p>
        </w:tc>
      </w:tr>
      <w:tr w:rsidR="00A61F84" w:rsidRPr="00027788" w14:paraId="0320C21B" w14:textId="77777777" w:rsidTr="003D6E55">
        <w:tc>
          <w:tcPr>
            <w:tcW w:w="960" w:type="dxa"/>
            <w:tcBorders>
              <w:bottom w:val="nil"/>
            </w:tcBorders>
          </w:tcPr>
          <w:p w14:paraId="6E3C3E35" w14:textId="77777777" w:rsidR="004D2D79" w:rsidRPr="000E4666" w:rsidRDefault="004D2D79" w:rsidP="004D2D79">
            <w:pPr>
              <w:rPr>
                <w:i/>
              </w:rPr>
            </w:pPr>
            <w:r>
              <w:rPr>
                <w:i/>
              </w:rPr>
              <w:t>BAS</w:t>
            </w:r>
          </w:p>
          <w:p w14:paraId="182B6421" w14:textId="77777777" w:rsidR="004D2D79" w:rsidRPr="000E4666" w:rsidRDefault="004D2D79" w:rsidP="004D2D79">
            <w:pPr>
              <w:rPr>
                <w:i/>
              </w:rPr>
            </w:pPr>
          </w:p>
        </w:tc>
        <w:tc>
          <w:tcPr>
            <w:tcW w:w="883" w:type="dxa"/>
            <w:tcBorders>
              <w:bottom w:val="nil"/>
            </w:tcBorders>
          </w:tcPr>
          <w:p w14:paraId="53ACF69E" w14:textId="77777777" w:rsidR="004D2D79" w:rsidRPr="000E4666" w:rsidRDefault="004D2D79" w:rsidP="004D2D79">
            <w:r w:rsidRPr="000E4666">
              <w:t>Full</w:t>
            </w:r>
          </w:p>
          <w:p w14:paraId="2D7DE0D1" w14:textId="77777777" w:rsidR="004D2D79" w:rsidRPr="000E4666" w:rsidRDefault="004D2D79" w:rsidP="004D2D79"/>
        </w:tc>
        <w:tc>
          <w:tcPr>
            <w:tcW w:w="709" w:type="dxa"/>
            <w:tcBorders>
              <w:bottom w:val="nil"/>
            </w:tcBorders>
            <w:vAlign w:val="center"/>
          </w:tcPr>
          <w:p w14:paraId="51268E76" w14:textId="58093CCC" w:rsidR="004D2D79" w:rsidRPr="006F511F" w:rsidRDefault="004D2D79">
            <w:r w:rsidRPr="006F511F">
              <w:rPr>
                <w:rFonts w:ascii="Calibri" w:hAnsi="Calibri" w:cs="Calibri"/>
                <w:color w:val="000000"/>
              </w:rPr>
              <w:t>8</w:t>
            </w:r>
            <w:r w:rsidR="006F511F" w:rsidRPr="007801A8">
              <w:rPr>
                <w:rFonts w:ascii="Calibri" w:hAnsi="Calibri" w:cs="Calibri"/>
                <w:color w:val="000000"/>
              </w:rPr>
              <w:t>920</w:t>
            </w:r>
          </w:p>
        </w:tc>
        <w:tc>
          <w:tcPr>
            <w:tcW w:w="1134" w:type="dxa"/>
            <w:tcBorders>
              <w:bottom w:val="nil"/>
            </w:tcBorders>
          </w:tcPr>
          <w:p w14:paraId="4F342B38" w14:textId="77777777" w:rsidR="004D2D79" w:rsidRPr="000E4666" w:rsidRDefault="004D2D79" w:rsidP="004D2D79">
            <w:r>
              <w:t>0.062</w:t>
            </w:r>
          </w:p>
          <w:p w14:paraId="1F6AE1D5" w14:textId="53E46F94" w:rsidR="004D2D79" w:rsidRPr="000E4666" w:rsidRDefault="004D2D79">
            <w:r w:rsidRPr="000E4666">
              <w:t>(</w:t>
            </w:r>
            <w:r>
              <w:t>0.</w:t>
            </w:r>
            <w:r w:rsidR="00FC6D60">
              <w:t>023</w:t>
            </w:r>
            <w:r w:rsidRPr="000E4666">
              <w:t>)</w:t>
            </w:r>
          </w:p>
        </w:tc>
        <w:tc>
          <w:tcPr>
            <w:tcW w:w="992" w:type="dxa"/>
            <w:tcBorders>
              <w:bottom w:val="nil"/>
            </w:tcBorders>
          </w:tcPr>
          <w:p w14:paraId="62665DBA" w14:textId="77777777" w:rsidR="004D2D79" w:rsidRPr="000E4666" w:rsidRDefault="004D2D79" w:rsidP="004D2D79">
            <w:r>
              <w:t>0.058</w:t>
            </w:r>
          </w:p>
          <w:p w14:paraId="0C268F00" w14:textId="60539769" w:rsidR="004D2D79" w:rsidRPr="000E4666" w:rsidRDefault="004D2D79">
            <w:r w:rsidRPr="000E4666">
              <w:t>(</w:t>
            </w:r>
            <w:r>
              <w:t>0.</w:t>
            </w:r>
            <w:r w:rsidR="00FC6D60">
              <w:t>022</w:t>
            </w:r>
            <w:r w:rsidRPr="000E4666">
              <w:t>)</w:t>
            </w:r>
          </w:p>
        </w:tc>
        <w:tc>
          <w:tcPr>
            <w:tcW w:w="1134" w:type="dxa"/>
            <w:gridSpan w:val="2"/>
            <w:tcBorders>
              <w:bottom w:val="nil"/>
            </w:tcBorders>
          </w:tcPr>
          <w:p w14:paraId="3E48B217" w14:textId="77777777" w:rsidR="004D2D79" w:rsidRPr="000E4666" w:rsidRDefault="004D2D79" w:rsidP="004D2D79">
            <w:r>
              <w:t>-0.005</w:t>
            </w:r>
          </w:p>
          <w:p w14:paraId="05E4F3F3" w14:textId="0B599EEC" w:rsidR="004D2D79" w:rsidRPr="000E4666" w:rsidRDefault="004D2D79">
            <w:r w:rsidRPr="000E4666">
              <w:t>(</w:t>
            </w:r>
            <w:r w:rsidR="00FC6D60">
              <w:t>-0.001</w:t>
            </w:r>
            <w:r w:rsidRPr="000E4666">
              <w:t>)</w:t>
            </w:r>
          </w:p>
        </w:tc>
        <w:tc>
          <w:tcPr>
            <w:tcW w:w="1276" w:type="dxa"/>
            <w:tcBorders>
              <w:bottom w:val="nil"/>
            </w:tcBorders>
          </w:tcPr>
          <w:p w14:paraId="3B6F71B7" w14:textId="4617EFDB" w:rsidR="004D2D79" w:rsidRPr="000E4666" w:rsidRDefault="004D2D79" w:rsidP="004D2D79">
            <w:r>
              <w:t>-2.12**</w:t>
            </w:r>
          </w:p>
          <w:p w14:paraId="3D6A5B6A" w14:textId="62A7083A" w:rsidR="004D2D79" w:rsidRPr="000E4666" w:rsidRDefault="004D2D79">
            <w:r>
              <w:t>(</w:t>
            </w:r>
            <w:r w:rsidR="00FC6D60">
              <w:t>-1.68</w:t>
            </w:r>
            <w:r>
              <w:t>)*</w:t>
            </w:r>
          </w:p>
        </w:tc>
        <w:tc>
          <w:tcPr>
            <w:tcW w:w="1161" w:type="dxa"/>
            <w:tcBorders>
              <w:bottom w:val="nil"/>
            </w:tcBorders>
          </w:tcPr>
          <w:p w14:paraId="3441B47F" w14:textId="77777777" w:rsidR="004D2D79" w:rsidRPr="000E4666" w:rsidRDefault="004D2D79" w:rsidP="004D2D79"/>
        </w:tc>
        <w:tc>
          <w:tcPr>
            <w:tcW w:w="1249" w:type="dxa"/>
            <w:tcBorders>
              <w:bottom w:val="nil"/>
            </w:tcBorders>
          </w:tcPr>
          <w:p w14:paraId="57B62E72" w14:textId="77777777" w:rsidR="004D2D79" w:rsidRPr="000E4666" w:rsidRDefault="004D2D79" w:rsidP="004D2D79"/>
        </w:tc>
      </w:tr>
      <w:tr w:rsidR="00A61F84" w:rsidRPr="00027788" w14:paraId="62DEFA72" w14:textId="77777777" w:rsidTr="003D6E55">
        <w:tc>
          <w:tcPr>
            <w:tcW w:w="960" w:type="dxa"/>
            <w:tcBorders>
              <w:top w:val="nil"/>
              <w:bottom w:val="nil"/>
            </w:tcBorders>
          </w:tcPr>
          <w:p w14:paraId="41EFF7CE" w14:textId="77777777" w:rsidR="003B2027" w:rsidRPr="000E4666" w:rsidRDefault="003B2027" w:rsidP="003B2027">
            <w:pPr>
              <w:rPr>
                <w:i/>
              </w:rPr>
            </w:pPr>
          </w:p>
        </w:tc>
        <w:tc>
          <w:tcPr>
            <w:tcW w:w="883" w:type="dxa"/>
            <w:tcBorders>
              <w:top w:val="nil"/>
              <w:bottom w:val="nil"/>
            </w:tcBorders>
            <w:vAlign w:val="center"/>
          </w:tcPr>
          <w:p w14:paraId="48B07522" w14:textId="77777777" w:rsidR="00A61F84" w:rsidRDefault="003B2027">
            <w:r>
              <w:t>High</w:t>
            </w:r>
          </w:p>
          <w:p w14:paraId="2E02745A" w14:textId="65D53EE4" w:rsidR="003B2027" w:rsidRPr="000E4666" w:rsidRDefault="00A61F84">
            <w:r>
              <w:t>transp.</w:t>
            </w:r>
            <w:r w:rsidR="003B2027">
              <w:t xml:space="preserve"> </w:t>
            </w:r>
          </w:p>
        </w:tc>
        <w:tc>
          <w:tcPr>
            <w:tcW w:w="709" w:type="dxa"/>
            <w:tcBorders>
              <w:top w:val="nil"/>
              <w:bottom w:val="nil"/>
            </w:tcBorders>
            <w:vAlign w:val="center"/>
          </w:tcPr>
          <w:p w14:paraId="2F36645B" w14:textId="17768145" w:rsidR="003B2027" w:rsidRPr="007801A8" w:rsidRDefault="003B2027" w:rsidP="003B2027">
            <w:r w:rsidRPr="006F511F">
              <w:t>3534</w:t>
            </w:r>
          </w:p>
        </w:tc>
        <w:tc>
          <w:tcPr>
            <w:tcW w:w="1134" w:type="dxa"/>
            <w:tcBorders>
              <w:top w:val="nil"/>
              <w:bottom w:val="nil"/>
            </w:tcBorders>
          </w:tcPr>
          <w:p w14:paraId="3849E2E6" w14:textId="77777777" w:rsidR="003B2027" w:rsidRDefault="003B2027" w:rsidP="003B2027">
            <w:r>
              <w:t>0.045</w:t>
            </w:r>
          </w:p>
          <w:p w14:paraId="54B4D1B9" w14:textId="05925931" w:rsidR="003B2027" w:rsidRDefault="003B2027" w:rsidP="003B2027">
            <w:r>
              <w:t>(0.019)</w:t>
            </w:r>
          </w:p>
        </w:tc>
        <w:tc>
          <w:tcPr>
            <w:tcW w:w="992" w:type="dxa"/>
            <w:tcBorders>
              <w:top w:val="nil"/>
              <w:bottom w:val="nil"/>
            </w:tcBorders>
          </w:tcPr>
          <w:p w14:paraId="5A7452CA" w14:textId="77777777" w:rsidR="003B2027" w:rsidRDefault="003B2027" w:rsidP="003B2027">
            <w:r>
              <w:t>0.045</w:t>
            </w:r>
          </w:p>
          <w:p w14:paraId="37DE77CE" w14:textId="3B98ECBE" w:rsidR="003B2027" w:rsidRDefault="003B2027" w:rsidP="003B2027">
            <w:r>
              <w:t>(0.018)</w:t>
            </w:r>
          </w:p>
        </w:tc>
        <w:tc>
          <w:tcPr>
            <w:tcW w:w="1134" w:type="dxa"/>
            <w:gridSpan w:val="2"/>
            <w:tcBorders>
              <w:top w:val="nil"/>
              <w:bottom w:val="nil"/>
            </w:tcBorders>
          </w:tcPr>
          <w:p w14:paraId="74BF1B4C" w14:textId="77777777" w:rsidR="003B2027" w:rsidRDefault="003B2027" w:rsidP="003B2027">
            <w:r>
              <w:t>-0.000</w:t>
            </w:r>
          </w:p>
          <w:p w14:paraId="6CA6EC41" w14:textId="6287307D" w:rsidR="003B2027" w:rsidRDefault="003B2027" w:rsidP="003B2027">
            <w:r>
              <w:t>(-0.001)</w:t>
            </w:r>
          </w:p>
        </w:tc>
        <w:tc>
          <w:tcPr>
            <w:tcW w:w="1276" w:type="dxa"/>
            <w:tcBorders>
              <w:top w:val="nil"/>
              <w:bottom w:val="nil"/>
            </w:tcBorders>
          </w:tcPr>
          <w:p w14:paraId="775C0B3E" w14:textId="77777777" w:rsidR="003B2027" w:rsidRDefault="003B2027" w:rsidP="003B2027">
            <w:r>
              <w:t>-0.02</w:t>
            </w:r>
          </w:p>
          <w:p w14:paraId="5AC27252" w14:textId="21282F94" w:rsidR="003B2027" w:rsidRDefault="003B2027" w:rsidP="003B2027">
            <w:r>
              <w:t>(-0.05)</w:t>
            </w:r>
          </w:p>
        </w:tc>
        <w:tc>
          <w:tcPr>
            <w:tcW w:w="1161" w:type="dxa"/>
            <w:vMerge w:val="restart"/>
            <w:tcBorders>
              <w:top w:val="nil"/>
              <w:bottom w:val="nil"/>
            </w:tcBorders>
          </w:tcPr>
          <w:p w14:paraId="29855444" w14:textId="77777777" w:rsidR="003B2027" w:rsidRPr="007C361B" w:rsidRDefault="003B2027" w:rsidP="003B2027">
            <w:r w:rsidRPr="007C361B">
              <w:t>-8.65***</w:t>
            </w:r>
          </w:p>
          <w:p w14:paraId="70A8A59A" w14:textId="7AFE725E" w:rsidR="003B2027" w:rsidRPr="00824DE5" w:rsidRDefault="003B2027" w:rsidP="003B2027">
            <w:r w:rsidRPr="007C361B">
              <w:t>(-8.98)***</w:t>
            </w:r>
          </w:p>
        </w:tc>
        <w:tc>
          <w:tcPr>
            <w:tcW w:w="1249" w:type="dxa"/>
            <w:vMerge w:val="restart"/>
            <w:tcBorders>
              <w:top w:val="nil"/>
              <w:bottom w:val="nil"/>
            </w:tcBorders>
          </w:tcPr>
          <w:p w14:paraId="0E766CCC" w14:textId="77777777" w:rsidR="003B2027" w:rsidRPr="007C361B" w:rsidRDefault="003B2027" w:rsidP="003B2027">
            <w:r w:rsidRPr="007C361B">
              <w:t>-6.78***</w:t>
            </w:r>
          </w:p>
          <w:p w14:paraId="10E601C7" w14:textId="70389045" w:rsidR="003B2027" w:rsidRPr="00824DE5" w:rsidRDefault="003B2027" w:rsidP="003B2027">
            <w:r w:rsidRPr="007C361B">
              <w:t>(-7.28)***</w:t>
            </w:r>
          </w:p>
        </w:tc>
      </w:tr>
      <w:tr w:rsidR="00A61F84" w:rsidRPr="00027788" w14:paraId="56A92ABA" w14:textId="77777777" w:rsidTr="003D6E55">
        <w:tc>
          <w:tcPr>
            <w:tcW w:w="960" w:type="dxa"/>
            <w:tcBorders>
              <w:top w:val="nil"/>
              <w:bottom w:val="nil"/>
            </w:tcBorders>
          </w:tcPr>
          <w:p w14:paraId="1F3AC860" w14:textId="77777777" w:rsidR="003B2027" w:rsidRPr="000E4666" w:rsidRDefault="003B2027" w:rsidP="003B2027">
            <w:pPr>
              <w:rPr>
                <w:i/>
              </w:rPr>
            </w:pPr>
          </w:p>
        </w:tc>
        <w:tc>
          <w:tcPr>
            <w:tcW w:w="883" w:type="dxa"/>
            <w:tcBorders>
              <w:top w:val="nil"/>
              <w:bottom w:val="nil"/>
            </w:tcBorders>
            <w:vAlign w:val="center"/>
          </w:tcPr>
          <w:p w14:paraId="6AA5053A" w14:textId="77777777" w:rsidR="00A61F84" w:rsidRDefault="003B2027">
            <w:r>
              <w:t>Low</w:t>
            </w:r>
          </w:p>
          <w:p w14:paraId="2D25C000" w14:textId="40DA9263" w:rsidR="003B2027" w:rsidRPr="000E4666" w:rsidRDefault="00A61F84">
            <w:r>
              <w:t>transp.</w:t>
            </w:r>
            <w:r w:rsidR="003B2027">
              <w:t xml:space="preserve"> </w:t>
            </w:r>
          </w:p>
        </w:tc>
        <w:tc>
          <w:tcPr>
            <w:tcW w:w="709" w:type="dxa"/>
            <w:tcBorders>
              <w:top w:val="nil"/>
              <w:bottom w:val="nil"/>
            </w:tcBorders>
            <w:vAlign w:val="center"/>
          </w:tcPr>
          <w:p w14:paraId="1C439186" w14:textId="6AB225CF" w:rsidR="003B2027" w:rsidRPr="007801A8" w:rsidRDefault="003B2027" w:rsidP="003B2027">
            <w:r w:rsidRPr="006F511F">
              <w:t>5386</w:t>
            </w:r>
          </w:p>
        </w:tc>
        <w:tc>
          <w:tcPr>
            <w:tcW w:w="1134" w:type="dxa"/>
            <w:tcBorders>
              <w:top w:val="nil"/>
              <w:bottom w:val="nil"/>
            </w:tcBorders>
          </w:tcPr>
          <w:p w14:paraId="4F617940" w14:textId="77777777" w:rsidR="003B2027" w:rsidRDefault="003B2027" w:rsidP="003B2027">
            <w:r>
              <w:t>0.074</w:t>
            </w:r>
          </w:p>
          <w:p w14:paraId="67328D21" w14:textId="69755A2C" w:rsidR="003B2027" w:rsidRDefault="003B2027" w:rsidP="003B2027">
            <w:r>
              <w:t>(0.028)</w:t>
            </w:r>
          </w:p>
        </w:tc>
        <w:tc>
          <w:tcPr>
            <w:tcW w:w="992" w:type="dxa"/>
            <w:tcBorders>
              <w:top w:val="nil"/>
              <w:bottom w:val="nil"/>
            </w:tcBorders>
          </w:tcPr>
          <w:p w14:paraId="56114697" w14:textId="77777777" w:rsidR="003B2027" w:rsidRDefault="003B2027" w:rsidP="003B2027">
            <w:r>
              <w:t>0.066</w:t>
            </w:r>
          </w:p>
          <w:p w14:paraId="195D27D2" w14:textId="6FCDEB50" w:rsidR="003B2027" w:rsidRDefault="003B2027" w:rsidP="003B2027">
            <w:r>
              <w:t>(0.025)</w:t>
            </w:r>
          </w:p>
        </w:tc>
        <w:tc>
          <w:tcPr>
            <w:tcW w:w="1134" w:type="dxa"/>
            <w:gridSpan w:val="2"/>
            <w:tcBorders>
              <w:top w:val="nil"/>
              <w:bottom w:val="nil"/>
            </w:tcBorders>
          </w:tcPr>
          <w:p w14:paraId="49C961CF" w14:textId="77777777" w:rsidR="003B2027" w:rsidRDefault="003B2027" w:rsidP="003B2027">
            <w:r>
              <w:t>-0.008</w:t>
            </w:r>
          </w:p>
          <w:p w14:paraId="25CD6E4B" w14:textId="4DBA24E1" w:rsidR="003B2027" w:rsidRDefault="003B2027" w:rsidP="003B2027">
            <w:r>
              <w:t>(-0.002)</w:t>
            </w:r>
          </w:p>
        </w:tc>
        <w:tc>
          <w:tcPr>
            <w:tcW w:w="1276" w:type="dxa"/>
            <w:tcBorders>
              <w:top w:val="nil"/>
              <w:bottom w:val="nil"/>
            </w:tcBorders>
          </w:tcPr>
          <w:p w14:paraId="7925AE0B" w14:textId="77777777" w:rsidR="003B2027" w:rsidRPr="007801A8" w:rsidRDefault="003B2027" w:rsidP="003B2027">
            <w:r w:rsidRPr="007801A8">
              <w:t>-2.37**</w:t>
            </w:r>
          </w:p>
          <w:p w14:paraId="550D0644" w14:textId="3592C1D3" w:rsidR="003B2027" w:rsidRPr="00AD5C91" w:rsidRDefault="003B2027" w:rsidP="003B2027">
            <w:r w:rsidRPr="007801A8">
              <w:t>-2.08**</w:t>
            </w:r>
          </w:p>
        </w:tc>
        <w:tc>
          <w:tcPr>
            <w:tcW w:w="1161" w:type="dxa"/>
            <w:vMerge/>
            <w:tcBorders>
              <w:top w:val="nil"/>
              <w:bottom w:val="nil"/>
            </w:tcBorders>
            <w:vAlign w:val="center"/>
          </w:tcPr>
          <w:p w14:paraId="6FB6426E" w14:textId="4CFA30F3" w:rsidR="003B2027" w:rsidRPr="00AD5C91" w:rsidRDefault="003B2027" w:rsidP="003B2027"/>
        </w:tc>
        <w:tc>
          <w:tcPr>
            <w:tcW w:w="1249" w:type="dxa"/>
            <w:vMerge/>
            <w:tcBorders>
              <w:top w:val="nil"/>
              <w:bottom w:val="nil"/>
            </w:tcBorders>
            <w:vAlign w:val="center"/>
          </w:tcPr>
          <w:p w14:paraId="3E1F6D19" w14:textId="17BB4439" w:rsidR="003B2027" w:rsidRPr="00AD5C91" w:rsidRDefault="003B2027" w:rsidP="003B2027"/>
        </w:tc>
      </w:tr>
      <w:tr w:rsidR="00A61F84" w:rsidRPr="00027788" w14:paraId="0960A65D" w14:textId="77777777" w:rsidTr="003D6E55">
        <w:tc>
          <w:tcPr>
            <w:tcW w:w="960" w:type="dxa"/>
            <w:tcBorders>
              <w:top w:val="nil"/>
              <w:bottom w:val="nil"/>
            </w:tcBorders>
          </w:tcPr>
          <w:p w14:paraId="1AC32E7F" w14:textId="77777777" w:rsidR="004D2D79" w:rsidRPr="000E4666" w:rsidRDefault="004D2D79" w:rsidP="004D2D79">
            <w:pPr>
              <w:rPr>
                <w:i/>
              </w:rPr>
            </w:pPr>
          </w:p>
        </w:tc>
        <w:tc>
          <w:tcPr>
            <w:tcW w:w="883" w:type="dxa"/>
            <w:tcBorders>
              <w:top w:val="nil"/>
              <w:bottom w:val="nil"/>
            </w:tcBorders>
            <w:vAlign w:val="center"/>
          </w:tcPr>
          <w:p w14:paraId="4CDB89D1" w14:textId="6160A45F" w:rsidR="004D2D79" w:rsidRPr="000E4666" w:rsidRDefault="003B13F2" w:rsidP="004D2D79">
            <w:r w:rsidRPr="003B13F2">
              <w:rPr>
                <w:i/>
              </w:rPr>
              <w:t>CAR</w:t>
            </w:r>
            <w:r w:rsidR="004D2D79" w:rsidRPr="000E4666">
              <w:t>&gt;0</w:t>
            </w:r>
          </w:p>
        </w:tc>
        <w:tc>
          <w:tcPr>
            <w:tcW w:w="709" w:type="dxa"/>
            <w:tcBorders>
              <w:top w:val="nil"/>
              <w:bottom w:val="nil"/>
            </w:tcBorders>
            <w:vAlign w:val="center"/>
          </w:tcPr>
          <w:p w14:paraId="1D42F2F1" w14:textId="70DE5D36" w:rsidR="004D2D79" w:rsidRPr="006F511F" w:rsidRDefault="004D2D79">
            <w:r w:rsidRPr="006F511F">
              <w:t>4</w:t>
            </w:r>
            <w:r w:rsidR="006F511F" w:rsidRPr="007801A8">
              <w:t>920</w:t>
            </w:r>
          </w:p>
        </w:tc>
        <w:tc>
          <w:tcPr>
            <w:tcW w:w="1134" w:type="dxa"/>
            <w:tcBorders>
              <w:top w:val="nil"/>
              <w:bottom w:val="nil"/>
            </w:tcBorders>
          </w:tcPr>
          <w:p w14:paraId="2C6EBD20" w14:textId="77777777" w:rsidR="004D2D79" w:rsidRPr="000E4666" w:rsidRDefault="004D2D79" w:rsidP="004D2D79">
            <w:r>
              <w:t>0.057</w:t>
            </w:r>
          </w:p>
          <w:p w14:paraId="2F5A4998" w14:textId="54F32F4F" w:rsidR="004D2D79" w:rsidRPr="000E4666" w:rsidRDefault="004D2D79">
            <w:r>
              <w:t>(0.</w:t>
            </w:r>
            <w:r w:rsidR="00FC6D60">
              <w:t>022</w:t>
            </w:r>
            <w:r>
              <w:t>)</w:t>
            </w:r>
          </w:p>
        </w:tc>
        <w:tc>
          <w:tcPr>
            <w:tcW w:w="992" w:type="dxa"/>
            <w:tcBorders>
              <w:top w:val="nil"/>
              <w:bottom w:val="nil"/>
            </w:tcBorders>
          </w:tcPr>
          <w:p w14:paraId="35C6254F" w14:textId="77777777" w:rsidR="004D2D79" w:rsidRPr="000E4666" w:rsidRDefault="004D2D79" w:rsidP="004D2D79">
            <w:r>
              <w:t>0.061</w:t>
            </w:r>
          </w:p>
          <w:p w14:paraId="0D92206B" w14:textId="4BEF68E3" w:rsidR="004D2D79" w:rsidRPr="000E4666" w:rsidRDefault="004D2D79">
            <w:r w:rsidRPr="000E4666">
              <w:t>(</w:t>
            </w:r>
            <w:r>
              <w:t>0.</w:t>
            </w:r>
            <w:r w:rsidR="00FC6D60">
              <w:t>022</w:t>
            </w:r>
            <w:r w:rsidRPr="000E4666">
              <w:t>)</w:t>
            </w:r>
          </w:p>
        </w:tc>
        <w:tc>
          <w:tcPr>
            <w:tcW w:w="1134" w:type="dxa"/>
            <w:gridSpan w:val="2"/>
            <w:tcBorders>
              <w:top w:val="nil"/>
              <w:bottom w:val="nil"/>
            </w:tcBorders>
          </w:tcPr>
          <w:p w14:paraId="39F25EBF" w14:textId="77777777" w:rsidR="004D2D79" w:rsidRPr="000E4666" w:rsidRDefault="004D2D79" w:rsidP="004D2D79">
            <w:r>
              <w:t>0.005</w:t>
            </w:r>
          </w:p>
          <w:p w14:paraId="22298FDE" w14:textId="117289FD" w:rsidR="004D2D79" w:rsidRPr="000E4666" w:rsidRDefault="004D2D79">
            <w:r w:rsidRPr="000E4666">
              <w:t>(</w:t>
            </w:r>
            <w:r w:rsidR="00FC6D60">
              <w:t>0.000</w:t>
            </w:r>
            <w:r w:rsidRPr="000E4666">
              <w:t>)</w:t>
            </w:r>
          </w:p>
        </w:tc>
        <w:tc>
          <w:tcPr>
            <w:tcW w:w="1276" w:type="dxa"/>
            <w:tcBorders>
              <w:top w:val="nil"/>
              <w:bottom w:val="nil"/>
            </w:tcBorders>
          </w:tcPr>
          <w:p w14:paraId="2F810041" w14:textId="77777777" w:rsidR="004D2D79" w:rsidRPr="00AD5C91" w:rsidRDefault="004D2D79" w:rsidP="004D2D79">
            <w:r w:rsidRPr="00AD5C91">
              <w:t>1.37</w:t>
            </w:r>
          </w:p>
          <w:p w14:paraId="02F397D5" w14:textId="0DCAABE9" w:rsidR="004D2D79" w:rsidRPr="00AD5C91" w:rsidRDefault="004D2D79">
            <w:r w:rsidRPr="00AD5C91">
              <w:t>(</w:t>
            </w:r>
            <w:r w:rsidR="00FC6D60" w:rsidRPr="00AD5C91">
              <w:t>-0.40</w:t>
            </w:r>
            <w:r w:rsidRPr="00AD5C91">
              <w:t>)</w:t>
            </w:r>
          </w:p>
        </w:tc>
        <w:tc>
          <w:tcPr>
            <w:tcW w:w="1161" w:type="dxa"/>
            <w:vMerge w:val="restart"/>
            <w:tcBorders>
              <w:top w:val="nil"/>
              <w:bottom w:val="nil"/>
            </w:tcBorders>
          </w:tcPr>
          <w:p w14:paraId="56146E2A" w14:textId="0B071D3C" w:rsidR="004D2D79" w:rsidRPr="007801A8" w:rsidRDefault="00824DE5" w:rsidP="004D2D79">
            <w:r w:rsidRPr="007801A8">
              <w:t>-3.73***</w:t>
            </w:r>
          </w:p>
          <w:p w14:paraId="68D32C68" w14:textId="581E6445" w:rsidR="004D2D79" w:rsidRPr="007801A8" w:rsidRDefault="004D2D79">
            <w:r w:rsidRPr="007801A8">
              <w:t>(</w:t>
            </w:r>
            <w:r w:rsidR="00824DE5" w:rsidRPr="007801A8">
              <w:t>-3.43</w:t>
            </w:r>
            <w:r w:rsidRPr="007801A8">
              <w:t>)</w:t>
            </w:r>
            <w:r w:rsidR="00824DE5" w:rsidRPr="007801A8">
              <w:t>***</w:t>
            </w:r>
          </w:p>
        </w:tc>
        <w:tc>
          <w:tcPr>
            <w:tcW w:w="1249" w:type="dxa"/>
            <w:vMerge w:val="restart"/>
            <w:tcBorders>
              <w:top w:val="nil"/>
              <w:bottom w:val="nil"/>
            </w:tcBorders>
          </w:tcPr>
          <w:p w14:paraId="085B78E3" w14:textId="6374951C" w:rsidR="004D2D79" w:rsidRPr="007801A8" w:rsidRDefault="00824DE5" w:rsidP="004D2D79">
            <w:r w:rsidRPr="007801A8">
              <w:t>2.69***</w:t>
            </w:r>
          </w:p>
          <w:p w14:paraId="38394D8B" w14:textId="45E3E6C8" w:rsidR="004D2D79" w:rsidRPr="007801A8" w:rsidRDefault="004D2D79">
            <w:r w:rsidRPr="007801A8">
              <w:t>(</w:t>
            </w:r>
            <w:r w:rsidR="00824DE5" w:rsidRPr="007801A8">
              <w:t>0.06</w:t>
            </w:r>
            <w:r w:rsidRPr="007801A8">
              <w:t>)</w:t>
            </w:r>
          </w:p>
        </w:tc>
      </w:tr>
      <w:tr w:rsidR="00A61F84" w:rsidRPr="00027788" w14:paraId="23C550D9" w14:textId="77777777" w:rsidTr="003D6E55">
        <w:tc>
          <w:tcPr>
            <w:tcW w:w="960" w:type="dxa"/>
            <w:tcBorders>
              <w:top w:val="nil"/>
              <w:bottom w:val="single" w:sz="4" w:space="0" w:color="auto"/>
            </w:tcBorders>
          </w:tcPr>
          <w:p w14:paraId="5BDB0198" w14:textId="77777777" w:rsidR="004D2D79" w:rsidRPr="000E4666" w:rsidRDefault="004D2D79" w:rsidP="004D2D79">
            <w:pPr>
              <w:rPr>
                <w:i/>
              </w:rPr>
            </w:pPr>
          </w:p>
        </w:tc>
        <w:tc>
          <w:tcPr>
            <w:tcW w:w="883" w:type="dxa"/>
            <w:tcBorders>
              <w:top w:val="nil"/>
              <w:bottom w:val="single" w:sz="4" w:space="0" w:color="auto"/>
            </w:tcBorders>
            <w:vAlign w:val="center"/>
          </w:tcPr>
          <w:p w14:paraId="7BD90CD1" w14:textId="538EA973" w:rsidR="004D2D79" w:rsidRPr="000E4666" w:rsidRDefault="003B13F2" w:rsidP="004D2D79">
            <w:r w:rsidRPr="003B13F2">
              <w:rPr>
                <w:i/>
              </w:rPr>
              <w:t>CAR</w:t>
            </w:r>
            <w:r w:rsidR="004D2D79" w:rsidRPr="000E4666">
              <w:t>&lt;0</w:t>
            </w:r>
          </w:p>
        </w:tc>
        <w:tc>
          <w:tcPr>
            <w:tcW w:w="709" w:type="dxa"/>
            <w:tcBorders>
              <w:top w:val="nil"/>
              <w:bottom w:val="single" w:sz="4" w:space="0" w:color="auto"/>
            </w:tcBorders>
            <w:vAlign w:val="center"/>
          </w:tcPr>
          <w:p w14:paraId="50CD9DA5" w14:textId="545F3D5F" w:rsidR="004D2D79" w:rsidRPr="006F511F" w:rsidRDefault="006F511F" w:rsidP="004D2D79">
            <w:r w:rsidRPr="007801A8">
              <w:rPr>
                <w:rFonts w:ascii="Calibri" w:hAnsi="Calibri" w:cs="Calibri"/>
                <w:color w:val="000000"/>
              </w:rPr>
              <w:t>4000</w:t>
            </w:r>
          </w:p>
        </w:tc>
        <w:tc>
          <w:tcPr>
            <w:tcW w:w="1134" w:type="dxa"/>
            <w:tcBorders>
              <w:top w:val="nil"/>
              <w:bottom w:val="single" w:sz="4" w:space="0" w:color="auto"/>
            </w:tcBorders>
          </w:tcPr>
          <w:p w14:paraId="7B25962F" w14:textId="77777777" w:rsidR="004D2D79" w:rsidRPr="000E4666" w:rsidRDefault="004D2D79" w:rsidP="004D2D79">
            <w:r>
              <w:t>0.069</w:t>
            </w:r>
          </w:p>
          <w:p w14:paraId="6BFF81B5" w14:textId="4CD600C3" w:rsidR="004D2D79" w:rsidRPr="000E4666" w:rsidRDefault="004D2D79">
            <w:r w:rsidRPr="000E4666">
              <w:t>(</w:t>
            </w:r>
            <w:r>
              <w:t>0.</w:t>
            </w:r>
            <w:r w:rsidR="00FC6D60">
              <w:t>026</w:t>
            </w:r>
            <w:r w:rsidRPr="000E4666">
              <w:t>)</w:t>
            </w:r>
          </w:p>
        </w:tc>
        <w:tc>
          <w:tcPr>
            <w:tcW w:w="992" w:type="dxa"/>
            <w:tcBorders>
              <w:top w:val="nil"/>
              <w:bottom w:val="single" w:sz="4" w:space="0" w:color="auto"/>
            </w:tcBorders>
          </w:tcPr>
          <w:p w14:paraId="441FE7AD" w14:textId="77777777" w:rsidR="004D2D79" w:rsidRPr="000E4666" w:rsidRDefault="004D2D79" w:rsidP="004D2D79">
            <w:r>
              <w:t>0.053</w:t>
            </w:r>
          </w:p>
          <w:p w14:paraId="1707B97B" w14:textId="735DCD33" w:rsidR="004D2D79" w:rsidRPr="000E4666" w:rsidRDefault="004D2D79">
            <w:r w:rsidRPr="000E4666">
              <w:t>(</w:t>
            </w:r>
            <w:r>
              <w:t>0.</w:t>
            </w:r>
            <w:r w:rsidR="00FC6D60">
              <w:t>022</w:t>
            </w:r>
            <w:r w:rsidRPr="000E4666">
              <w:t>)</w:t>
            </w:r>
          </w:p>
        </w:tc>
        <w:tc>
          <w:tcPr>
            <w:tcW w:w="1134" w:type="dxa"/>
            <w:gridSpan w:val="2"/>
            <w:tcBorders>
              <w:top w:val="nil"/>
              <w:bottom w:val="single" w:sz="4" w:space="0" w:color="auto"/>
            </w:tcBorders>
          </w:tcPr>
          <w:p w14:paraId="1E637129" w14:textId="77777777" w:rsidR="004D2D79" w:rsidRPr="000E4666" w:rsidRDefault="004D2D79" w:rsidP="004D2D79">
            <w:r>
              <w:t>-0.017</w:t>
            </w:r>
          </w:p>
          <w:p w14:paraId="67F904B0" w14:textId="7B3683CC" w:rsidR="004D2D79" w:rsidRPr="000E4666" w:rsidRDefault="004D2D79">
            <w:r w:rsidRPr="000E4666">
              <w:t>(</w:t>
            </w:r>
            <w:r w:rsidR="00824DE5">
              <w:t>-0.004</w:t>
            </w:r>
            <w:r w:rsidRPr="000E4666">
              <w:t>)</w:t>
            </w:r>
          </w:p>
        </w:tc>
        <w:tc>
          <w:tcPr>
            <w:tcW w:w="1276" w:type="dxa"/>
            <w:tcBorders>
              <w:top w:val="nil"/>
              <w:bottom w:val="single" w:sz="4" w:space="0" w:color="auto"/>
            </w:tcBorders>
          </w:tcPr>
          <w:p w14:paraId="5735C920" w14:textId="77777777" w:rsidR="004D2D79" w:rsidRPr="00AD5C91" w:rsidRDefault="004D2D79" w:rsidP="004D2D79">
            <w:r w:rsidRPr="00AD5C91">
              <w:t>-5.30***</w:t>
            </w:r>
          </w:p>
          <w:p w14:paraId="4571ADC3" w14:textId="6DD3C00A" w:rsidR="004D2D79" w:rsidRPr="00AD5C91" w:rsidRDefault="004D2D79">
            <w:r w:rsidRPr="00AD5C91">
              <w:t>(</w:t>
            </w:r>
            <w:r w:rsidR="00824DE5" w:rsidRPr="00AD5C91">
              <w:t>-3.02</w:t>
            </w:r>
            <w:r w:rsidRPr="00AD5C91">
              <w:t>)***</w:t>
            </w:r>
          </w:p>
        </w:tc>
        <w:tc>
          <w:tcPr>
            <w:tcW w:w="1161" w:type="dxa"/>
            <w:vMerge/>
            <w:tcBorders>
              <w:top w:val="nil"/>
              <w:bottom w:val="single" w:sz="4" w:space="0" w:color="auto"/>
            </w:tcBorders>
          </w:tcPr>
          <w:p w14:paraId="3523E337" w14:textId="77777777" w:rsidR="004D2D79" w:rsidRPr="00AD5C91" w:rsidRDefault="004D2D79" w:rsidP="004D2D79"/>
        </w:tc>
        <w:tc>
          <w:tcPr>
            <w:tcW w:w="1249" w:type="dxa"/>
            <w:vMerge/>
            <w:tcBorders>
              <w:top w:val="nil"/>
              <w:bottom w:val="single" w:sz="4" w:space="0" w:color="auto"/>
            </w:tcBorders>
          </w:tcPr>
          <w:p w14:paraId="3CD0727F" w14:textId="77777777" w:rsidR="004D2D79" w:rsidRPr="00AD5C91" w:rsidRDefault="004D2D79" w:rsidP="004D2D79"/>
        </w:tc>
      </w:tr>
      <w:tr w:rsidR="00A61F84" w:rsidRPr="00027788" w14:paraId="440A9582" w14:textId="77777777" w:rsidTr="003D6E55">
        <w:tc>
          <w:tcPr>
            <w:tcW w:w="960" w:type="dxa"/>
            <w:tcBorders>
              <w:bottom w:val="nil"/>
            </w:tcBorders>
          </w:tcPr>
          <w:p w14:paraId="332EEFBE" w14:textId="77777777" w:rsidR="004D2D79" w:rsidRPr="000E4666" w:rsidRDefault="004D2D79" w:rsidP="00BC1909">
            <w:pPr>
              <w:spacing w:before="120"/>
              <w:rPr>
                <w:i/>
              </w:rPr>
            </w:pPr>
            <w:r w:rsidRPr="000E4666">
              <w:rPr>
                <w:i/>
              </w:rPr>
              <w:t>Vol</w:t>
            </w:r>
            <w:r>
              <w:rPr>
                <w:i/>
              </w:rPr>
              <w:t>ume</w:t>
            </w:r>
          </w:p>
        </w:tc>
        <w:tc>
          <w:tcPr>
            <w:tcW w:w="883" w:type="dxa"/>
            <w:tcBorders>
              <w:bottom w:val="nil"/>
            </w:tcBorders>
            <w:vAlign w:val="center"/>
          </w:tcPr>
          <w:p w14:paraId="2AB00BF0" w14:textId="77777777" w:rsidR="004D2D79" w:rsidRPr="000E4666" w:rsidRDefault="004D2D79" w:rsidP="00BC1909">
            <w:pPr>
              <w:spacing w:before="120"/>
            </w:pPr>
            <w:r w:rsidRPr="000E4666">
              <w:t>Full</w:t>
            </w:r>
          </w:p>
          <w:p w14:paraId="3EC6CDB4" w14:textId="77777777" w:rsidR="004D2D79" w:rsidRPr="000E4666" w:rsidRDefault="004D2D79" w:rsidP="00BC1909">
            <w:pPr>
              <w:spacing w:before="120"/>
            </w:pPr>
          </w:p>
        </w:tc>
        <w:tc>
          <w:tcPr>
            <w:tcW w:w="709" w:type="dxa"/>
            <w:tcBorders>
              <w:bottom w:val="nil"/>
            </w:tcBorders>
            <w:vAlign w:val="center"/>
          </w:tcPr>
          <w:p w14:paraId="6BCE5239" w14:textId="0C2A627B" w:rsidR="004D2D79" w:rsidRPr="006F511F" w:rsidRDefault="006F511F" w:rsidP="00BC1909">
            <w:pPr>
              <w:spacing w:before="120"/>
            </w:pPr>
            <w:r w:rsidRPr="007801A8">
              <w:t>8920</w:t>
            </w:r>
          </w:p>
        </w:tc>
        <w:tc>
          <w:tcPr>
            <w:tcW w:w="1134" w:type="dxa"/>
            <w:tcBorders>
              <w:bottom w:val="nil"/>
            </w:tcBorders>
          </w:tcPr>
          <w:p w14:paraId="65353AC2" w14:textId="77777777" w:rsidR="004D2D79" w:rsidRPr="000E4666" w:rsidRDefault="004D2D79" w:rsidP="00BC1909">
            <w:pPr>
              <w:spacing w:before="120"/>
            </w:pPr>
            <w:r>
              <w:t>0.163</w:t>
            </w:r>
          </w:p>
          <w:p w14:paraId="461C0D9A" w14:textId="2122055E" w:rsidR="004D2D79" w:rsidRPr="000E4666" w:rsidRDefault="004D2D79" w:rsidP="00BC1909">
            <w:pPr>
              <w:spacing w:before="120"/>
            </w:pPr>
            <w:r>
              <w:t>(0.</w:t>
            </w:r>
            <w:r w:rsidR="003425BA">
              <w:t>076</w:t>
            </w:r>
            <w:r w:rsidRPr="000E4666">
              <w:t>)</w:t>
            </w:r>
          </w:p>
        </w:tc>
        <w:tc>
          <w:tcPr>
            <w:tcW w:w="992" w:type="dxa"/>
            <w:tcBorders>
              <w:bottom w:val="nil"/>
            </w:tcBorders>
          </w:tcPr>
          <w:p w14:paraId="3D42A0B7" w14:textId="77777777" w:rsidR="004D2D79" w:rsidRPr="000E4666" w:rsidRDefault="004D2D79" w:rsidP="00BC1909">
            <w:pPr>
              <w:spacing w:before="120"/>
            </w:pPr>
            <w:r>
              <w:t>0.169</w:t>
            </w:r>
          </w:p>
          <w:p w14:paraId="401C692B" w14:textId="1BEF06E4" w:rsidR="004D2D79" w:rsidRPr="000E4666" w:rsidRDefault="004D2D79" w:rsidP="00BC1909">
            <w:pPr>
              <w:spacing w:before="120"/>
            </w:pPr>
            <w:r w:rsidRPr="000E4666">
              <w:t>(</w:t>
            </w:r>
            <w:r>
              <w:t>0.</w:t>
            </w:r>
            <w:r w:rsidR="003425BA">
              <w:t>079</w:t>
            </w:r>
            <w:r w:rsidRPr="000E4666">
              <w:t>)</w:t>
            </w:r>
          </w:p>
        </w:tc>
        <w:tc>
          <w:tcPr>
            <w:tcW w:w="1134" w:type="dxa"/>
            <w:gridSpan w:val="2"/>
            <w:tcBorders>
              <w:bottom w:val="nil"/>
            </w:tcBorders>
          </w:tcPr>
          <w:p w14:paraId="1CFB648D" w14:textId="77777777" w:rsidR="004D2D79" w:rsidRPr="000E4666" w:rsidRDefault="004D2D79" w:rsidP="00BC1909">
            <w:pPr>
              <w:spacing w:before="120"/>
            </w:pPr>
            <w:r>
              <w:t>0.006</w:t>
            </w:r>
          </w:p>
          <w:p w14:paraId="734D2519" w14:textId="4605E931" w:rsidR="004D2D79" w:rsidRPr="000E4666" w:rsidRDefault="004D2D79" w:rsidP="00BC1909">
            <w:pPr>
              <w:spacing w:before="120"/>
            </w:pPr>
            <w:r w:rsidRPr="000E4666">
              <w:t>(</w:t>
            </w:r>
            <w:r w:rsidR="003425BA">
              <w:t>0.002</w:t>
            </w:r>
            <w:r w:rsidRPr="000E4666">
              <w:t>)</w:t>
            </w:r>
          </w:p>
        </w:tc>
        <w:tc>
          <w:tcPr>
            <w:tcW w:w="1276" w:type="dxa"/>
            <w:tcBorders>
              <w:bottom w:val="nil"/>
            </w:tcBorders>
          </w:tcPr>
          <w:p w14:paraId="719532E7" w14:textId="77777777" w:rsidR="004D2D79" w:rsidRPr="00AD5C91" w:rsidRDefault="004D2D79" w:rsidP="00BC1909">
            <w:pPr>
              <w:spacing w:before="120"/>
            </w:pPr>
            <w:r w:rsidRPr="00AD5C91">
              <w:t>1.11</w:t>
            </w:r>
          </w:p>
          <w:p w14:paraId="03CECDD2" w14:textId="28ED8F4A" w:rsidR="004D2D79" w:rsidRPr="00AD5C91" w:rsidRDefault="004D2D79" w:rsidP="00BC1909">
            <w:pPr>
              <w:spacing w:before="120"/>
            </w:pPr>
            <w:r w:rsidRPr="00AD5C91">
              <w:t>(</w:t>
            </w:r>
            <w:r w:rsidR="003425BA" w:rsidRPr="00AD5C91">
              <w:t>-</w:t>
            </w:r>
            <w:r w:rsidRPr="00AD5C91">
              <w:t>0.</w:t>
            </w:r>
            <w:r w:rsidR="003425BA" w:rsidRPr="00AD5C91">
              <w:t>95</w:t>
            </w:r>
            <w:r w:rsidRPr="00AD5C91">
              <w:t>)</w:t>
            </w:r>
          </w:p>
        </w:tc>
        <w:tc>
          <w:tcPr>
            <w:tcW w:w="1161" w:type="dxa"/>
            <w:tcBorders>
              <w:bottom w:val="nil"/>
            </w:tcBorders>
          </w:tcPr>
          <w:p w14:paraId="2FBA952E" w14:textId="77777777" w:rsidR="004D2D79" w:rsidRPr="00AD5C91" w:rsidRDefault="004D2D79" w:rsidP="00BC1909">
            <w:pPr>
              <w:spacing w:before="120"/>
            </w:pPr>
          </w:p>
        </w:tc>
        <w:tc>
          <w:tcPr>
            <w:tcW w:w="1249" w:type="dxa"/>
            <w:tcBorders>
              <w:bottom w:val="nil"/>
            </w:tcBorders>
          </w:tcPr>
          <w:p w14:paraId="23F9DFC7" w14:textId="77777777" w:rsidR="004D2D79" w:rsidRPr="00AD5C91" w:rsidRDefault="004D2D79" w:rsidP="00BC1909">
            <w:pPr>
              <w:spacing w:before="120"/>
            </w:pPr>
          </w:p>
        </w:tc>
      </w:tr>
      <w:tr w:rsidR="00A61F84" w:rsidRPr="00027788" w14:paraId="79A2A052" w14:textId="77777777" w:rsidTr="003D6E55">
        <w:tc>
          <w:tcPr>
            <w:tcW w:w="960" w:type="dxa"/>
            <w:tcBorders>
              <w:top w:val="nil"/>
              <w:bottom w:val="nil"/>
            </w:tcBorders>
          </w:tcPr>
          <w:p w14:paraId="54560907" w14:textId="77777777" w:rsidR="003B2027" w:rsidRPr="000E4666" w:rsidRDefault="003B2027" w:rsidP="003B2027">
            <w:pPr>
              <w:rPr>
                <w:i/>
              </w:rPr>
            </w:pPr>
          </w:p>
        </w:tc>
        <w:tc>
          <w:tcPr>
            <w:tcW w:w="883" w:type="dxa"/>
            <w:tcBorders>
              <w:top w:val="nil"/>
              <w:bottom w:val="nil"/>
            </w:tcBorders>
            <w:vAlign w:val="center"/>
          </w:tcPr>
          <w:p w14:paraId="7432E964" w14:textId="77777777" w:rsidR="00A61F84" w:rsidRDefault="003B2027">
            <w:r>
              <w:t>High</w:t>
            </w:r>
          </w:p>
          <w:p w14:paraId="03A533C7" w14:textId="1C2EA67A" w:rsidR="003B2027" w:rsidRPr="000E4666" w:rsidRDefault="00A61F84">
            <w:r>
              <w:t>transp.</w:t>
            </w:r>
            <w:r w:rsidR="003B2027">
              <w:t xml:space="preserve"> </w:t>
            </w:r>
          </w:p>
        </w:tc>
        <w:tc>
          <w:tcPr>
            <w:tcW w:w="709" w:type="dxa"/>
            <w:tcBorders>
              <w:top w:val="nil"/>
              <w:bottom w:val="nil"/>
            </w:tcBorders>
            <w:vAlign w:val="center"/>
          </w:tcPr>
          <w:p w14:paraId="73C011C9" w14:textId="0A7C3A91" w:rsidR="003B2027" w:rsidRPr="007801A8" w:rsidRDefault="003B2027" w:rsidP="003B2027">
            <w:r w:rsidRPr="006F511F">
              <w:t>3534</w:t>
            </w:r>
          </w:p>
        </w:tc>
        <w:tc>
          <w:tcPr>
            <w:tcW w:w="1134" w:type="dxa"/>
            <w:tcBorders>
              <w:top w:val="nil"/>
              <w:bottom w:val="nil"/>
            </w:tcBorders>
            <w:vAlign w:val="bottom"/>
          </w:tcPr>
          <w:p w14:paraId="5ADF950E" w14:textId="77777777" w:rsidR="003B2027" w:rsidRDefault="003B2027" w:rsidP="003B2027">
            <w:r>
              <w:t>0.173</w:t>
            </w:r>
          </w:p>
          <w:p w14:paraId="2A774A93" w14:textId="4E6625C2" w:rsidR="003B2027" w:rsidRDefault="003B2027" w:rsidP="003B2027">
            <w:pPr>
              <w:rPr>
                <w:rFonts w:ascii="Calibri" w:hAnsi="Calibri" w:cs="Calibri"/>
                <w:color w:val="000000"/>
              </w:rPr>
            </w:pPr>
            <w:r>
              <w:t>(0.091)</w:t>
            </w:r>
          </w:p>
        </w:tc>
        <w:tc>
          <w:tcPr>
            <w:tcW w:w="992" w:type="dxa"/>
            <w:tcBorders>
              <w:top w:val="nil"/>
              <w:bottom w:val="nil"/>
            </w:tcBorders>
          </w:tcPr>
          <w:p w14:paraId="3FC35DFE" w14:textId="77777777" w:rsidR="003B2027" w:rsidRDefault="003B2027" w:rsidP="003B2027">
            <w:r>
              <w:t>0.183</w:t>
            </w:r>
          </w:p>
          <w:p w14:paraId="3D74BB4D" w14:textId="44F99CEF" w:rsidR="003B2027" w:rsidRDefault="003B2027" w:rsidP="003B2027">
            <w:r>
              <w:t>(0.089)</w:t>
            </w:r>
          </w:p>
        </w:tc>
        <w:tc>
          <w:tcPr>
            <w:tcW w:w="1134" w:type="dxa"/>
            <w:gridSpan w:val="2"/>
            <w:tcBorders>
              <w:top w:val="nil"/>
              <w:bottom w:val="nil"/>
            </w:tcBorders>
          </w:tcPr>
          <w:p w14:paraId="3706577D" w14:textId="77777777" w:rsidR="003B2027" w:rsidRDefault="003B2027" w:rsidP="003B2027">
            <w:r>
              <w:t>0.010</w:t>
            </w:r>
          </w:p>
          <w:p w14:paraId="424240E7" w14:textId="09572803" w:rsidR="003B2027" w:rsidRDefault="003B2027" w:rsidP="003B2027">
            <w:r>
              <w:t>(-0.002)</w:t>
            </w:r>
          </w:p>
        </w:tc>
        <w:tc>
          <w:tcPr>
            <w:tcW w:w="1276" w:type="dxa"/>
            <w:tcBorders>
              <w:top w:val="nil"/>
              <w:bottom w:val="nil"/>
            </w:tcBorders>
          </w:tcPr>
          <w:p w14:paraId="6FA6A725" w14:textId="77777777" w:rsidR="003B2027" w:rsidRPr="00AD5C91" w:rsidRDefault="003B2027" w:rsidP="003B2027">
            <w:r w:rsidRPr="00AD5C91">
              <w:t>1.18</w:t>
            </w:r>
          </w:p>
          <w:p w14:paraId="02C0C626" w14:textId="67672F26" w:rsidR="003B2027" w:rsidRPr="00AD5C91" w:rsidRDefault="003B2027" w:rsidP="003B2027">
            <w:r w:rsidRPr="00AD5C91">
              <w:t>(-0.07)</w:t>
            </w:r>
          </w:p>
        </w:tc>
        <w:tc>
          <w:tcPr>
            <w:tcW w:w="1161" w:type="dxa"/>
            <w:vMerge w:val="restart"/>
            <w:tcBorders>
              <w:top w:val="nil"/>
              <w:bottom w:val="nil"/>
            </w:tcBorders>
          </w:tcPr>
          <w:p w14:paraId="26463C7D" w14:textId="77777777" w:rsidR="003B2027" w:rsidRPr="007801A8" w:rsidRDefault="003B2027" w:rsidP="003B2027">
            <w:r w:rsidRPr="007801A8">
              <w:t>2.17**</w:t>
            </w:r>
          </w:p>
          <w:p w14:paraId="387E4652" w14:textId="6F8B49DE" w:rsidR="003B2027" w:rsidRPr="00AD5C91" w:rsidRDefault="003B2027" w:rsidP="003B2027">
            <w:r w:rsidRPr="007801A8">
              <w:t>(4.85)</w:t>
            </w:r>
            <w:r w:rsidRPr="00AD5C91">
              <w:t>***</w:t>
            </w:r>
          </w:p>
        </w:tc>
        <w:tc>
          <w:tcPr>
            <w:tcW w:w="1249" w:type="dxa"/>
            <w:vMerge w:val="restart"/>
            <w:tcBorders>
              <w:top w:val="nil"/>
              <w:bottom w:val="nil"/>
            </w:tcBorders>
          </w:tcPr>
          <w:p w14:paraId="4D9DCE45" w14:textId="77777777" w:rsidR="003B2027" w:rsidRPr="007801A8" w:rsidRDefault="003B2027" w:rsidP="003B2027">
            <w:r w:rsidRPr="007801A8">
              <w:t>3.08***</w:t>
            </w:r>
          </w:p>
          <w:p w14:paraId="5F5C7934" w14:textId="39FF1A63" w:rsidR="003B2027" w:rsidRPr="00AD5C91" w:rsidRDefault="003B2027" w:rsidP="003B2027">
            <w:r w:rsidRPr="007801A8">
              <w:t>(3.68)</w:t>
            </w:r>
            <w:r w:rsidRPr="00AD5C91">
              <w:t>***</w:t>
            </w:r>
          </w:p>
        </w:tc>
      </w:tr>
      <w:tr w:rsidR="00A61F84" w:rsidRPr="00027788" w14:paraId="6FFF547C" w14:textId="77777777" w:rsidTr="003D6E55">
        <w:tc>
          <w:tcPr>
            <w:tcW w:w="960" w:type="dxa"/>
            <w:tcBorders>
              <w:top w:val="nil"/>
              <w:bottom w:val="nil"/>
            </w:tcBorders>
          </w:tcPr>
          <w:p w14:paraId="6EED6139" w14:textId="77777777" w:rsidR="003B2027" w:rsidRPr="000E4666" w:rsidRDefault="003B2027" w:rsidP="003B2027">
            <w:pPr>
              <w:rPr>
                <w:i/>
              </w:rPr>
            </w:pPr>
          </w:p>
        </w:tc>
        <w:tc>
          <w:tcPr>
            <w:tcW w:w="883" w:type="dxa"/>
            <w:tcBorders>
              <w:top w:val="nil"/>
              <w:bottom w:val="nil"/>
            </w:tcBorders>
            <w:vAlign w:val="center"/>
          </w:tcPr>
          <w:p w14:paraId="69328812" w14:textId="77777777" w:rsidR="00A61F84" w:rsidRDefault="003B2027" w:rsidP="003B2027">
            <w:r>
              <w:t>Low</w:t>
            </w:r>
          </w:p>
          <w:p w14:paraId="23B7B63A" w14:textId="44B546E0" w:rsidR="003B2027" w:rsidRPr="000E4666" w:rsidRDefault="00A61F84">
            <w:r>
              <w:t>transp.</w:t>
            </w:r>
          </w:p>
        </w:tc>
        <w:tc>
          <w:tcPr>
            <w:tcW w:w="709" w:type="dxa"/>
            <w:tcBorders>
              <w:top w:val="nil"/>
              <w:bottom w:val="nil"/>
            </w:tcBorders>
            <w:vAlign w:val="center"/>
          </w:tcPr>
          <w:p w14:paraId="59D6A5E9" w14:textId="23D2C83B" w:rsidR="003B2027" w:rsidRPr="007801A8" w:rsidRDefault="003B2027" w:rsidP="003B2027">
            <w:r w:rsidRPr="006F511F">
              <w:t>5386</w:t>
            </w:r>
          </w:p>
        </w:tc>
        <w:tc>
          <w:tcPr>
            <w:tcW w:w="1134" w:type="dxa"/>
            <w:tcBorders>
              <w:top w:val="nil"/>
              <w:bottom w:val="nil"/>
            </w:tcBorders>
            <w:vAlign w:val="bottom"/>
          </w:tcPr>
          <w:p w14:paraId="68584A96" w14:textId="77777777" w:rsidR="003B2027" w:rsidRDefault="003B2027" w:rsidP="003B2027">
            <w:r>
              <w:t>0.156</w:t>
            </w:r>
          </w:p>
          <w:p w14:paraId="1AA7C97E" w14:textId="1E323D74" w:rsidR="003B2027" w:rsidRDefault="003B2027" w:rsidP="003B2027">
            <w:pPr>
              <w:rPr>
                <w:rFonts w:ascii="Calibri" w:hAnsi="Calibri" w:cs="Calibri"/>
                <w:color w:val="000000"/>
              </w:rPr>
            </w:pPr>
            <w:r>
              <w:t>(0.064)</w:t>
            </w:r>
          </w:p>
        </w:tc>
        <w:tc>
          <w:tcPr>
            <w:tcW w:w="992" w:type="dxa"/>
            <w:tcBorders>
              <w:top w:val="nil"/>
              <w:bottom w:val="nil"/>
            </w:tcBorders>
          </w:tcPr>
          <w:p w14:paraId="086C4045" w14:textId="77777777" w:rsidR="003B2027" w:rsidRDefault="003B2027" w:rsidP="003B2027">
            <w:r>
              <w:t>0.159</w:t>
            </w:r>
          </w:p>
          <w:p w14:paraId="31E9A531" w14:textId="3BEA423A" w:rsidR="003B2027" w:rsidRDefault="003B2027" w:rsidP="003B2027">
            <w:r>
              <w:t>(0.070)</w:t>
            </w:r>
          </w:p>
        </w:tc>
        <w:tc>
          <w:tcPr>
            <w:tcW w:w="1134" w:type="dxa"/>
            <w:gridSpan w:val="2"/>
            <w:tcBorders>
              <w:top w:val="nil"/>
              <w:bottom w:val="nil"/>
            </w:tcBorders>
          </w:tcPr>
          <w:p w14:paraId="24FB7686" w14:textId="77777777" w:rsidR="003B2027" w:rsidRDefault="003B2027" w:rsidP="003B2027">
            <w:r>
              <w:t>0.003</w:t>
            </w:r>
          </w:p>
          <w:p w14:paraId="6B73080A" w14:textId="5DFEC925" w:rsidR="003B2027" w:rsidRDefault="003B2027" w:rsidP="003B2027">
            <w:r>
              <w:t>(0.006)</w:t>
            </w:r>
          </w:p>
        </w:tc>
        <w:tc>
          <w:tcPr>
            <w:tcW w:w="1276" w:type="dxa"/>
            <w:tcBorders>
              <w:top w:val="nil"/>
              <w:bottom w:val="nil"/>
            </w:tcBorders>
          </w:tcPr>
          <w:p w14:paraId="127781D0" w14:textId="77777777" w:rsidR="003B2027" w:rsidRDefault="003B2027" w:rsidP="003B2027">
            <w:r>
              <w:t>0.39</w:t>
            </w:r>
          </w:p>
          <w:p w14:paraId="37084D29" w14:textId="0DBBB539" w:rsidR="003B2027" w:rsidRDefault="003B2027" w:rsidP="003B2027">
            <w:r>
              <w:t>(-1.19)</w:t>
            </w:r>
          </w:p>
        </w:tc>
        <w:tc>
          <w:tcPr>
            <w:tcW w:w="1161" w:type="dxa"/>
            <w:vMerge/>
            <w:tcBorders>
              <w:top w:val="nil"/>
              <w:bottom w:val="nil"/>
            </w:tcBorders>
          </w:tcPr>
          <w:p w14:paraId="5484FC87" w14:textId="77777777" w:rsidR="003B2027" w:rsidRPr="003425BA" w:rsidRDefault="003B2027" w:rsidP="003B2027"/>
        </w:tc>
        <w:tc>
          <w:tcPr>
            <w:tcW w:w="1249" w:type="dxa"/>
            <w:vMerge/>
            <w:tcBorders>
              <w:top w:val="nil"/>
              <w:bottom w:val="nil"/>
            </w:tcBorders>
          </w:tcPr>
          <w:p w14:paraId="0CD8B0B2" w14:textId="77777777" w:rsidR="003B2027" w:rsidRPr="003425BA" w:rsidRDefault="003B2027" w:rsidP="003B2027"/>
        </w:tc>
      </w:tr>
      <w:tr w:rsidR="00A61F84" w:rsidRPr="00027788" w14:paraId="3A567C72" w14:textId="77777777" w:rsidTr="003D6E55">
        <w:tc>
          <w:tcPr>
            <w:tcW w:w="960" w:type="dxa"/>
            <w:tcBorders>
              <w:top w:val="nil"/>
              <w:bottom w:val="nil"/>
            </w:tcBorders>
          </w:tcPr>
          <w:p w14:paraId="45F9454B" w14:textId="77777777" w:rsidR="00A45138" w:rsidRPr="000E4666" w:rsidRDefault="00A45138" w:rsidP="00A45138">
            <w:pPr>
              <w:rPr>
                <w:i/>
              </w:rPr>
            </w:pPr>
          </w:p>
        </w:tc>
        <w:tc>
          <w:tcPr>
            <w:tcW w:w="883" w:type="dxa"/>
            <w:tcBorders>
              <w:top w:val="nil"/>
              <w:bottom w:val="nil"/>
            </w:tcBorders>
            <w:vAlign w:val="center"/>
          </w:tcPr>
          <w:p w14:paraId="06E42564" w14:textId="65A71CEC" w:rsidR="00A45138" w:rsidRPr="000E4666" w:rsidRDefault="003B13F2" w:rsidP="00A45138">
            <w:r w:rsidRPr="003B13F2">
              <w:rPr>
                <w:i/>
              </w:rPr>
              <w:t>CAR</w:t>
            </w:r>
            <w:r w:rsidR="00A45138" w:rsidRPr="000E4666">
              <w:t>&gt;0</w:t>
            </w:r>
          </w:p>
        </w:tc>
        <w:tc>
          <w:tcPr>
            <w:tcW w:w="709" w:type="dxa"/>
            <w:tcBorders>
              <w:top w:val="nil"/>
              <w:bottom w:val="nil"/>
            </w:tcBorders>
            <w:vAlign w:val="center"/>
          </w:tcPr>
          <w:p w14:paraId="797B2A51" w14:textId="68C5F064" w:rsidR="00A45138" w:rsidRPr="006F511F" w:rsidRDefault="006F511F" w:rsidP="00A45138">
            <w:r w:rsidRPr="007801A8">
              <w:t>4920</w:t>
            </w:r>
          </w:p>
        </w:tc>
        <w:tc>
          <w:tcPr>
            <w:tcW w:w="1134" w:type="dxa"/>
            <w:tcBorders>
              <w:top w:val="nil"/>
              <w:bottom w:val="nil"/>
            </w:tcBorders>
            <w:vAlign w:val="bottom"/>
          </w:tcPr>
          <w:p w14:paraId="34457CBD" w14:textId="77777777" w:rsidR="00A45138" w:rsidRDefault="00A45138" w:rsidP="00A45138">
            <w:pPr>
              <w:rPr>
                <w:rFonts w:ascii="Calibri" w:hAnsi="Calibri" w:cs="Calibri"/>
                <w:color w:val="000000"/>
              </w:rPr>
            </w:pPr>
            <w:r>
              <w:rPr>
                <w:rFonts w:ascii="Calibri" w:hAnsi="Calibri" w:cs="Calibri"/>
                <w:color w:val="000000"/>
              </w:rPr>
              <w:t>0.163</w:t>
            </w:r>
          </w:p>
          <w:p w14:paraId="05136016" w14:textId="7487F892" w:rsidR="00A45138" w:rsidRDefault="00A45138">
            <w:r>
              <w:rPr>
                <w:rFonts w:ascii="Calibri" w:hAnsi="Calibri" w:cs="Calibri"/>
                <w:color w:val="000000"/>
              </w:rPr>
              <w:t>(0.</w:t>
            </w:r>
            <w:r w:rsidR="003425BA">
              <w:rPr>
                <w:rFonts w:ascii="Calibri" w:hAnsi="Calibri" w:cs="Calibri"/>
                <w:color w:val="000000"/>
              </w:rPr>
              <w:t>072</w:t>
            </w:r>
            <w:r>
              <w:rPr>
                <w:rFonts w:ascii="Calibri" w:hAnsi="Calibri" w:cs="Calibri"/>
                <w:color w:val="000000"/>
              </w:rPr>
              <w:t>)</w:t>
            </w:r>
          </w:p>
        </w:tc>
        <w:tc>
          <w:tcPr>
            <w:tcW w:w="992" w:type="dxa"/>
            <w:tcBorders>
              <w:top w:val="nil"/>
              <w:bottom w:val="nil"/>
            </w:tcBorders>
          </w:tcPr>
          <w:p w14:paraId="70417D79" w14:textId="77777777" w:rsidR="00A45138" w:rsidRPr="000E4666" w:rsidRDefault="00A45138" w:rsidP="00A45138">
            <w:r>
              <w:t>0.168</w:t>
            </w:r>
          </w:p>
          <w:p w14:paraId="5359ECCE" w14:textId="6EF04816" w:rsidR="00A45138" w:rsidRDefault="00A45138">
            <w:r w:rsidRPr="000E4666">
              <w:t>(</w:t>
            </w:r>
            <w:r>
              <w:t>0.</w:t>
            </w:r>
            <w:r w:rsidR="003425BA">
              <w:t>077</w:t>
            </w:r>
            <w:r w:rsidRPr="000E4666">
              <w:t>)</w:t>
            </w:r>
          </w:p>
        </w:tc>
        <w:tc>
          <w:tcPr>
            <w:tcW w:w="1134" w:type="dxa"/>
            <w:gridSpan w:val="2"/>
            <w:tcBorders>
              <w:top w:val="nil"/>
              <w:bottom w:val="nil"/>
            </w:tcBorders>
          </w:tcPr>
          <w:p w14:paraId="50A47DC9" w14:textId="77777777" w:rsidR="00A45138" w:rsidRPr="000E4666" w:rsidRDefault="00A45138" w:rsidP="00A45138">
            <w:r>
              <w:t>0.005</w:t>
            </w:r>
          </w:p>
          <w:p w14:paraId="3BDE793F" w14:textId="2DE2D733" w:rsidR="00A45138" w:rsidRDefault="00A45138">
            <w:r w:rsidRPr="000E4666">
              <w:t>(</w:t>
            </w:r>
            <w:r w:rsidR="003425BA">
              <w:t>0.004</w:t>
            </w:r>
            <w:r w:rsidRPr="000E4666">
              <w:t>)</w:t>
            </w:r>
          </w:p>
        </w:tc>
        <w:tc>
          <w:tcPr>
            <w:tcW w:w="1276" w:type="dxa"/>
            <w:tcBorders>
              <w:top w:val="nil"/>
              <w:bottom w:val="nil"/>
            </w:tcBorders>
          </w:tcPr>
          <w:p w14:paraId="61508C57" w14:textId="77777777" w:rsidR="00A45138" w:rsidRPr="000E4666" w:rsidRDefault="00A45138" w:rsidP="00A45138">
            <w:r>
              <w:t>0.67</w:t>
            </w:r>
          </w:p>
          <w:p w14:paraId="60DE3AA1" w14:textId="6C89D709" w:rsidR="00A45138" w:rsidRDefault="00A45138">
            <w:r w:rsidRPr="000E4666">
              <w:t>(</w:t>
            </w:r>
            <w:r w:rsidR="003425BA">
              <w:t>-1.10</w:t>
            </w:r>
            <w:r w:rsidRPr="000E4666">
              <w:t>)</w:t>
            </w:r>
          </w:p>
        </w:tc>
        <w:tc>
          <w:tcPr>
            <w:tcW w:w="1161" w:type="dxa"/>
            <w:vMerge w:val="restart"/>
            <w:tcBorders>
              <w:top w:val="nil"/>
              <w:bottom w:val="nil"/>
            </w:tcBorders>
          </w:tcPr>
          <w:p w14:paraId="2B0AC139" w14:textId="77777777" w:rsidR="003425BA" w:rsidRPr="007801A8" w:rsidRDefault="003425BA" w:rsidP="00A45138">
            <w:r w:rsidRPr="007801A8">
              <w:t>0.11</w:t>
            </w:r>
          </w:p>
          <w:p w14:paraId="487C1D09" w14:textId="1749156D" w:rsidR="00A45138" w:rsidRPr="003425BA" w:rsidRDefault="00A45138">
            <w:r w:rsidRPr="007801A8">
              <w:t>(</w:t>
            </w:r>
            <w:r w:rsidR="003425BA" w:rsidRPr="007801A8">
              <w:t>-2.05</w:t>
            </w:r>
            <w:r w:rsidRPr="007801A8">
              <w:t>)</w:t>
            </w:r>
            <w:r w:rsidR="003425BA" w:rsidRPr="003425BA">
              <w:t>**</w:t>
            </w:r>
          </w:p>
        </w:tc>
        <w:tc>
          <w:tcPr>
            <w:tcW w:w="1249" w:type="dxa"/>
            <w:vMerge w:val="restart"/>
            <w:tcBorders>
              <w:top w:val="nil"/>
              <w:bottom w:val="nil"/>
            </w:tcBorders>
          </w:tcPr>
          <w:p w14:paraId="427A5184" w14:textId="07A02109" w:rsidR="00A45138" w:rsidRPr="007801A8" w:rsidRDefault="003425BA" w:rsidP="00A45138">
            <w:r w:rsidRPr="007801A8">
              <w:t>-0.48</w:t>
            </w:r>
          </w:p>
          <w:p w14:paraId="5C72C759" w14:textId="70EEE961" w:rsidR="00A45138" w:rsidRPr="003425BA" w:rsidRDefault="00A45138">
            <w:r w:rsidRPr="007801A8">
              <w:t>(</w:t>
            </w:r>
            <w:r w:rsidR="003425BA" w:rsidRPr="007801A8">
              <w:t>-1.20</w:t>
            </w:r>
            <w:r w:rsidRPr="007801A8">
              <w:t>)</w:t>
            </w:r>
          </w:p>
        </w:tc>
      </w:tr>
      <w:tr w:rsidR="00A61F84" w:rsidRPr="00027788" w14:paraId="4FEAA8EE" w14:textId="77777777" w:rsidTr="003D6E55">
        <w:tc>
          <w:tcPr>
            <w:tcW w:w="960" w:type="dxa"/>
            <w:tcBorders>
              <w:top w:val="nil"/>
            </w:tcBorders>
          </w:tcPr>
          <w:p w14:paraId="6CD6A34E" w14:textId="77777777" w:rsidR="00905F8C" w:rsidRPr="000E4666" w:rsidRDefault="00905F8C" w:rsidP="00905F8C">
            <w:pPr>
              <w:rPr>
                <w:i/>
              </w:rPr>
            </w:pPr>
          </w:p>
        </w:tc>
        <w:tc>
          <w:tcPr>
            <w:tcW w:w="883" w:type="dxa"/>
            <w:tcBorders>
              <w:top w:val="nil"/>
            </w:tcBorders>
            <w:vAlign w:val="center"/>
          </w:tcPr>
          <w:p w14:paraId="0143D45C" w14:textId="570D7FBF" w:rsidR="00905F8C" w:rsidRPr="000E4666" w:rsidRDefault="003B13F2" w:rsidP="00905F8C">
            <w:r w:rsidRPr="003B13F2">
              <w:rPr>
                <w:i/>
              </w:rPr>
              <w:t>CAR</w:t>
            </w:r>
            <w:r w:rsidR="00905F8C" w:rsidRPr="000E4666">
              <w:t>&lt;0</w:t>
            </w:r>
          </w:p>
        </w:tc>
        <w:tc>
          <w:tcPr>
            <w:tcW w:w="709" w:type="dxa"/>
            <w:tcBorders>
              <w:top w:val="nil"/>
            </w:tcBorders>
            <w:vAlign w:val="center"/>
          </w:tcPr>
          <w:p w14:paraId="22368BFD" w14:textId="50E9ABFD" w:rsidR="00905F8C" w:rsidRPr="006F511F" w:rsidRDefault="006F511F" w:rsidP="00905F8C">
            <w:r w:rsidRPr="007801A8">
              <w:t>4000</w:t>
            </w:r>
          </w:p>
        </w:tc>
        <w:tc>
          <w:tcPr>
            <w:tcW w:w="1134" w:type="dxa"/>
            <w:tcBorders>
              <w:top w:val="nil"/>
            </w:tcBorders>
            <w:vAlign w:val="bottom"/>
          </w:tcPr>
          <w:p w14:paraId="74252BAE" w14:textId="77777777" w:rsidR="00905F8C" w:rsidRDefault="00905F8C" w:rsidP="00905F8C">
            <w:pPr>
              <w:rPr>
                <w:rFonts w:ascii="Calibri" w:hAnsi="Calibri" w:cs="Calibri"/>
                <w:color w:val="000000"/>
              </w:rPr>
            </w:pPr>
            <w:r>
              <w:rPr>
                <w:rFonts w:ascii="Calibri" w:hAnsi="Calibri" w:cs="Calibri"/>
                <w:color w:val="000000"/>
              </w:rPr>
              <w:t>0.164</w:t>
            </w:r>
          </w:p>
          <w:p w14:paraId="21A53617" w14:textId="04650080" w:rsidR="00905F8C" w:rsidRDefault="003425BA">
            <w:r>
              <w:rPr>
                <w:rFonts w:ascii="Calibri" w:hAnsi="Calibri" w:cs="Calibri"/>
                <w:color w:val="000000"/>
              </w:rPr>
              <w:t>(0.079)</w:t>
            </w:r>
          </w:p>
        </w:tc>
        <w:tc>
          <w:tcPr>
            <w:tcW w:w="992" w:type="dxa"/>
            <w:tcBorders>
              <w:top w:val="nil"/>
            </w:tcBorders>
          </w:tcPr>
          <w:p w14:paraId="7C9E17C9" w14:textId="77777777" w:rsidR="00905F8C" w:rsidRPr="000E4666" w:rsidRDefault="00905F8C" w:rsidP="00905F8C">
            <w:r>
              <w:t>0.172</w:t>
            </w:r>
          </w:p>
          <w:p w14:paraId="5A18D2C7" w14:textId="5D325A3D" w:rsidR="00905F8C" w:rsidRDefault="00905F8C">
            <w:r w:rsidRPr="000E4666">
              <w:t>(</w:t>
            </w:r>
            <w:r>
              <w:t>0.</w:t>
            </w:r>
            <w:r w:rsidR="003425BA">
              <w:t>081</w:t>
            </w:r>
            <w:r w:rsidRPr="000E4666">
              <w:t>)</w:t>
            </w:r>
          </w:p>
        </w:tc>
        <w:tc>
          <w:tcPr>
            <w:tcW w:w="1134" w:type="dxa"/>
            <w:gridSpan w:val="2"/>
            <w:tcBorders>
              <w:top w:val="nil"/>
            </w:tcBorders>
          </w:tcPr>
          <w:p w14:paraId="174C9BB4" w14:textId="77777777" w:rsidR="00905F8C" w:rsidRPr="000E4666" w:rsidRDefault="00905F8C" w:rsidP="00905F8C">
            <w:r>
              <w:t>0.008</w:t>
            </w:r>
          </w:p>
          <w:p w14:paraId="055B0A41" w14:textId="58747CC6" w:rsidR="00905F8C" w:rsidRDefault="00905F8C">
            <w:r w:rsidRPr="000E4666">
              <w:t>(</w:t>
            </w:r>
            <w:r w:rsidR="003425BA">
              <w:t>0.002</w:t>
            </w:r>
            <w:r w:rsidRPr="000E4666">
              <w:t>)</w:t>
            </w:r>
          </w:p>
        </w:tc>
        <w:tc>
          <w:tcPr>
            <w:tcW w:w="1276" w:type="dxa"/>
            <w:tcBorders>
              <w:top w:val="nil"/>
            </w:tcBorders>
          </w:tcPr>
          <w:p w14:paraId="5B01E1D4" w14:textId="77777777" w:rsidR="00905F8C" w:rsidRPr="000E4666" w:rsidRDefault="00905F8C" w:rsidP="00905F8C">
            <w:r>
              <w:t>0.92</w:t>
            </w:r>
          </w:p>
          <w:p w14:paraId="10A51544" w14:textId="1D9B08EC" w:rsidR="00905F8C" w:rsidRDefault="00905F8C">
            <w:r w:rsidRPr="000E4666">
              <w:t>(</w:t>
            </w:r>
            <w:r w:rsidR="003425BA">
              <w:t>-0.24</w:t>
            </w:r>
            <w:r w:rsidRPr="000E4666">
              <w:t>)</w:t>
            </w:r>
          </w:p>
        </w:tc>
        <w:tc>
          <w:tcPr>
            <w:tcW w:w="1161" w:type="dxa"/>
            <w:vMerge/>
            <w:tcBorders>
              <w:top w:val="nil"/>
            </w:tcBorders>
          </w:tcPr>
          <w:p w14:paraId="282D8747" w14:textId="77777777" w:rsidR="00905F8C" w:rsidRPr="000E4666" w:rsidRDefault="00905F8C" w:rsidP="00905F8C"/>
        </w:tc>
        <w:tc>
          <w:tcPr>
            <w:tcW w:w="1249" w:type="dxa"/>
            <w:vMerge/>
            <w:tcBorders>
              <w:top w:val="nil"/>
            </w:tcBorders>
          </w:tcPr>
          <w:p w14:paraId="75AB83C2" w14:textId="77777777" w:rsidR="00905F8C" w:rsidRPr="000E4666" w:rsidRDefault="00905F8C" w:rsidP="00905F8C"/>
        </w:tc>
      </w:tr>
    </w:tbl>
    <w:p w14:paraId="2D3AD26A" w14:textId="77777777" w:rsidR="006716DF" w:rsidRDefault="006716DF" w:rsidP="004D2D79">
      <w:pPr>
        <w:jc w:val="both"/>
      </w:pPr>
    </w:p>
    <w:p w14:paraId="1EB4168F" w14:textId="3C952AF5" w:rsidR="00EC7A98" w:rsidRDefault="006B1AE3" w:rsidP="004D2D79">
      <w:pPr>
        <w:jc w:val="both"/>
      </w:pPr>
      <w:r>
        <w:t>T</w:t>
      </w:r>
      <w:r w:rsidR="004D2D79">
        <w:t>his table reports</w:t>
      </w:r>
      <w:r>
        <w:t xml:space="preserve">, in the full, </w:t>
      </w:r>
      <w:r w:rsidRPr="006A77ED">
        <w:rPr>
          <w:i/>
        </w:rPr>
        <w:t>CAR</w:t>
      </w:r>
      <w:r>
        <w:t xml:space="preserve"> and </w:t>
      </w:r>
      <w:r w:rsidR="002A64B7">
        <w:t>transparency</w:t>
      </w:r>
      <w:r>
        <w:t xml:space="preserve"> samples,</w:t>
      </w:r>
      <w:r w:rsidR="004D2D79">
        <w:t xml:space="preserve"> the number of observations, and the mean and </w:t>
      </w:r>
      <w:r w:rsidR="004D2D79" w:rsidRPr="00C94DB8">
        <w:t>median values of trading variables</w:t>
      </w:r>
      <w:r w:rsidR="00875934">
        <w:t xml:space="preserve"> </w:t>
      </w:r>
      <w:r w:rsidR="00875934" w:rsidRPr="003D6E55">
        <w:rPr>
          <w:i/>
        </w:rPr>
        <w:t>BAS</w:t>
      </w:r>
      <w:r w:rsidR="00875934">
        <w:t xml:space="preserve"> and </w:t>
      </w:r>
      <w:r w:rsidR="00875934" w:rsidRPr="003D6E55">
        <w:rPr>
          <w:i/>
        </w:rPr>
        <w:t>Volume</w:t>
      </w:r>
      <w:r w:rsidR="004D2D79" w:rsidRPr="003D6E55">
        <w:rPr>
          <w:i/>
        </w:rPr>
        <w:t xml:space="preserve"> </w:t>
      </w:r>
      <w:r w:rsidR="004D2D79" w:rsidRPr="00C94DB8">
        <w:t>for the 20 days before and the 20 days after the project announcement</w:t>
      </w:r>
      <w:r w:rsidR="006F511F">
        <w:t xml:space="preserve"> (excluding the announcement day)</w:t>
      </w:r>
      <w:r w:rsidR="004D2D79" w:rsidRPr="00C94DB8">
        <w:t xml:space="preserve">. Paired observations reports the significance of </w:t>
      </w:r>
      <w:r w:rsidR="00C37C8D">
        <w:t xml:space="preserve">mean (median) </w:t>
      </w:r>
      <w:r w:rsidR="004D2D79" w:rsidRPr="00C94DB8">
        <w:t xml:space="preserve">changes in </w:t>
      </w:r>
      <w:r w:rsidR="00C37C8D">
        <w:t xml:space="preserve">trading </w:t>
      </w:r>
      <w:r w:rsidR="004D2D79" w:rsidRPr="00C94DB8">
        <w:t>values</w:t>
      </w:r>
      <w:r w:rsidR="00C37C8D">
        <w:t xml:space="preserve"> around the project announcements</w:t>
      </w:r>
      <w:r w:rsidR="004D2D79" w:rsidRPr="00C94DB8">
        <w:t xml:space="preserve"> (after </w:t>
      </w:r>
      <w:r w:rsidRPr="007C361B">
        <w:t>–</w:t>
      </w:r>
      <w:r>
        <w:t xml:space="preserve"> </w:t>
      </w:r>
      <w:r w:rsidR="004D2D79" w:rsidRPr="00C94DB8">
        <w:t xml:space="preserve">before) for the full, positive </w:t>
      </w:r>
      <w:r w:rsidR="004D2D79" w:rsidRPr="006A77ED">
        <w:rPr>
          <w:i/>
        </w:rPr>
        <w:t>CAR</w:t>
      </w:r>
      <w:r w:rsidR="00681BD8" w:rsidRPr="007801A8">
        <w:t xml:space="preserve">, </w:t>
      </w:r>
      <w:r w:rsidR="004D2D79" w:rsidRPr="00C94DB8">
        <w:t xml:space="preserve">negative </w:t>
      </w:r>
      <w:r w:rsidR="004D2D79" w:rsidRPr="006A77ED">
        <w:rPr>
          <w:i/>
        </w:rPr>
        <w:t>CAR</w:t>
      </w:r>
      <w:r w:rsidR="00681BD8" w:rsidRPr="007801A8">
        <w:t xml:space="preserve">, high </w:t>
      </w:r>
      <w:r w:rsidR="002A64B7">
        <w:t>transparency</w:t>
      </w:r>
      <w:r w:rsidR="00681BD8" w:rsidRPr="007801A8">
        <w:t xml:space="preserve"> and low </w:t>
      </w:r>
      <w:r w:rsidR="002A64B7">
        <w:t>transparency</w:t>
      </w:r>
      <w:r w:rsidR="004D2D79" w:rsidRPr="00C94DB8">
        <w:t xml:space="preserve"> </w:t>
      </w:r>
      <w:r w:rsidR="00681BD8" w:rsidRPr="007801A8">
        <w:t>groups</w:t>
      </w:r>
      <w:r w:rsidR="004D2D79" w:rsidRPr="00C94DB8">
        <w:t xml:space="preserve">. </w:t>
      </w:r>
      <w:r w:rsidR="00681BD8" w:rsidRPr="007801A8">
        <w:t>B</w:t>
      </w:r>
      <w:r w:rsidR="004D2D79" w:rsidRPr="00C94DB8">
        <w:t>etween groups</w:t>
      </w:r>
      <w:r w:rsidR="00681BD8" w:rsidRPr="007801A8">
        <w:t xml:space="preserve"> </w:t>
      </w:r>
      <w:r w:rsidR="004D2D79" w:rsidRPr="00C94DB8">
        <w:t>reports the significance of differences in values</w:t>
      </w:r>
      <w:r w:rsidR="00681BD8" w:rsidRPr="007801A8">
        <w:t xml:space="preserve"> between the two </w:t>
      </w:r>
      <w:r w:rsidR="00681BD8" w:rsidRPr="006A77ED">
        <w:rPr>
          <w:i/>
        </w:rPr>
        <w:t>CAR</w:t>
      </w:r>
      <w:r w:rsidR="00681BD8" w:rsidRPr="007801A8">
        <w:t xml:space="preserve"> subsamples</w:t>
      </w:r>
      <w:r w:rsidR="004D2D79" w:rsidRPr="00C94DB8">
        <w:t xml:space="preserve"> (positive </w:t>
      </w:r>
      <w:r w:rsidR="004D2D79" w:rsidRPr="006A77ED">
        <w:rPr>
          <w:i/>
        </w:rPr>
        <w:t>CAR</w:t>
      </w:r>
      <w:r w:rsidR="004D2D79" w:rsidRPr="00C94DB8">
        <w:t xml:space="preserve"> </w:t>
      </w:r>
      <w:r w:rsidR="004D2D79" w:rsidRPr="00C94DB8">
        <w:rPr>
          <w:rFonts w:cstheme="minorHAnsi"/>
        </w:rPr>
        <w:t>-</w:t>
      </w:r>
      <w:r w:rsidR="004D2D79" w:rsidRPr="00C94DB8">
        <w:t xml:space="preserve"> negative </w:t>
      </w:r>
      <w:r w:rsidR="004D2D79" w:rsidRPr="006A77ED">
        <w:rPr>
          <w:i/>
        </w:rPr>
        <w:t>CAR</w:t>
      </w:r>
      <w:r w:rsidR="004D2D79" w:rsidRPr="00C94DB8">
        <w:t xml:space="preserve">) </w:t>
      </w:r>
      <w:r w:rsidR="00C94DB8" w:rsidRPr="007801A8">
        <w:t xml:space="preserve">or the two </w:t>
      </w:r>
      <w:r w:rsidR="002A64B7">
        <w:t>transparency</w:t>
      </w:r>
      <w:r w:rsidR="00C94DB8" w:rsidRPr="007801A8">
        <w:t xml:space="preserve"> groups (high </w:t>
      </w:r>
      <w:r w:rsidR="002A64B7">
        <w:t>transparency</w:t>
      </w:r>
      <w:r w:rsidR="00C94DB8" w:rsidRPr="007801A8">
        <w:t xml:space="preserve"> – low </w:t>
      </w:r>
      <w:r w:rsidR="002A64B7">
        <w:t>transparency</w:t>
      </w:r>
      <w:r w:rsidR="00C94DB8" w:rsidRPr="007801A8">
        <w:t xml:space="preserve">) </w:t>
      </w:r>
      <w:r w:rsidR="004D2D79" w:rsidRPr="00C94DB8">
        <w:t>for (i) the 20 days before and (ii) the 20 days after the project announcement. Significance is tested using</w:t>
      </w:r>
      <w:r w:rsidR="001F7756" w:rsidRPr="007801A8">
        <w:t xml:space="preserve"> two</w:t>
      </w:r>
      <w:r w:rsidR="00C37C8D">
        <w:t>-</w:t>
      </w:r>
      <w:r w:rsidR="001F7756" w:rsidRPr="007801A8">
        <w:t xml:space="preserve">sided </w:t>
      </w:r>
      <w:r w:rsidR="004D2D79" w:rsidRPr="00C94DB8">
        <w:t>t-tests (mean) and</w:t>
      </w:r>
      <w:r w:rsidR="001F7756" w:rsidRPr="007801A8">
        <w:t xml:space="preserve"> </w:t>
      </w:r>
      <w:r w:rsidR="004D2D79" w:rsidRPr="00C94DB8">
        <w:t>Wilcoxon two-sample Z tests.</w:t>
      </w:r>
      <w:r w:rsidR="004D2D79">
        <w:t xml:space="preserve"> See Appendix 2 for variable definitions.  *, ** and *** denote statistical significance at the 10%, 5% and 1% levels, respectively.</w:t>
      </w:r>
    </w:p>
    <w:p w14:paraId="4EFF6308" w14:textId="77777777" w:rsidR="00EC7A98" w:rsidRDefault="00EC7A98">
      <w:r>
        <w:br w:type="page"/>
      </w:r>
    </w:p>
    <w:p w14:paraId="47F407A0" w14:textId="77777777" w:rsidR="004D2D79" w:rsidRDefault="004D2D79" w:rsidP="004D2D79">
      <w:pPr>
        <w:jc w:val="both"/>
      </w:pPr>
    </w:p>
    <w:p w14:paraId="2FC42F3D" w14:textId="65EDB87C" w:rsidR="000E6AFD" w:rsidRPr="00C35785" w:rsidRDefault="000E6AFD" w:rsidP="000E6AFD">
      <w:pPr>
        <w:rPr>
          <w:highlight w:val="yellow"/>
        </w:rPr>
      </w:pPr>
      <w:r w:rsidRPr="004A6B0C">
        <w:rPr>
          <w:b/>
        </w:rPr>
        <w:t xml:space="preserve">Table </w:t>
      </w:r>
      <w:r w:rsidR="0084597F">
        <w:rPr>
          <w:b/>
        </w:rPr>
        <w:t>9</w:t>
      </w:r>
      <w:r w:rsidRPr="004A6B0C">
        <w:rPr>
          <w:b/>
        </w:rPr>
        <w:t xml:space="preserve">  </w:t>
      </w:r>
      <w:r w:rsidR="00664BD9">
        <w:rPr>
          <w:b/>
        </w:rPr>
        <w:t xml:space="preserve">Probit model for the </w:t>
      </w:r>
      <w:r w:rsidR="00B763DD">
        <w:rPr>
          <w:b/>
        </w:rPr>
        <w:t xml:space="preserve">determinants of </w:t>
      </w:r>
      <w:r w:rsidR="006716DF">
        <w:rPr>
          <w:b/>
        </w:rPr>
        <w:t>announcement transparency</w:t>
      </w:r>
      <w:r w:rsidR="00664BD9">
        <w:rPr>
          <w:b/>
        </w:rPr>
        <w:t xml:space="preserve"> level</w:t>
      </w:r>
      <w:r w:rsidR="00B134B8" w:rsidRPr="00212E7B">
        <w:rPr>
          <w:b/>
        </w:rPr>
        <w:t xml:space="preserve"> </w:t>
      </w:r>
    </w:p>
    <w:p w14:paraId="1454F1AF" w14:textId="77777777" w:rsidR="000E6AFD" w:rsidRPr="00C35785" w:rsidRDefault="000E6AFD" w:rsidP="000E6AFD">
      <w:pPr>
        <w:rPr>
          <w:highlight w:val="yellow"/>
        </w:rPr>
      </w:pPr>
    </w:p>
    <w:tbl>
      <w:tblPr>
        <w:tblStyle w:val="TableGrid"/>
        <w:tblW w:w="9214" w:type="dxa"/>
        <w:tblLayout w:type="fixed"/>
        <w:tblLook w:val="04A0" w:firstRow="1" w:lastRow="0" w:firstColumn="1" w:lastColumn="0" w:noHBand="0" w:noVBand="1"/>
      </w:tblPr>
      <w:tblGrid>
        <w:gridCol w:w="1943"/>
        <w:gridCol w:w="2423"/>
        <w:gridCol w:w="2424"/>
        <w:gridCol w:w="2424"/>
      </w:tblGrid>
      <w:tr w:rsidR="00664BD9" w:rsidRPr="00C35785" w14:paraId="24DF939D" w14:textId="77777777" w:rsidTr="007801A8">
        <w:tc>
          <w:tcPr>
            <w:tcW w:w="1943" w:type="dxa"/>
            <w:tcBorders>
              <w:left w:val="nil"/>
              <w:bottom w:val="single" w:sz="4" w:space="0" w:color="auto"/>
              <w:right w:val="nil"/>
            </w:tcBorders>
          </w:tcPr>
          <w:p w14:paraId="19C874BC" w14:textId="77777777" w:rsidR="00664BD9" w:rsidRPr="007801A8" w:rsidRDefault="00664BD9" w:rsidP="00D27F34"/>
        </w:tc>
        <w:tc>
          <w:tcPr>
            <w:tcW w:w="2423" w:type="dxa"/>
            <w:tcBorders>
              <w:left w:val="nil"/>
              <w:bottom w:val="single" w:sz="4" w:space="0" w:color="auto"/>
              <w:right w:val="nil"/>
            </w:tcBorders>
          </w:tcPr>
          <w:p w14:paraId="349AC3BE" w14:textId="77777777" w:rsidR="008B7544" w:rsidRPr="007801A8" w:rsidRDefault="00664BD9" w:rsidP="00D27F34">
            <w:r w:rsidRPr="00E744A9">
              <w:t xml:space="preserve">(1) </w:t>
            </w:r>
          </w:p>
          <w:p w14:paraId="51839BD8" w14:textId="61C1700F" w:rsidR="00664BD9" w:rsidRPr="00E744A9" w:rsidRDefault="00664BD9">
            <w:r w:rsidRPr="007801A8">
              <w:t>Full sample</w:t>
            </w:r>
          </w:p>
        </w:tc>
        <w:tc>
          <w:tcPr>
            <w:tcW w:w="2424" w:type="dxa"/>
            <w:tcBorders>
              <w:left w:val="nil"/>
              <w:bottom w:val="single" w:sz="4" w:space="0" w:color="auto"/>
              <w:right w:val="nil"/>
            </w:tcBorders>
          </w:tcPr>
          <w:p w14:paraId="7AB664C4" w14:textId="139BA2A5" w:rsidR="00664BD9" w:rsidRPr="007801A8" w:rsidRDefault="00664BD9">
            <w:r w:rsidRPr="00E744A9">
              <w:t xml:space="preserve">(2) </w:t>
            </w:r>
          </w:p>
          <w:p w14:paraId="7F9F731C" w14:textId="6BCB67C7" w:rsidR="00664BD9" w:rsidRPr="00E744A9" w:rsidRDefault="003B13F2">
            <w:r w:rsidRPr="003B13F2">
              <w:rPr>
                <w:i/>
              </w:rPr>
              <w:t>CAR</w:t>
            </w:r>
            <w:r w:rsidR="00664BD9" w:rsidRPr="00E744A9">
              <w:t>&gt;0</w:t>
            </w:r>
          </w:p>
        </w:tc>
        <w:tc>
          <w:tcPr>
            <w:tcW w:w="2424" w:type="dxa"/>
            <w:tcBorders>
              <w:left w:val="nil"/>
              <w:bottom w:val="single" w:sz="4" w:space="0" w:color="auto"/>
              <w:right w:val="nil"/>
            </w:tcBorders>
          </w:tcPr>
          <w:p w14:paraId="230FF0AF" w14:textId="54BB4CBC" w:rsidR="00664BD9" w:rsidRPr="0052001E" w:rsidRDefault="00664BD9" w:rsidP="00D27F34">
            <w:r w:rsidRPr="0052001E">
              <w:t xml:space="preserve">(3) </w:t>
            </w:r>
          </w:p>
          <w:p w14:paraId="359138A0" w14:textId="75592B5C" w:rsidR="00664BD9" w:rsidRPr="0052001E" w:rsidRDefault="003B13F2">
            <w:r w:rsidRPr="003B13F2">
              <w:rPr>
                <w:i/>
              </w:rPr>
              <w:t>CAR</w:t>
            </w:r>
            <w:r w:rsidR="00664BD9" w:rsidRPr="0052001E">
              <w:t>&lt;0</w:t>
            </w:r>
          </w:p>
        </w:tc>
      </w:tr>
      <w:tr w:rsidR="00E744A9" w:rsidRPr="00C35785" w14:paraId="1035BDD6" w14:textId="77777777" w:rsidTr="007801A8">
        <w:trPr>
          <w:trHeight w:val="288"/>
        </w:trPr>
        <w:tc>
          <w:tcPr>
            <w:tcW w:w="1943" w:type="dxa"/>
            <w:tcBorders>
              <w:left w:val="nil"/>
              <w:bottom w:val="nil"/>
              <w:right w:val="nil"/>
            </w:tcBorders>
            <w:noWrap/>
          </w:tcPr>
          <w:p w14:paraId="302EA75B" w14:textId="7C410628" w:rsidR="00E744A9" w:rsidRPr="006A77ED" w:rsidRDefault="00E744A9">
            <w:pPr>
              <w:rPr>
                <w:rFonts w:ascii="Calibri" w:eastAsia="Times New Roman" w:hAnsi="Calibri" w:cs="Times New Roman"/>
                <w:i/>
                <w:color w:val="000000"/>
                <w:vertAlign w:val="subscript"/>
                <w:lang w:eastAsia="en-NZ"/>
              </w:rPr>
            </w:pPr>
            <w:r w:rsidRPr="007801A8">
              <w:rPr>
                <w:rFonts w:ascii="Calibri" w:eastAsia="Times New Roman" w:hAnsi="Calibri" w:cs="Times New Roman"/>
                <w:i/>
                <w:color w:val="000000"/>
                <w:lang w:eastAsia="en-NZ"/>
              </w:rPr>
              <w:t>BAS</w:t>
            </w:r>
          </w:p>
        </w:tc>
        <w:tc>
          <w:tcPr>
            <w:tcW w:w="2423" w:type="dxa"/>
            <w:tcBorders>
              <w:left w:val="nil"/>
              <w:bottom w:val="nil"/>
              <w:right w:val="nil"/>
            </w:tcBorders>
            <w:noWrap/>
            <w:vAlign w:val="bottom"/>
          </w:tcPr>
          <w:p w14:paraId="65D61D08" w14:textId="18FC7717" w:rsidR="00E744A9" w:rsidRPr="00E744A9" w:rsidRDefault="00E744A9" w:rsidP="00E744A9">
            <w:pPr>
              <w:rPr>
                <w:rFonts w:ascii="Calibri" w:hAnsi="Calibri"/>
                <w:color w:val="000000"/>
              </w:rPr>
            </w:pPr>
            <w:r w:rsidRPr="007801A8">
              <w:rPr>
                <w:rFonts w:ascii="Calibri" w:hAnsi="Calibri"/>
                <w:color w:val="000000"/>
              </w:rPr>
              <w:t>-1.337***</w:t>
            </w:r>
          </w:p>
          <w:p w14:paraId="40E05734" w14:textId="28716541" w:rsidR="00E744A9" w:rsidRPr="00E744A9" w:rsidRDefault="00E744A9">
            <w:pPr>
              <w:rPr>
                <w:rFonts w:ascii="Calibri" w:hAnsi="Calibri"/>
                <w:color w:val="000000"/>
              </w:rPr>
            </w:pPr>
            <w:r w:rsidRPr="00E744A9">
              <w:rPr>
                <w:rFonts w:ascii="Calibri" w:hAnsi="Calibri"/>
                <w:color w:val="000000"/>
              </w:rPr>
              <w:t>(</w:t>
            </w:r>
            <w:r w:rsidRPr="007801A8">
              <w:rPr>
                <w:rFonts w:ascii="Calibri" w:hAnsi="Calibri"/>
                <w:color w:val="000000"/>
              </w:rPr>
              <w:t>0.40</w:t>
            </w:r>
            <w:r w:rsidRPr="00E744A9">
              <w:rPr>
                <w:rFonts w:ascii="Calibri" w:hAnsi="Calibri"/>
                <w:color w:val="000000"/>
              </w:rPr>
              <w:t>)</w:t>
            </w:r>
          </w:p>
        </w:tc>
        <w:tc>
          <w:tcPr>
            <w:tcW w:w="2424" w:type="dxa"/>
            <w:tcBorders>
              <w:left w:val="nil"/>
              <w:bottom w:val="nil"/>
              <w:right w:val="nil"/>
            </w:tcBorders>
            <w:noWrap/>
            <w:vAlign w:val="bottom"/>
          </w:tcPr>
          <w:p w14:paraId="797E2AF9" w14:textId="2146356C" w:rsidR="00E744A9" w:rsidRPr="00E744A9" w:rsidRDefault="00E744A9" w:rsidP="00E744A9">
            <w:pPr>
              <w:rPr>
                <w:rFonts w:ascii="Calibri" w:hAnsi="Calibri"/>
                <w:color w:val="000000"/>
              </w:rPr>
            </w:pPr>
            <w:r w:rsidRPr="007801A8">
              <w:rPr>
                <w:rFonts w:ascii="Calibri" w:hAnsi="Calibri"/>
                <w:color w:val="000000"/>
              </w:rPr>
              <w:t>-0.383</w:t>
            </w:r>
          </w:p>
          <w:p w14:paraId="78437E6D" w14:textId="1D7C3CAA" w:rsidR="00E744A9" w:rsidRPr="00E744A9" w:rsidRDefault="00E744A9">
            <w:pPr>
              <w:rPr>
                <w:rFonts w:ascii="Calibri" w:hAnsi="Calibri"/>
                <w:color w:val="000000"/>
              </w:rPr>
            </w:pPr>
            <w:r w:rsidRPr="00E744A9">
              <w:rPr>
                <w:rFonts w:ascii="Calibri" w:hAnsi="Calibri"/>
                <w:color w:val="000000"/>
              </w:rPr>
              <w:t>(</w:t>
            </w:r>
            <w:r w:rsidRPr="007801A8">
              <w:rPr>
                <w:rFonts w:ascii="Calibri" w:hAnsi="Calibri"/>
                <w:color w:val="000000"/>
              </w:rPr>
              <w:t>0.46</w:t>
            </w:r>
            <w:r w:rsidRPr="00E744A9">
              <w:rPr>
                <w:rFonts w:ascii="Calibri" w:hAnsi="Calibri"/>
                <w:color w:val="000000"/>
              </w:rPr>
              <w:t>)</w:t>
            </w:r>
          </w:p>
        </w:tc>
        <w:tc>
          <w:tcPr>
            <w:tcW w:w="2424" w:type="dxa"/>
            <w:tcBorders>
              <w:left w:val="nil"/>
              <w:bottom w:val="nil"/>
              <w:right w:val="nil"/>
            </w:tcBorders>
            <w:noWrap/>
            <w:vAlign w:val="bottom"/>
          </w:tcPr>
          <w:p w14:paraId="1B4C60D4" w14:textId="5D5879E5" w:rsidR="00E744A9" w:rsidRPr="0052001E" w:rsidRDefault="00E744A9" w:rsidP="00E744A9">
            <w:pPr>
              <w:rPr>
                <w:rFonts w:ascii="Calibri" w:hAnsi="Calibri"/>
                <w:color w:val="000000"/>
              </w:rPr>
            </w:pPr>
            <w:r w:rsidRPr="0052001E">
              <w:rPr>
                <w:rFonts w:ascii="Calibri" w:hAnsi="Calibri"/>
                <w:color w:val="000000"/>
              </w:rPr>
              <w:t>-7.868***</w:t>
            </w:r>
          </w:p>
          <w:p w14:paraId="10FFAA09" w14:textId="26C671AE" w:rsidR="00E744A9" w:rsidRPr="007801A8" w:rsidRDefault="00E744A9" w:rsidP="00E744A9">
            <w:pPr>
              <w:rPr>
                <w:rFonts w:ascii="Calibri" w:hAnsi="Calibri"/>
                <w:color w:val="000000"/>
              </w:rPr>
            </w:pPr>
            <w:r w:rsidRPr="0052001E">
              <w:rPr>
                <w:rFonts w:ascii="Calibri" w:hAnsi="Calibri"/>
                <w:color w:val="000000"/>
              </w:rPr>
              <w:t>(1.08)</w:t>
            </w:r>
          </w:p>
        </w:tc>
      </w:tr>
      <w:tr w:rsidR="00E744A9" w:rsidRPr="00C35785" w14:paraId="3AA4CEDC" w14:textId="77777777" w:rsidTr="007801A8">
        <w:trPr>
          <w:trHeight w:val="288"/>
        </w:trPr>
        <w:tc>
          <w:tcPr>
            <w:tcW w:w="1943" w:type="dxa"/>
            <w:tcBorders>
              <w:top w:val="nil"/>
              <w:left w:val="nil"/>
              <w:bottom w:val="nil"/>
              <w:right w:val="nil"/>
            </w:tcBorders>
            <w:noWrap/>
          </w:tcPr>
          <w:p w14:paraId="307DABF9" w14:textId="3110BD9B" w:rsidR="00E744A9" w:rsidRPr="007801A8" w:rsidRDefault="00E744A9" w:rsidP="00E744A9">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Volatility</w:t>
            </w:r>
          </w:p>
        </w:tc>
        <w:tc>
          <w:tcPr>
            <w:tcW w:w="2423" w:type="dxa"/>
            <w:tcBorders>
              <w:top w:val="nil"/>
              <w:left w:val="nil"/>
              <w:bottom w:val="nil"/>
              <w:right w:val="nil"/>
            </w:tcBorders>
            <w:noWrap/>
            <w:vAlign w:val="bottom"/>
          </w:tcPr>
          <w:p w14:paraId="6A46AAA3" w14:textId="77777777" w:rsidR="00E744A9" w:rsidRPr="007801A8" w:rsidRDefault="00E744A9" w:rsidP="00E744A9">
            <w:pPr>
              <w:rPr>
                <w:rFonts w:ascii="Calibri" w:hAnsi="Calibri"/>
                <w:color w:val="000000"/>
              </w:rPr>
            </w:pPr>
            <w:r w:rsidRPr="007801A8">
              <w:rPr>
                <w:rFonts w:ascii="Calibri" w:hAnsi="Calibri"/>
                <w:color w:val="000000"/>
              </w:rPr>
              <w:t>-15.264***</w:t>
            </w:r>
          </w:p>
          <w:p w14:paraId="603B2D7F" w14:textId="340D2C6C" w:rsidR="00E744A9" w:rsidRPr="007801A8" w:rsidRDefault="00E744A9" w:rsidP="00E744A9">
            <w:pPr>
              <w:rPr>
                <w:rFonts w:ascii="Calibri" w:hAnsi="Calibri"/>
                <w:color w:val="000000"/>
              </w:rPr>
            </w:pPr>
            <w:r w:rsidRPr="007801A8">
              <w:rPr>
                <w:rFonts w:ascii="Calibri" w:hAnsi="Calibri"/>
                <w:color w:val="000000"/>
              </w:rPr>
              <w:t>(3.58)</w:t>
            </w:r>
          </w:p>
        </w:tc>
        <w:tc>
          <w:tcPr>
            <w:tcW w:w="2424" w:type="dxa"/>
            <w:tcBorders>
              <w:top w:val="nil"/>
              <w:left w:val="nil"/>
              <w:bottom w:val="nil"/>
              <w:right w:val="nil"/>
            </w:tcBorders>
            <w:noWrap/>
            <w:vAlign w:val="bottom"/>
          </w:tcPr>
          <w:p w14:paraId="1578BB09" w14:textId="50D39A31" w:rsidR="00E744A9" w:rsidRPr="007801A8" w:rsidRDefault="00E744A9" w:rsidP="00E744A9">
            <w:pPr>
              <w:rPr>
                <w:rFonts w:ascii="Calibri" w:hAnsi="Calibri"/>
                <w:color w:val="000000"/>
              </w:rPr>
            </w:pPr>
            <w:r w:rsidRPr="007801A8">
              <w:rPr>
                <w:rFonts w:ascii="Calibri" w:hAnsi="Calibri"/>
                <w:color w:val="000000"/>
              </w:rPr>
              <w:t>-11.201**</w:t>
            </w:r>
          </w:p>
          <w:p w14:paraId="594D4A43" w14:textId="3A5E43FD" w:rsidR="00E744A9" w:rsidRPr="007801A8" w:rsidRDefault="00E744A9" w:rsidP="00E744A9">
            <w:pPr>
              <w:rPr>
                <w:rFonts w:ascii="Calibri" w:hAnsi="Calibri"/>
                <w:color w:val="000000"/>
              </w:rPr>
            </w:pPr>
            <w:r w:rsidRPr="007801A8">
              <w:rPr>
                <w:rFonts w:ascii="Calibri" w:hAnsi="Calibri"/>
                <w:color w:val="000000"/>
              </w:rPr>
              <w:t>(5.59)</w:t>
            </w:r>
          </w:p>
        </w:tc>
        <w:tc>
          <w:tcPr>
            <w:tcW w:w="2424" w:type="dxa"/>
            <w:tcBorders>
              <w:top w:val="nil"/>
              <w:left w:val="nil"/>
              <w:bottom w:val="nil"/>
              <w:right w:val="nil"/>
            </w:tcBorders>
            <w:noWrap/>
          </w:tcPr>
          <w:p w14:paraId="137C39FD" w14:textId="4E603208" w:rsidR="00E744A9" w:rsidRPr="0052001E" w:rsidRDefault="00E744A9" w:rsidP="00E744A9">
            <w:pPr>
              <w:rPr>
                <w:rFonts w:ascii="Calibri" w:hAnsi="Calibri"/>
                <w:color w:val="000000"/>
              </w:rPr>
            </w:pPr>
            <w:r w:rsidRPr="0052001E">
              <w:rPr>
                <w:rFonts w:ascii="Calibri" w:hAnsi="Calibri"/>
                <w:color w:val="000000"/>
              </w:rPr>
              <w:t>-47.027</w:t>
            </w:r>
            <w:r w:rsidR="0052001E" w:rsidRPr="0052001E">
              <w:rPr>
                <w:rFonts w:ascii="Calibri" w:hAnsi="Calibri"/>
                <w:color w:val="000000"/>
              </w:rPr>
              <w:t>***</w:t>
            </w:r>
          </w:p>
          <w:p w14:paraId="0526C01D" w14:textId="0777F19F" w:rsidR="00E744A9" w:rsidRPr="007801A8" w:rsidRDefault="00E744A9">
            <w:pPr>
              <w:rPr>
                <w:rFonts w:ascii="Calibri" w:hAnsi="Calibri"/>
                <w:color w:val="000000"/>
              </w:rPr>
            </w:pPr>
            <w:r w:rsidRPr="0052001E">
              <w:rPr>
                <w:rFonts w:ascii="Calibri" w:hAnsi="Calibri"/>
                <w:color w:val="000000"/>
              </w:rPr>
              <w:t>(</w:t>
            </w:r>
            <w:r w:rsidR="0052001E" w:rsidRPr="0052001E">
              <w:rPr>
                <w:rFonts w:ascii="Calibri" w:hAnsi="Calibri"/>
                <w:color w:val="000000"/>
              </w:rPr>
              <w:t>7.34</w:t>
            </w:r>
            <w:r w:rsidRPr="0052001E">
              <w:rPr>
                <w:rFonts w:ascii="Calibri" w:hAnsi="Calibri"/>
                <w:color w:val="000000"/>
              </w:rPr>
              <w:t>)</w:t>
            </w:r>
          </w:p>
        </w:tc>
      </w:tr>
      <w:tr w:rsidR="0052001E" w:rsidRPr="00C35785" w14:paraId="2080FE75" w14:textId="77777777" w:rsidTr="007801A8">
        <w:trPr>
          <w:trHeight w:val="288"/>
        </w:trPr>
        <w:tc>
          <w:tcPr>
            <w:tcW w:w="1943" w:type="dxa"/>
            <w:tcBorders>
              <w:top w:val="nil"/>
              <w:left w:val="nil"/>
              <w:bottom w:val="nil"/>
              <w:right w:val="nil"/>
            </w:tcBorders>
            <w:noWrap/>
          </w:tcPr>
          <w:p w14:paraId="78C07C27" w14:textId="20E57FFF" w:rsidR="0052001E" w:rsidRPr="006A77ED" w:rsidRDefault="0052001E">
            <w:pPr>
              <w:rPr>
                <w:rFonts w:ascii="Calibri" w:eastAsia="Times New Roman" w:hAnsi="Calibri" w:cs="Times New Roman"/>
                <w:i/>
                <w:color w:val="000000"/>
                <w:vertAlign w:val="subscript"/>
                <w:lang w:eastAsia="en-NZ"/>
              </w:rPr>
            </w:pPr>
            <w:r w:rsidRPr="00D12BB0">
              <w:rPr>
                <w:rFonts w:ascii="Calibri" w:eastAsia="Times New Roman" w:hAnsi="Calibri" w:cs="Times New Roman"/>
                <w:i/>
                <w:color w:val="000000"/>
                <w:lang w:eastAsia="en-NZ"/>
              </w:rPr>
              <w:t>Price</w:t>
            </w:r>
          </w:p>
        </w:tc>
        <w:tc>
          <w:tcPr>
            <w:tcW w:w="2423" w:type="dxa"/>
            <w:tcBorders>
              <w:top w:val="nil"/>
              <w:left w:val="nil"/>
              <w:bottom w:val="nil"/>
              <w:right w:val="nil"/>
            </w:tcBorders>
            <w:noWrap/>
            <w:vAlign w:val="bottom"/>
          </w:tcPr>
          <w:p w14:paraId="0B67D3F7" w14:textId="2603D629" w:rsidR="0052001E" w:rsidRPr="00E744A9" w:rsidRDefault="0052001E" w:rsidP="0052001E">
            <w:pPr>
              <w:rPr>
                <w:rFonts w:ascii="Calibri" w:hAnsi="Calibri"/>
                <w:color w:val="000000"/>
              </w:rPr>
            </w:pPr>
            <w:r w:rsidRPr="007801A8">
              <w:rPr>
                <w:rFonts w:ascii="Calibri" w:hAnsi="Calibri"/>
                <w:color w:val="000000"/>
              </w:rPr>
              <w:t>-</w:t>
            </w:r>
            <w:r w:rsidRPr="00E744A9">
              <w:rPr>
                <w:rFonts w:ascii="Calibri" w:hAnsi="Calibri"/>
                <w:color w:val="000000"/>
              </w:rPr>
              <w:t>0.</w:t>
            </w:r>
            <w:r w:rsidRPr="007801A8">
              <w:rPr>
                <w:rFonts w:ascii="Calibri" w:hAnsi="Calibri"/>
                <w:color w:val="000000"/>
              </w:rPr>
              <w:t>057***</w:t>
            </w:r>
          </w:p>
          <w:p w14:paraId="293B5E82" w14:textId="7C3BB457"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0.01</w:t>
            </w:r>
            <w:r w:rsidRPr="00E744A9">
              <w:rPr>
                <w:rFonts w:ascii="Calibri" w:hAnsi="Calibri"/>
                <w:color w:val="000000"/>
              </w:rPr>
              <w:t>)</w:t>
            </w:r>
          </w:p>
        </w:tc>
        <w:tc>
          <w:tcPr>
            <w:tcW w:w="2424" w:type="dxa"/>
            <w:tcBorders>
              <w:top w:val="nil"/>
              <w:left w:val="nil"/>
              <w:bottom w:val="nil"/>
              <w:right w:val="nil"/>
            </w:tcBorders>
            <w:noWrap/>
          </w:tcPr>
          <w:p w14:paraId="3B6336C2" w14:textId="19825875" w:rsidR="0052001E" w:rsidRPr="00E744A9" w:rsidRDefault="0052001E" w:rsidP="0052001E">
            <w:pPr>
              <w:rPr>
                <w:rFonts w:ascii="Calibri" w:hAnsi="Calibri"/>
                <w:color w:val="000000"/>
              </w:rPr>
            </w:pPr>
            <w:r w:rsidRPr="007801A8">
              <w:rPr>
                <w:rFonts w:ascii="Calibri" w:hAnsi="Calibri"/>
                <w:color w:val="000000"/>
              </w:rPr>
              <w:t>-</w:t>
            </w:r>
            <w:r w:rsidRPr="00E744A9">
              <w:rPr>
                <w:rFonts w:ascii="Calibri" w:hAnsi="Calibri"/>
                <w:color w:val="000000"/>
              </w:rPr>
              <w:t>0.</w:t>
            </w:r>
            <w:r w:rsidRPr="007801A8">
              <w:rPr>
                <w:rFonts w:ascii="Calibri" w:hAnsi="Calibri"/>
                <w:color w:val="000000"/>
              </w:rPr>
              <w:t>049**</w:t>
            </w:r>
            <w:r w:rsidRPr="00E744A9">
              <w:rPr>
                <w:rFonts w:ascii="Calibri" w:hAnsi="Calibri"/>
                <w:color w:val="000000"/>
              </w:rPr>
              <w:t>*</w:t>
            </w:r>
          </w:p>
          <w:p w14:paraId="15A34D0D" w14:textId="388834E1"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0.01</w:t>
            </w:r>
            <w:r w:rsidRPr="00E744A9">
              <w:rPr>
                <w:rFonts w:ascii="Calibri" w:hAnsi="Calibri"/>
                <w:color w:val="000000"/>
              </w:rPr>
              <w:t>)</w:t>
            </w:r>
          </w:p>
        </w:tc>
        <w:tc>
          <w:tcPr>
            <w:tcW w:w="2424" w:type="dxa"/>
            <w:tcBorders>
              <w:top w:val="nil"/>
              <w:left w:val="nil"/>
              <w:bottom w:val="nil"/>
              <w:right w:val="nil"/>
            </w:tcBorders>
            <w:noWrap/>
            <w:vAlign w:val="bottom"/>
          </w:tcPr>
          <w:p w14:paraId="2BF84AA2" w14:textId="001748B7" w:rsidR="0052001E" w:rsidRPr="0052001E" w:rsidRDefault="0052001E" w:rsidP="0052001E">
            <w:pPr>
              <w:rPr>
                <w:rFonts w:ascii="Calibri" w:hAnsi="Calibri"/>
                <w:color w:val="000000"/>
              </w:rPr>
            </w:pPr>
            <w:r w:rsidRPr="0052001E">
              <w:rPr>
                <w:rFonts w:ascii="Calibri" w:hAnsi="Calibri"/>
                <w:color w:val="000000"/>
              </w:rPr>
              <w:t>-0.079***</w:t>
            </w:r>
          </w:p>
          <w:p w14:paraId="2056E872" w14:textId="1CE719F0" w:rsidR="0052001E" w:rsidRPr="007801A8" w:rsidRDefault="0052001E" w:rsidP="0052001E">
            <w:pPr>
              <w:rPr>
                <w:rFonts w:ascii="Calibri" w:hAnsi="Calibri"/>
                <w:color w:val="000000"/>
              </w:rPr>
            </w:pPr>
            <w:r w:rsidRPr="0052001E">
              <w:rPr>
                <w:rFonts w:ascii="Calibri" w:hAnsi="Calibri"/>
                <w:color w:val="000000"/>
              </w:rPr>
              <w:t>(0.01)</w:t>
            </w:r>
          </w:p>
        </w:tc>
      </w:tr>
      <w:tr w:rsidR="0052001E" w:rsidRPr="00C35785" w14:paraId="4F8A2B03" w14:textId="77777777" w:rsidTr="007801A8">
        <w:trPr>
          <w:trHeight w:val="288"/>
        </w:trPr>
        <w:tc>
          <w:tcPr>
            <w:tcW w:w="1943" w:type="dxa"/>
            <w:tcBorders>
              <w:top w:val="nil"/>
              <w:left w:val="nil"/>
              <w:bottom w:val="nil"/>
              <w:right w:val="nil"/>
            </w:tcBorders>
            <w:noWrap/>
          </w:tcPr>
          <w:p w14:paraId="0FAEA19B" w14:textId="377E2197" w:rsidR="0052001E" w:rsidRPr="00D12BB0" w:rsidRDefault="0052001E" w:rsidP="0052001E">
            <w:pPr>
              <w:rPr>
                <w:rFonts w:ascii="Calibri" w:eastAsia="Times New Roman" w:hAnsi="Calibri" w:cs="Times New Roman"/>
                <w:i/>
                <w:color w:val="000000"/>
                <w:lang w:eastAsia="en-NZ"/>
              </w:rPr>
            </w:pPr>
            <w:r w:rsidRPr="00D12BB0">
              <w:rPr>
                <w:rFonts w:ascii="Calibri" w:eastAsia="Times New Roman" w:hAnsi="Calibri" w:cs="Times New Roman"/>
                <w:i/>
                <w:color w:val="000000"/>
                <w:lang w:eastAsia="en-NZ"/>
              </w:rPr>
              <w:t>Size</w:t>
            </w:r>
          </w:p>
        </w:tc>
        <w:tc>
          <w:tcPr>
            <w:tcW w:w="2423" w:type="dxa"/>
            <w:tcBorders>
              <w:top w:val="nil"/>
              <w:left w:val="nil"/>
              <w:bottom w:val="nil"/>
              <w:right w:val="nil"/>
            </w:tcBorders>
            <w:noWrap/>
          </w:tcPr>
          <w:p w14:paraId="712EEC99" w14:textId="68DAD40B" w:rsidR="0052001E" w:rsidRPr="00E744A9" w:rsidRDefault="0052001E" w:rsidP="0052001E">
            <w:pPr>
              <w:rPr>
                <w:rFonts w:ascii="Calibri" w:hAnsi="Calibri"/>
                <w:color w:val="000000"/>
              </w:rPr>
            </w:pPr>
            <w:r w:rsidRPr="00E744A9">
              <w:rPr>
                <w:rFonts w:ascii="Calibri" w:hAnsi="Calibri"/>
                <w:color w:val="000000"/>
              </w:rPr>
              <w:t>-0.00</w:t>
            </w:r>
            <w:r w:rsidRPr="007801A8">
              <w:rPr>
                <w:rFonts w:ascii="Calibri" w:hAnsi="Calibri"/>
                <w:color w:val="000000"/>
              </w:rPr>
              <w:t>4</w:t>
            </w:r>
          </w:p>
          <w:p w14:paraId="26DFB3F5" w14:textId="2E058B41"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0.02</w:t>
            </w:r>
            <w:r w:rsidRPr="00E744A9">
              <w:rPr>
                <w:rFonts w:ascii="Calibri" w:hAnsi="Calibri"/>
                <w:color w:val="000000"/>
              </w:rPr>
              <w:t>)</w:t>
            </w:r>
          </w:p>
        </w:tc>
        <w:tc>
          <w:tcPr>
            <w:tcW w:w="2424" w:type="dxa"/>
            <w:tcBorders>
              <w:top w:val="nil"/>
              <w:left w:val="nil"/>
              <w:bottom w:val="nil"/>
              <w:right w:val="nil"/>
            </w:tcBorders>
            <w:noWrap/>
          </w:tcPr>
          <w:p w14:paraId="31F1E343" w14:textId="25BC0D9D" w:rsidR="0052001E" w:rsidRPr="00E744A9" w:rsidRDefault="0052001E" w:rsidP="0052001E">
            <w:pPr>
              <w:rPr>
                <w:rFonts w:ascii="Calibri" w:hAnsi="Calibri"/>
                <w:color w:val="000000"/>
              </w:rPr>
            </w:pPr>
            <w:r w:rsidRPr="00E744A9">
              <w:rPr>
                <w:rFonts w:ascii="Calibri" w:hAnsi="Calibri"/>
                <w:color w:val="000000"/>
              </w:rPr>
              <w:t>-0.00</w:t>
            </w:r>
            <w:r w:rsidRPr="007801A8">
              <w:rPr>
                <w:rFonts w:ascii="Calibri" w:hAnsi="Calibri"/>
                <w:color w:val="000000"/>
              </w:rPr>
              <w:t>1</w:t>
            </w:r>
          </w:p>
          <w:p w14:paraId="105EF665" w14:textId="3A630113"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0.04</w:t>
            </w:r>
            <w:r w:rsidRPr="00E744A9">
              <w:rPr>
                <w:rFonts w:ascii="Calibri" w:hAnsi="Calibri"/>
                <w:color w:val="000000"/>
              </w:rPr>
              <w:t>)</w:t>
            </w:r>
          </w:p>
        </w:tc>
        <w:tc>
          <w:tcPr>
            <w:tcW w:w="2424" w:type="dxa"/>
            <w:tcBorders>
              <w:top w:val="nil"/>
              <w:left w:val="nil"/>
              <w:bottom w:val="nil"/>
              <w:right w:val="nil"/>
            </w:tcBorders>
            <w:noWrap/>
          </w:tcPr>
          <w:p w14:paraId="71BB13D5" w14:textId="474AB006" w:rsidR="0052001E" w:rsidRPr="0052001E" w:rsidRDefault="0052001E" w:rsidP="0052001E">
            <w:pPr>
              <w:rPr>
                <w:rFonts w:ascii="Calibri" w:hAnsi="Calibri"/>
                <w:color w:val="000000"/>
              </w:rPr>
            </w:pPr>
            <w:r w:rsidRPr="0052001E">
              <w:rPr>
                <w:rFonts w:ascii="Calibri" w:hAnsi="Calibri"/>
                <w:color w:val="000000"/>
              </w:rPr>
              <w:t>-0.151***</w:t>
            </w:r>
          </w:p>
          <w:p w14:paraId="180F910D" w14:textId="764809DC" w:rsidR="0052001E" w:rsidRPr="007801A8" w:rsidRDefault="0052001E" w:rsidP="0052001E">
            <w:pPr>
              <w:rPr>
                <w:rFonts w:ascii="Calibri" w:hAnsi="Calibri"/>
                <w:color w:val="000000"/>
              </w:rPr>
            </w:pPr>
            <w:r w:rsidRPr="0052001E">
              <w:rPr>
                <w:rFonts w:ascii="Calibri" w:hAnsi="Calibri"/>
                <w:color w:val="000000"/>
              </w:rPr>
              <w:t>(0.04)</w:t>
            </w:r>
          </w:p>
        </w:tc>
      </w:tr>
      <w:tr w:rsidR="0052001E" w:rsidRPr="00C35785" w14:paraId="5989C7D6" w14:textId="77777777" w:rsidTr="007801A8">
        <w:trPr>
          <w:trHeight w:val="288"/>
        </w:trPr>
        <w:tc>
          <w:tcPr>
            <w:tcW w:w="1943" w:type="dxa"/>
            <w:tcBorders>
              <w:top w:val="nil"/>
              <w:left w:val="nil"/>
              <w:bottom w:val="nil"/>
              <w:right w:val="nil"/>
            </w:tcBorders>
            <w:noWrap/>
          </w:tcPr>
          <w:p w14:paraId="02A0E8B6" w14:textId="1214C023" w:rsidR="0052001E" w:rsidRPr="00D12BB0" w:rsidRDefault="0052001E" w:rsidP="0052001E">
            <w:pPr>
              <w:rPr>
                <w:rFonts w:ascii="Calibri" w:eastAsia="Times New Roman" w:hAnsi="Calibri" w:cs="Times New Roman"/>
                <w:i/>
                <w:color w:val="000000"/>
                <w:lang w:eastAsia="en-NZ"/>
              </w:rPr>
            </w:pPr>
            <w:r w:rsidRPr="00D12BB0">
              <w:rPr>
                <w:rFonts w:ascii="Calibri" w:eastAsia="Times New Roman" w:hAnsi="Calibri" w:cs="Times New Roman"/>
                <w:i/>
                <w:color w:val="000000"/>
                <w:lang w:eastAsia="en-NZ"/>
              </w:rPr>
              <w:t>Turnover</w:t>
            </w:r>
          </w:p>
        </w:tc>
        <w:tc>
          <w:tcPr>
            <w:tcW w:w="2423" w:type="dxa"/>
            <w:tcBorders>
              <w:top w:val="nil"/>
              <w:left w:val="nil"/>
              <w:bottom w:val="nil"/>
              <w:right w:val="nil"/>
            </w:tcBorders>
            <w:noWrap/>
          </w:tcPr>
          <w:p w14:paraId="0AFBD747" w14:textId="7085F84C" w:rsidR="0052001E" w:rsidRPr="00E744A9" w:rsidRDefault="0052001E" w:rsidP="0052001E">
            <w:pPr>
              <w:rPr>
                <w:rFonts w:ascii="Calibri" w:hAnsi="Calibri"/>
                <w:color w:val="000000"/>
              </w:rPr>
            </w:pPr>
            <w:r w:rsidRPr="00E744A9">
              <w:rPr>
                <w:rFonts w:ascii="Calibri" w:hAnsi="Calibri"/>
                <w:color w:val="000000"/>
              </w:rPr>
              <w:t>0.</w:t>
            </w:r>
            <w:r w:rsidRPr="007801A8">
              <w:rPr>
                <w:rFonts w:ascii="Calibri" w:hAnsi="Calibri"/>
                <w:color w:val="000000"/>
              </w:rPr>
              <w:t>643***</w:t>
            </w:r>
          </w:p>
          <w:p w14:paraId="5B1AB772" w14:textId="5E936F5F"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0.20</w:t>
            </w:r>
            <w:r w:rsidRPr="00E744A9">
              <w:rPr>
                <w:rFonts w:ascii="Calibri" w:hAnsi="Calibri"/>
                <w:color w:val="000000"/>
              </w:rPr>
              <w:t>)</w:t>
            </w:r>
          </w:p>
        </w:tc>
        <w:tc>
          <w:tcPr>
            <w:tcW w:w="2424" w:type="dxa"/>
            <w:tcBorders>
              <w:top w:val="nil"/>
              <w:left w:val="nil"/>
              <w:bottom w:val="nil"/>
              <w:right w:val="nil"/>
            </w:tcBorders>
            <w:noWrap/>
          </w:tcPr>
          <w:p w14:paraId="5EBA9DF9" w14:textId="468DBC76" w:rsidR="0052001E" w:rsidRPr="007801A8" w:rsidRDefault="0052001E">
            <w:pPr>
              <w:rPr>
                <w:rFonts w:ascii="Calibri" w:hAnsi="Calibri"/>
                <w:color w:val="000000"/>
              </w:rPr>
            </w:pPr>
            <w:r w:rsidRPr="00E744A9">
              <w:rPr>
                <w:rFonts w:ascii="Calibri" w:hAnsi="Calibri"/>
                <w:color w:val="000000"/>
              </w:rPr>
              <w:t>0.07</w:t>
            </w:r>
            <w:r w:rsidRPr="007801A8">
              <w:rPr>
                <w:rFonts w:ascii="Calibri" w:hAnsi="Calibri"/>
                <w:color w:val="000000"/>
              </w:rPr>
              <w:t>1</w:t>
            </w:r>
          </w:p>
          <w:p w14:paraId="2FD2D94E" w14:textId="4683C99E"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w:t>
            </w:r>
            <w:r w:rsidRPr="00E744A9">
              <w:rPr>
                <w:rFonts w:ascii="Calibri" w:hAnsi="Calibri"/>
                <w:color w:val="000000"/>
              </w:rPr>
              <w:t>.27)</w:t>
            </w:r>
          </w:p>
        </w:tc>
        <w:tc>
          <w:tcPr>
            <w:tcW w:w="2424" w:type="dxa"/>
            <w:tcBorders>
              <w:top w:val="nil"/>
              <w:left w:val="nil"/>
              <w:bottom w:val="nil"/>
              <w:right w:val="nil"/>
            </w:tcBorders>
            <w:noWrap/>
          </w:tcPr>
          <w:p w14:paraId="5BDB4826" w14:textId="68D6EA39" w:rsidR="0052001E" w:rsidRPr="0052001E" w:rsidRDefault="0052001E" w:rsidP="0052001E">
            <w:pPr>
              <w:rPr>
                <w:rFonts w:ascii="Calibri" w:hAnsi="Calibri"/>
                <w:color w:val="000000"/>
              </w:rPr>
            </w:pPr>
            <w:r w:rsidRPr="0052001E">
              <w:rPr>
                <w:rFonts w:ascii="Calibri" w:hAnsi="Calibri"/>
                <w:color w:val="000000"/>
              </w:rPr>
              <w:t>2.308***</w:t>
            </w:r>
          </w:p>
          <w:p w14:paraId="3335AA4D" w14:textId="19FE6D21" w:rsidR="0052001E" w:rsidRPr="007801A8" w:rsidRDefault="0052001E" w:rsidP="0052001E">
            <w:pPr>
              <w:rPr>
                <w:rFonts w:ascii="Calibri" w:hAnsi="Calibri"/>
                <w:color w:val="000000"/>
              </w:rPr>
            </w:pPr>
            <w:r w:rsidRPr="0052001E">
              <w:rPr>
                <w:rFonts w:ascii="Calibri" w:hAnsi="Calibri"/>
                <w:color w:val="000000"/>
              </w:rPr>
              <w:t>(0.39)</w:t>
            </w:r>
          </w:p>
        </w:tc>
      </w:tr>
      <w:tr w:rsidR="0052001E" w:rsidRPr="00C35785" w14:paraId="6E30358A" w14:textId="77777777" w:rsidTr="007801A8">
        <w:trPr>
          <w:trHeight w:val="288"/>
        </w:trPr>
        <w:tc>
          <w:tcPr>
            <w:tcW w:w="1943" w:type="dxa"/>
            <w:tcBorders>
              <w:top w:val="nil"/>
              <w:left w:val="nil"/>
              <w:bottom w:val="nil"/>
              <w:right w:val="nil"/>
            </w:tcBorders>
            <w:noWrap/>
          </w:tcPr>
          <w:p w14:paraId="15C448F1" w14:textId="25D73E24" w:rsidR="0052001E" w:rsidRPr="006A77ED" w:rsidRDefault="0052001E">
            <w:pPr>
              <w:rPr>
                <w:rFonts w:ascii="Calibri" w:eastAsia="Times New Roman" w:hAnsi="Calibri" w:cs="Times New Roman"/>
                <w:i/>
                <w:color w:val="000000"/>
                <w:vertAlign w:val="subscript"/>
                <w:lang w:eastAsia="en-NZ"/>
              </w:rPr>
            </w:pPr>
            <w:r w:rsidRPr="00D12BB0">
              <w:rPr>
                <w:rFonts w:ascii="Calibri" w:eastAsia="Times New Roman" w:hAnsi="Calibri" w:cs="Times New Roman"/>
                <w:i/>
                <w:color w:val="000000"/>
                <w:lang w:eastAsia="en-NZ"/>
              </w:rPr>
              <w:t>Volume</w:t>
            </w:r>
          </w:p>
        </w:tc>
        <w:tc>
          <w:tcPr>
            <w:tcW w:w="2423" w:type="dxa"/>
            <w:tcBorders>
              <w:top w:val="nil"/>
              <w:left w:val="nil"/>
              <w:bottom w:val="nil"/>
              <w:right w:val="nil"/>
            </w:tcBorders>
            <w:noWrap/>
          </w:tcPr>
          <w:p w14:paraId="7710D904" w14:textId="45023F5C" w:rsidR="0052001E" w:rsidRPr="007801A8" w:rsidRDefault="0052001E" w:rsidP="0052001E">
            <w:pPr>
              <w:rPr>
                <w:rFonts w:ascii="Calibri" w:hAnsi="Calibri"/>
                <w:color w:val="000000"/>
              </w:rPr>
            </w:pPr>
            <w:r w:rsidRPr="00E744A9">
              <w:rPr>
                <w:rFonts w:ascii="Calibri" w:hAnsi="Calibri"/>
                <w:color w:val="000000"/>
              </w:rPr>
              <w:t>0.</w:t>
            </w:r>
            <w:r w:rsidRPr="007801A8">
              <w:rPr>
                <w:rFonts w:ascii="Calibri" w:hAnsi="Calibri"/>
                <w:color w:val="000000"/>
              </w:rPr>
              <w:t>139</w:t>
            </w:r>
          </w:p>
          <w:p w14:paraId="74BDC012" w14:textId="02457F12" w:rsidR="0052001E" w:rsidRPr="00E744A9" w:rsidRDefault="0052001E">
            <w:pPr>
              <w:rPr>
                <w:rFonts w:ascii="Calibri" w:hAnsi="Calibri"/>
                <w:color w:val="000000"/>
              </w:rPr>
            </w:pPr>
            <w:r w:rsidRPr="00E744A9">
              <w:rPr>
                <w:rFonts w:ascii="Calibri" w:hAnsi="Calibri"/>
                <w:color w:val="000000"/>
              </w:rPr>
              <w:t>(</w:t>
            </w:r>
            <w:r w:rsidRPr="007801A8">
              <w:rPr>
                <w:rFonts w:ascii="Calibri" w:hAnsi="Calibri"/>
                <w:color w:val="000000"/>
              </w:rPr>
              <w:t>0.16</w:t>
            </w:r>
            <w:r w:rsidRPr="00E744A9">
              <w:rPr>
                <w:rFonts w:ascii="Calibri" w:hAnsi="Calibri"/>
                <w:color w:val="000000"/>
              </w:rPr>
              <w:t>)</w:t>
            </w:r>
          </w:p>
        </w:tc>
        <w:tc>
          <w:tcPr>
            <w:tcW w:w="2424" w:type="dxa"/>
            <w:tcBorders>
              <w:top w:val="nil"/>
              <w:left w:val="nil"/>
              <w:bottom w:val="nil"/>
              <w:right w:val="nil"/>
            </w:tcBorders>
            <w:noWrap/>
          </w:tcPr>
          <w:p w14:paraId="23C09BDE" w14:textId="3F28966D" w:rsidR="0052001E" w:rsidRPr="00E744A9" w:rsidRDefault="0052001E" w:rsidP="0052001E">
            <w:pPr>
              <w:rPr>
                <w:rFonts w:ascii="Calibri" w:hAnsi="Calibri"/>
                <w:color w:val="000000"/>
              </w:rPr>
            </w:pPr>
            <w:r w:rsidRPr="00E744A9">
              <w:rPr>
                <w:rFonts w:ascii="Calibri" w:hAnsi="Calibri"/>
                <w:color w:val="000000"/>
              </w:rPr>
              <w:t>0</w:t>
            </w:r>
            <w:r w:rsidRPr="007801A8">
              <w:rPr>
                <w:rFonts w:ascii="Calibri" w:hAnsi="Calibri"/>
                <w:color w:val="000000"/>
              </w:rPr>
              <w:t>.384*</w:t>
            </w:r>
          </w:p>
          <w:p w14:paraId="4488EED2" w14:textId="131FB8FB" w:rsidR="0052001E" w:rsidRPr="00E744A9" w:rsidRDefault="0052001E">
            <w:pPr>
              <w:rPr>
                <w:rFonts w:ascii="Calibri" w:hAnsi="Calibri"/>
                <w:color w:val="000000"/>
              </w:rPr>
            </w:pPr>
            <w:r w:rsidRPr="00E744A9">
              <w:rPr>
                <w:rFonts w:ascii="Calibri" w:hAnsi="Calibri"/>
                <w:color w:val="000000"/>
              </w:rPr>
              <w:t>(0.</w:t>
            </w:r>
            <w:r w:rsidRPr="007801A8">
              <w:rPr>
                <w:rFonts w:ascii="Calibri" w:hAnsi="Calibri"/>
                <w:color w:val="000000"/>
              </w:rPr>
              <w:t>20</w:t>
            </w:r>
            <w:r w:rsidRPr="00E744A9">
              <w:rPr>
                <w:rFonts w:ascii="Calibri" w:hAnsi="Calibri"/>
                <w:color w:val="000000"/>
              </w:rPr>
              <w:t>)</w:t>
            </w:r>
          </w:p>
        </w:tc>
        <w:tc>
          <w:tcPr>
            <w:tcW w:w="2424" w:type="dxa"/>
            <w:tcBorders>
              <w:top w:val="nil"/>
              <w:left w:val="nil"/>
              <w:bottom w:val="nil"/>
              <w:right w:val="nil"/>
            </w:tcBorders>
            <w:noWrap/>
          </w:tcPr>
          <w:p w14:paraId="6C042490" w14:textId="0F472CAE" w:rsidR="0052001E" w:rsidRPr="0052001E" w:rsidRDefault="0052001E" w:rsidP="0052001E">
            <w:pPr>
              <w:rPr>
                <w:rFonts w:ascii="Calibri" w:hAnsi="Calibri"/>
                <w:color w:val="000000"/>
              </w:rPr>
            </w:pPr>
            <w:r w:rsidRPr="0052001E">
              <w:rPr>
                <w:rFonts w:ascii="Calibri" w:hAnsi="Calibri"/>
                <w:color w:val="000000"/>
              </w:rPr>
              <w:t>-0.443</w:t>
            </w:r>
          </w:p>
          <w:p w14:paraId="08E0BC88" w14:textId="62F45A72" w:rsidR="0052001E" w:rsidRPr="007801A8" w:rsidRDefault="0052001E" w:rsidP="0052001E">
            <w:pPr>
              <w:rPr>
                <w:rFonts w:ascii="Calibri" w:hAnsi="Calibri"/>
                <w:color w:val="000000"/>
              </w:rPr>
            </w:pPr>
            <w:r w:rsidRPr="0052001E">
              <w:rPr>
                <w:rFonts w:ascii="Calibri" w:hAnsi="Calibri"/>
                <w:color w:val="000000"/>
              </w:rPr>
              <w:t>(0.29)</w:t>
            </w:r>
          </w:p>
        </w:tc>
      </w:tr>
      <w:tr w:rsidR="0052001E" w:rsidRPr="00C35785" w14:paraId="1650D5B8" w14:textId="77777777" w:rsidTr="007801A8">
        <w:trPr>
          <w:trHeight w:val="288"/>
        </w:trPr>
        <w:tc>
          <w:tcPr>
            <w:tcW w:w="1943" w:type="dxa"/>
            <w:tcBorders>
              <w:top w:val="nil"/>
              <w:left w:val="nil"/>
              <w:bottom w:val="nil"/>
              <w:right w:val="nil"/>
            </w:tcBorders>
            <w:noWrap/>
          </w:tcPr>
          <w:p w14:paraId="741D1BE2" w14:textId="3D4E1D8D" w:rsidR="0052001E" w:rsidRPr="00D12BB0" w:rsidRDefault="0052001E" w:rsidP="0052001E">
            <w:pPr>
              <w:rPr>
                <w:rFonts w:ascii="Calibri" w:eastAsia="Times New Roman" w:hAnsi="Calibri" w:cs="Times New Roman"/>
                <w:color w:val="000000"/>
                <w:lang w:eastAsia="en-NZ"/>
              </w:rPr>
            </w:pPr>
            <w:r w:rsidRPr="00D12BB0">
              <w:rPr>
                <w:rFonts w:ascii="Calibri" w:eastAsia="Times New Roman" w:hAnsi="Calibri" w:cs="Times New Roman"/>
                <w:color w:val="000000"/>
                <w:lang w:eastAsia="en-NZ"/>
              </w:rPr>
              <w:t>Intercept</w:t>
            </w:r>
          </w:p>
        </w:tc>
        <w:tc>
          <w:tcPr>
            <w:tcW w:w="2423" w:type="dxa"/>
            <w:tcBorders>
              <w:top w:val="nil"/>
              <w:left w:val="nil"/>
              <w:bottom w:val="nil"/>
              <w:right w:val="nil"/>
            </w:tcBorders>
            <w:noWrap/>
          </w:tcPr>
          <w:p w14:paraId="7F2E8A3F" w14:textId="533EB436" w:rsidR="0052001E" w:rsidRPr="00E744A9" w:rsidRDefault="0052001E" w:rsidP="0052001E">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0.</w:t>
            </w:r>
            <w:r w:rsidRPr="007801A8">
              <w:rPr>
                <w:rFonts w:ascii="Calibri" w:eastAsia="Times New Roman" w:hAnsi="Calibri" w:cs="Times New Roman"/>
                <w:color w:val="000000"/>
                <w:lang w:eastAsia="en-NZ"/>
              </w:rPr>
              <w:t>113</w:t>
            </w:r>
          </w:p>
          <w:p w14:paraId="3BC86780" w14:textId="27944B91" w:rsidR="0052001E" w:rsidRPr="00E744A9" w:rsidRDefault="0052001E">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0.34</w:t>
            </w:r>
            <w:r w:rsidRPr="00E744A9">
              <w:rPr>
                <w:rFonts w:ascii="Calibri" w:eastAsia="Times New Roman" w:hAnsi="Calibri" w:cs="Times New Roman"/>
                <w:color w:val="000000"/>
                <w:lang w:eastAsia="en-NZ"/>
              </w:rPr>
              <w:t>)</w:t>
            </w:r>
          </w:p>
        </w:tc>
        <w:tc>
          <w:tcPr>
            <w:tcW w:w="2424" w:type="dxa"/>
            <w:tcBorders>
              <w:top w:val="nil"/>
              <w:left w:val="nil"/>
              <w:bottom w:val="nil"/>
              <w:right w:val="nil"/>
            </w:tcBorders>
            <w:noWrap/>
          </w:tcPr>
          <w:p w14:paraId="17E0F06F" w14:textId="77777777" w:rsidR="0052001E" w:rsidRPr="007801A8" w:rsidRDefault="0052001E">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0.545</w:t>
            </w:r>
          </w:p>
          <w:p w14:paraId="7156E48C" w14:textId="1B5F6D2C" w:rsidR="0052001E" w:rsidRPr="00E744A9" w:rsidRDefault="0052001E">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w:t>
            </w:r>
            <w:r w:rsidRPr="007801A8">
              <w:rPr>
                <w:rFonts w:ascii="Calibri" w:eastAsia="Times New Roman" w:hAnsi="Calibri" w:cs="Times New Roman"/>
                <w:color w:val="000000"/>
                <w:lang w:eastAsia="en-NZ"/>
              </w:rPr>
              <w:t>0.55</w:t>
            </w:r>
            <w:r w:rsidRPr="00E744A9">
              <w:rPr>
                <w:rFonts w:ascii="Calibri" w:eastAsia="Times New Roman" w:hAnsi="Calibri" w:cs="Times New Roman"/>
                <w:color w:val="000000"/>
                <w:lang w:eastAsia="en-NZ"/>
              </w:rPr>
              <w:t>)</w:t>
            </w:r>
          </w:p>
        </w:tc>
        <w:tc>
          <w:tcPr>
            <w:tcW w:w="2424" w:type="dxa"/>
            <w:tcBorders>
              <w:top w:val="nil"/>
              <w:left w:val="nil"/>
              <w:bottom w:val="nil"/>
              <w:right w:val="nil"/>
            </w:tcBorders>
            <w:noWrap/>
            <w:vAlign w:val="bottom"/>
          </w:tcPr>
          <w:p w14:paraId="0CFB425D" w14:textId="4E2DF1A3" w:rsidR="0052001E" w:rsidRPr="0052001E" w:rsidRDefault="0052001E" w:rsidP="0052001E">
            <w:pPr>
              <w:rPr>
                <w:rFonts w:ascii="Calibri" w:hAnsi="Calibri"/>
                <w:color w:val="000000"/>
              </w:rPr>
            </w:pPr>
            <w:r w:rsidRPr="0052001E">
              <w:rPr>
                <w:rFonts w:ascii="Calibri" w:hAnsi="Calibri"/>
                <w:color w:val="000000"/>
              </w:rPr>
              <w:t>1.706***</w:t>
            </w:r>
          </w:p>
          <w:p w14:paraId="3E146E91" w14:textId="5482E890" w:rsidR="0052001E" w:rsidRPr="007801A8" w:rsidRDefault="0052001E" w:rsidP="0052001E">
            <w:pPr>
              <w:rPr>
                <w:rFonts w:ascii="Calibri" w:eastAsia="Times New Roman" w:hAnsi="Calibri" w:cs="Times New Roman"/>
                <w:color w:val="000000"/>
                <w:lang w:eastAsia="en-NZ"/>
              </w:rPr>
            </w:pPr>
            <w:r w:rsidRPr="0052001E">
              <w:rPr>
                <w:rFonts w:ascii="Calibri" w:hAnsi="Calibri"/>
                <w:color w:val="000000"/>
              </w:rPr>
              <w:t>(0.66)</w:t>
            </w:r>
          </w:p>
        </w:tc>
      </w:tr>
      <w:tr w:rsidR="00664BD9" w:rsidRPr="00C35785" w14:paraId="04E5F111" w14:textId="77777777" w:rsidTr="007801A8">
        <w:trPr>
          <w:trHeight w:val="288"/>
        </w:trPr>
        <w:tc>
          <w:tcPr>
            <w:tcW w:w="1943" w:type="dxa"/>
            <w:tcBorders>
              <w:top w:val="nil"/>
              <w:left w:val="nil"/>
              <w:bottom w:val="nil"/>
              <w:right w:val="nil"/>
            </w:tcBorders>
            <w:noWrap/>
            <w:hideMark/>
          </w:tcPr>
          <w:p w14:paraId="3623A42C" w14:textId="77777777" w:rsidR="00664BD9" w:rsidRPr="00D12BB0" w:rsidRDefault="00664BD9" w:rsidP="00A65E71">
            <w:pPr>
              <w:rPr>
                <w:rFonts w:ascii="Calibri" w:eastAsia="Times New Roman" w:hAnsi="Calibri" w:cs="Times New Roman"/>
                <w:color w:val="000000"/>
                <w:lang w:eastAsia="en-NZ"/>
              </w:rPr>
            </w:pPr>
            <w:r w:rsidRPr="00D12BB0">
              <w:rPr>
                <w:rFonts w:ascii="Calibri" w:eastAsia="Times New Roman" w:hAnsi="Calibri" w:cs="Times New Roman"/>
                <w:color w:val="000000"/>
                <w:lang w:eastAsia="en-NZ"/>
              </w:rPr>
              <w:t>Industry dummies</w:t>
            </w:r>
          </w:p>
        </w:tc>
        <w:tc>
          <w:tcPr>
            <w:tcW w:w="2423" w:type="dxa"/>
            <w:tcBorders>
              <w:top w:val="nil"/>
              <w:left w:val="nil"/>
              <w:bottom w:val="nil"/>
              <w:right w:val="nil"/>
            </w:tcBorders>
            <w:noWrap/>
            <w:hideMark/>
          </w:tcPr>
          <w:p w14:paraId="105E0BE5" w14:textId="77777777" w:rsidR="00664BD9" w:rsidRPr="00E744A9" w:rsidRDefault="00664BD9" w:rsidP="00A65E71">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Yes</w:t>
            </w:r>
          </w:p>
        </w:tc>
        <w:tc>
          <w:tcPr>
            <w:tcW w:w="2424" w:type="dxa"/>
            <w:tcBorders>
              <w:top w:val="nil"/>
              <w:left w:val="nil"/>
              <w:bottom w:val="nil"/>
              <w:right w:val="nil"/>
            </w:tcBorders>
            <w:noWrap/>
            <w:hideMark/>
          </w:tcPr>
          <w:p w14:paraId="02FB16DA" w14:textId="77777777" w:rsidR="00664BD9" w:rsidRPr="00E744A9" w:rsidRDefault="00664BD9" w:rsidP="00A65E71">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Yes</w:t>
            </w:r>
          </w:p>
        </w:tc>
        <w:tc>
          <w:tcPr>
            <w:tcW w:w="2424" w:type="dxa"/>
            <w:tcBorders>
              <w:top w:val="nil"/>
              <w:left w:val="nil"/>
              <w:bottom w:val="nil"/>
              <w:right w:val="nil"/>
            </w:tcBorders>
            <w:noWrap/>
            <w:hideMark/>
          </w:tcPr>
          <w:p w14:paraId="75A867AF" w14:textId="0C3CB75E" w:rsidR="00664BD9" w:rsidRPr="007801A8" w:rsidRDefault="00664BD9" w:rsidP="00A65E71">
            <w:pPr>
              <w:rPr>
                <w:rFonts w:ascii="Calibri" w:eastAsia="Times New Roman" w:hAnsi="Calibri" w:cs="Times New Roman"/>
                <w:color w:val="000000"/>
                <w:lang w:eastAsia="en-NZ"/>
              </w:rPr>
            </w:pPr>
            <w:r w:rsidRPr="0052001E">
              <w:rPr>
                <w:rFonts w:ascii="Calibri" w:eastAsia="Times New Roman" w:hAnsi="Calibri" w:cs="Times New Roman"/>
                <w:color w:val="000000"/>
                <w:lang w:eastAsia="en-NZ"/>
              </w:rPr>
              <w:t>Yes</w:t>
            </w:r>
          </w:p>
        </w:tc>
      </w:tr>
      <w:tr w:rsidR="00664BD9" w:rsidRPr="00C35785" w14:paraId="22AC4139" w14:textId="77777777" w:rsidTr="007801A8">
        <w:trPr>
          <w:trHeight w:val="288"/>
        </w:trPr>
        <w:tc>
          <w:tcPr>
            <w:tcW w:w="1943" w:type="dxa"/>
            <w:tcBorders>
              <w:top w:val="nil"/>
              <w:left w:val="nil"/>
              <w:bottom w:val="single" w:sz="4" w:space="0" w:color="auto"/>
              <w:right w:val="nil"/>
            </w:tcBorders>
            <w:noWrap/>
            <w:hideMark/>
          </w:tcPr>
          <w:p w14:paraId="045DD2CD" w14:textId="77777777" w:rsidR="00664BD9" w:rsidRPr="00D12BB0" w:rsidRDefault="00664BD9" w:rsidP="00A65E71">
            <w:pPr>
              <w:rPr>
                <w:rFonts w:ascii="Calibri" w:eastAsia="Times New Roman" w:hAnsi="Calibri" w:cs="Times New Roman"/>
                <w:color w:val="000000"/>
                <w:lang w:eastAsia="en-NZ"/>
              </w:rPr>
            </w:pPr>
            <w:r w:rsidRPr="00D12BB0">
              <w:rPr>
                <w:rFonts w:ascii="Calibri" w:eastAsia="Times New Roman" w:hAnsi="Calibri" w:cs="Times New Roman"/>
                <w:color w:val="000000"/>
                <w:lang w:eastAsia="en-NZ"/>
              </w:rPr>
              <w:t>Year dummies</w:t>
            </w:r>
          </w:p>
        </w:tc>
        <w:tc>
          <w:tcPr>
            <w:tcW w:w="2423" w:type="dxa"/>
            <w:tcBorders>
              <w:top w:val="nil"/>
              <w:left w:val="nil"/>
              <w:bottom w:val="single" w:sz="4" w:space="0" w:color="auto"/>
              <w:right w:val="nil"/>
            </w:tcBorders>
            <w:noWrap/>
            <w:hideMark/>
          </w:tcPr>
          <w:p w14:paraId="1E6CA9BD" w14:textId="77777777" w:rsidR="00664BD9" w:rsidRPr="00E744A9" w:rsidRDefault="00664BD9" w:rsidP="00A65E71">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Yes</w:t>
            </w:r>
          </w:p>
        </w:tc>
        <w:tc>
          <w:tcPr>
            <w:tcW w:w="2424" w:type="dxa"/>
            <w:tcBorders>
              <w:top w:val="nil"/>
              <w:left w:val="nil"/>
              <w:bottom w:val="single" w:sz="4" w:space="0" w:color="auto"/>
              <w:right w:val="nil"/>
            </w:tcBorders>
            <w:noWrap/>
            <w:hideMark/>
          </w:tcPr>
          <w:p w14:paraId="49B87207" w14:textId="77777777" w:rsidR="00664BD9" w:rsidRPr="00E744A9" w:rsidRDefault="00664BD9" w:rsidP="00A65E71">
            <w:pPr>
              <w:rPr>
                <w:rFonts w:ascii="Calibri" w:eastAsia="Times New Roman" w:hAnsi="Calibri" w:cs="Times New Roman"/>
                <w:color w:val="000000"/>
                <w:lang w:eastAsia="en-NZ"/>
              </w:rPr>
            </w:pPr>
            <w:r w:rsidRPr="00E744A9">
              <w:rPr>
                <w:rFonts w:ascii="Calibri" w:eastAsia="Times New Roman" w:hAnsi="Calibri" w:cs="Times New Roman"/>
                <w:color w:val="000000"/>
                <w:lang w:eastAsia="en-NZ"/>
              </w:rPr>
              <w:t>Yes</w:t>
            </w:r>
          </w:p>
        </w:tc>
        <w:tc>
          <w:tcPr>
            <w:tcW w:w="2424" w:type="dxa"/>
            <w:tcBorders>
              <w:top w:val="nil"/>
              <w:left w:val="nil"/>
              <w:bottom w:val="single" w:sz="4" w:space="0" w:color="auto"/>
              <w:right w:val="nil"/>
            </w:tcBorders>
            <w:noWrap/>
            <w:hideMark/>
          </w:tcPr>
          <w:p w14:paraId="43FB637D" w14:textId="68B57AAE" w:rsidR="00664BD9" w:rsidRPr="007801A8" w:rsidRDefault="00664BD9" w:rsidP="00A65E71">
            <w:pPr>
              <w:rPr>
                <w:rFonts w:ascii="Calibri" w:eastAsia="Times New Roman" w:hAnsi="Calibri" w:cs="Times New Roman"/>
                <w:color w:val="000000"/>
                <w:lang w:eastAsia="en-NZ"/>
              </w:rPr>
            </w:pPr>
            <w:r w:rsidRPr="0052001E">
              <w:rPr>
                <w:rFonts w:ascii="Calibri" w:eastAsia="Times New Roman" w:hAnsi="Calibri" w:cs="Times New Roman"/>
                <w:color w:val="000000"/>
                <w:lang w:eastAsia="en-NZ"/>
              </w:rPr>
              <w:t>Yes</w:t>
            </w:r>
          </w:p>
        </w:tc>
      </w:tr>
      <w:tr w:rsidR="00664BD9" w:rsidRPr="00C35785" w14:paraId="1EBB01F5" w14:textId="77777777" w:rsidTr="007801A8">
        <w:trPr>
          <w:trHeight w:val="300"/>
        </w:trPr>
        <w:tc>
          <w:tcPr>
            <w:tcW w:w="1943" w:type="dxa"/>
            <w:tcBorders>
              <w:top w:val="single" w:sz="4" w:space="0" w:color="auto"/>
              <w:left w:val="nil"/>
              <w:bottom w:val="nil"/>
              <w:right w:val="nil"/>
            </w:tcBorders>
            <w:hideMark/>
          </w:tcPr>
          <w:p w14:paraId="454EE3E0" w14:textId="3D20AC7C" w:rsidR="00664BD9" w:rsidRPr="00D12BB0" w:rsidRDefault="00582AC5">
            <w:pPr>
              <w:rPr>
                <w:rFonts w:ascii="Calibri" w:eastAsia="Times New Roman" w:hAnsi="Calibri" w:cs="Times New Roman"/>
                <w:color w:val="000000"/>
                <w:lang w:eastAsia="en-NZ"/>
              </w:rPr>
            </w:pPr>
            <w:r w:rsidRPr="007801A8">
              <w:rPr>
                <w:rFonts w:ascii="Calibri" w:eastAsia="Times New Roman" w:hAnsi="Calibri" w:cs="Times New Roman"/>
                <w:i/>
                <w:color w:val="000000"/>
                <w:lang w:eastAsia="en-NZ"/>
              </w:rPr>
              <w:t>Pseuo</w:t>
            </w:r>
            <w:r w:rsidR="00664BD9" w:rsidRPr="00D12BB0">
              <w:rPr>
                <w:rFonts w:ascii="Calibri" w:eastAsia="Times New Roman" w:hAnsi="Calibri" w:cs="Times New Roman"/>
                <w:color w:val="000000"/>
                <w:lang w:eastAsia="en-NZ"/>
              </w:rPr>
              <w:t xml:space="preserve"> </w:t>
            </w:r>
            <w:r w:rsidR="00664BD9" w:rsidRPr="00D12BB0">
              <w:rPr>
                <w:rFonts w:ascii="Calibri" w:eastAsia="Times New Roman" w:hAnsi="Calibri" w:cs="Times New Roman"/>
                <w:i/>
                <w:color w:val="000000"/>
                <w:lang w:eastAsia="en-NZ"/>
              </w:rPr>
              <w:t>R</w:t>
            </w:r>
            <w:r w:rsidR="00664BD9" w:rsidRPr="00D12BB0">
              <w:rPr>
                <w:rFonts w:ascii="Calibri" w:eastAsia="Times New Roman" w:hAnsi="Calibri" w:cs="Times New Roman"/>
                <w:i/>
                <w:color w:val="000000"/>
                <w:vertAlign w:val="superscript"/>
                <w:lang w:eastAsia="en-NZ"/>
              </w:rPr>
              <w:t>2</w:t>
            </w:r>
          </w:p>
        </w:tc>
        <w:tc>
          <w:tcPr>
            <w:tcW w:w="2423" w:type="dxa"/>
            <w:tcBorders>
              <w:top w:val="single" w:sz="4" w:space="0" w:color="auto"/>
              <w:left w:val="nil"/>
              <w:bottom w:val="nil"/>
              <w:right w:val="nil"/>
            </w:tcBorders>
            <w:noWrap/>
            <w:vAlign w:val="bottom"/>
          </w:tcPr>
          <w:p w14:paraId="7E88DCBE" w14:textId="2985F886" w:rsidR="00664BD9" w:rsidRPr="00E744A9" w:rsidRDefault="00664BD9">
            <w:pPr>
              <w:rPr>
                <w:rFonts w:ascii="Calibri" w:hAnsi="Calibri"/>
                <w:color w:val="000000"/>
              </w:rPr>
            </w:pPr>
            <w:r w:rsidRPr="00E744A9">
              <w:rPr>
                <w:rFonts w:ascii="Calibri" w:hAnsi="Calibri"/>
                <w:color w:val="000000"/>
              </w:rPr>
              <w:t>0.</w:t>
            </w:r>
            <w:r w:rsidR="00E744A9" w:rsidRPr="007801A8">
              <w:rPr>
                <w:rFonts w:ascii="Calibri" w:hAnsi="Calibri"/>
                <w:color w:val="000000"/>
              </w:rPr>
              <w:t>271</w:t>
            </w:r>
          </w:p>
        </w:tc>
        <w:tc>
          <w:tcPr>
            <w:tcW w:w="2424" w:type="dxa"/>
            <w:tcBorders>
              <w:top w:val="single" w:sz="4" w:space="0" w:color="auto"/>
              <w:left w:val="nil"/>
              <w:bottom w:val="nil"/>
              <w:right w:val="nil"/>
            </w:tcBorders>
            <w:noWrap/>
            <w:vAlign w:val="bottom"/>
          </w:tcPr>
          <w:p w14:paraId="63895317" w14:textId="139C009A" w:rsidR="00664BD9" w:rsidRPr="00E744A9" w:rsidRDefault="00664BD9">
            <w:pPr>
              <w:rPr>
                <w:rFonts w:ascii="Calibri" w:hAnsi="Calibri"/>
                <w:color w:val="000000"/>
              </w:rPr>
            </w:pPr>
            <w:r w:rsidRPr="00E744A9">
              <w:rPr>
                <w:rFonts w:ascii="Calibri" w:hAnsi="Calibri"/>
                <w:color w:val="000000"/>
              </w:rPr>
              <w:t>0.</w:t>
            </w:r>
            <w:r w:rsidR="00E744A9" w:rsidRPr="007801A8">
              <w:rPr>
                <w:rFonts w:ascii="Calibri" w:hAnsi="Calibri"/>
                <w:color w:val="000000"/>
              </w:rPr>
              <w:t>211</w:t>
            </w:r>
          </w:p>
        </w:tc>
        <w:tc>
          <w:tcPr>
            <w:tcW w:w="2424" w:type="dxa"/>
            <w:tcBorders>
              <w:top w:val="single" w:sz="4" w:space="0" w:color="auto"/>
              <w:left w:val="nil"/>
              <w:bottom w:val="nil"/>
              <w:right w:val="nil"/>
            </w:tcBorders>
            <w:noWrap/>
            <w:vAlign w:val="bottom"/>
          </w:tcPr>
          <w:p w14:paraId="2645931E" w14:textId="62CFD834" w:rsidR="00664BD9" w:rsidRPr="0052001E" w:rsidRDefault="00664BD9">
            <w:pPr>
              <w:rPr>
                <w:rFonts w:ascii="Calibri" w:hAnsi="Calibri"/>
                <w:color w:val="000000"/>
              </w:rPr>
            </w:pPr>
            <w:r w:rsidRPr="0052001E">
              <w:rPr>
                <w:rFonts w:ascii="Calibri" w:hAnsi="Calibri"/>
                <w:color w:val="000000"/>
              </w:rPr>
              <w:t>0.</w:t>
            </w:r>
            <w:r w:rsidR="0052001E" w:rsidRPr="007801A8">
              <w:rPr>
                <w:rFonts w:ascii="Calibri" w:hAnsi="Calibri"/>
                <w:color w:val="000000"/>
              </w:rPr>
              <w:t>626</w:t>
            </w:r>
          </w:p>
        </w:tc>
      </w:tr>
      <w:tr w:rsidR="00664BD9" w:rsidRPr="00C35785" w14:paraId="5A9CFCD4" w14:textId="77777777" w:rsidTr="007801A8">
        <w:trPr>
          <w:trHeight w:val="288"/>
        </w:trPr>
        <w:tc>
          <w:tcPr>
            <w:tcW w:w="1943" w:type="dxa"/>
            <w:tcBorders>
              <w:top w:val="nil"/>
              <w:left w:val="nil"/>
              <w:bottom w:val="nil"/>
              <w:right w:val="nil"/>
            </w:tcBorders>
            <w:hideMark/>
          </w:tcPr>
          <w:p w14:paraId="0746DBB7" w14:textId="5AA62EF0" w:rsidR="00664BD9" w:rsidRPr="007801A8" w:rsidRDefault="00E744A9" w:rsidP="006129BA">
            <w:pPr>
              <w:rPr>
                <w:rFonts w:ascii="Calibri" w:eastAsia="Times New Roman" w:hAnsi="Calibri" w:cs="Times New Roman"/>
                <w:i/>
                <w:color w:val="000000"/>
                <w:vertAlign w:val="superscript"/>
                <w:lang w:eastAsia="en-NZ"/>
              </w:rPr>
            </w:pPr>
            <w:r w:rsidRPr="007801A8">
              <w:rPr>
                <w:rFonts w:ascii="Calibri" w:eastAsia="Times New Roman" w:hAnsi="Calibri" w:cs="Times New Roman"/>
                <w:i/>
                <w:color w:val="000000"/>
                <w:lang w:eastAsia="en-NZ"/>
              </w:rPr>
              <w:t xml:space="preserve">Likelihood ratio </w:t>
            </w:r>
            <w:r w:rsidRPr="007801A8">
              <w:rPr>
                <w:rFonts w:ascii="Calibri" w:eastAsia="Times New Roman" w:hAnsi="Calibri" w:cs="Calibri"/>
                <w:i/>
                <w:color w:val="000000"/>
                <w:lang w:eastAsia="en-NZ"/>
              </w:rPr>
              <w:t>χ</w:t>
            </w:r>
            <w:r w:rsidRPr="007801A8">
              <w:rPr>
                <w:rFonts w:ascii="Calibri" w:eastAsia="Times New Roman" w:hAnsi="Calibri" w:cs="Times New Roman"/>
                <w:i/>
                <w:color w:val="000000"/>
                <w:vertAlign w:val="superscript"/>
                <w:lang w:eastAsia="en-NZ"/>
              </w:rPr>
              <w:t>2</w:t>
            </w:r>
          </w:p>
        </w:tc>
        <w:tc>
          <w:tcPr>
            <w:tcW w:w="2423" w:type="dxa"/>
            <w:tcBorders>
              <w:top w:val="nil"/>
              <w:left w:val="nil"/>
              <w:bottom w:val="nil"/>
              <w:right w:val="nil"/>
            </w:tcBorders>
            <w:noWrap/>
            <w:vAlign w:val="bottom"/>
          </w:tcPr>
          <w:p w14:paraId="4467A870" w14:textId="3463842E" w:rsidR="00664BD9" w:rsidRPr="00E744A9" w:rsidRDefault="00E744A9" w:rsidP="006129BA">
            <w:pPr>
              <w:rPr>
                <w:rFonts w:ascii="Calibri" w:hAnsi="Calibri"/>
                <w:color w:val="000000"/>
              </w:rPr>
            </w:pPr>
            <w:r w:rsidRPr="007801A8">
              <w:rPr>
                <w:rFonts w:ascii="Calibri" w:hAnsi="Calibri"/>
                <w:color w:val="000000"/>
              </w:rPr>
              <w:t>727.47***</w:t>
            </w:r>
          </w:p>
        </w:tc>
        <w:tc>
          <w:tcPr>
            <w:tcW w:w="2424" w:type="dxa"/>
            <w:tcBorders>
              <w:top w:val="nil"/>
              <w:left w:val="nil"/>
              <w:bottom w:val="nil"/>
              <w:right w:val="nil"/>
            </w:tcBorders>
            <w:noWrap/>
            <w:vAlign w:val="bottom"/>
          </w:tcPr>
          <w:p w14:paraId="57B5A9ED" w14:textId="68D2AE21" w:rsidR="00664BD9" w:rsidRPr="00E744A9" w:rsidRDefault="00E744A9">
            <w:pPr>
              <w:rPr>
                <w:rFonts w:ascii="Calibri" w:hAnsi="Calibri"/>
                <w:color w:val="000000"/>
              </w:rPr>
            </w:pPr>
            <w:r w:rsidRPr="007801A8">
              <w:rPr>
                <w:rFonts w:ascii="Calibri" w:hAnsi="Calibri"/>
                <w:color w:val="000000"/>
              </w:rPr>
              <w:t>316.34***</w:t>
            </w:r>
          </w:p>
        </w:tc>
        <w:tc>
          <w:tcPr>
            <w:tcW w:w="2424" w:type="dxa"/>
            <w:tcBorders>
              <w:top w:val="nil"/>
              <w:left w:val="nil"/>
              <w:bottom w:val="nil"/>
              <w:right w:val="nil"/>
            </w:tcBorders>
            <w:noWrap/>
            <w:vAlign w:val="bottom"/>
          </w:tcPr>
          <w:p w14:paraId="6F44CFBF" w14:textId="756F0486" w:rsidR="00664BD9" w:rsidRPr="0052001E" w:rsidRDefault="0052001E">
            <w:pPr>
              <w:rPr>
                <w:rFonts w:ascii="Calibri" w:hAnsi="Calibri"/>
                <w:color w:val="000000"/>
              </w:rPr>
            </w:pPr>
            <w:r w:rsidRPr="007801A8">
              <w:rPr>
                <w:rFonts w:ascii="Calibri" w:hAnsi="Calibri"/>
                <w:color w:val="000000"/>
              </w:rPr>
              <w:t>861.45***</w:t>
            </w:r>
          </w:p>
        </w:tc>
      </w:tr>
      <w:tr w:rsidR="00664BD9" w:rsidRPr="00C35785" w14:paraId="7C0602B5" w14:textId="77777777" w:rsidTr="007801A8">
        <w:trPr>
          <w:trHeight w:val="288"/>
        </w:trPr>
        <w:tc>
          <w:tcPr>
            <w:tcW w:w="1943" w:type="dxa"/>
            <w:tcBorders>
              <w:top w:val="nil"/>
              <w:left w:val="nil"/>
              <w:right w:val="nil"/>
            </w:tcBorders>
            <w:hideMark/>
          </w:tcPr>
          <w:p w14:paraId="396FADC4" w14:textId="77777777" w:rsidR="00664BD9" w:rsidRPr="00D12BB0" w:rsidRDefault="00664BD9" w:rsidP="006129BA">
            <w:pPr>
              <w:rPr>
                <w:rFonts w:ascii="Calibri" w:eastAsia="Times New Roman" w:hAnsi="Calibri" w:cs="Times New Roman"/>
                <w:color w:val="000000"/>
                <w:lang w:eastAsia="en-NZ"/>
              </w:rPr>
            </w:pPr>
            <w:r w:rsidRPr="00D12BB0">
              <w:rPr>
                <w:rFonts w:ascii="Calibri" w:eastAsia="Times New Roman" w:hAnsi="Calibri" w:cs="Times New Roman"/>
                <w:color w:val="000000"/>
                <w:lang w:eastAsia="en-NZ"/>
              </w:rPr>
              <w:t>Obs</w:t>
            </w:r>
          </w:p>
        </w:tc>
        <w:tc>
          <w:tcPr>
            <w:tcW w:w="2423" w:type="dxa"/>
            <w:tcBorders>
              <w:top w:val="nil"/>
              <w:left w:val="nil"/>
              <w:right w:val="nil"/>
            </w:tcBorders>
            <w:noWrap/>
            <w:vAlign w:val="bottom"/>
          </w:tcPr>
          <w:p w14:paraId="0C6A1A70" w14:textId="3F0D6F08" w:rsidR="00664BD9" w:rsidRPr="00E744A9" w:rsidRDefault="00E744A9">
            <w:pPr>
              <w:rPr>
                <w:rFonts w:ascii="Calibri" w:hAnsi="Calibri"/>
                <w:color w:val="000000"/>
              </w:rPr>
            </w:pPr>
            <w:r>
              <w:rPr>
                <w:rFonts w:ascii="Calibri" w:hAnsi="Calibri"/>
                <w:color w:val="000000"/>
              </w:rPr>
              <w:t>3220</w:t>
            </w:r>
          </w:p>
        </w:tc>
        <w:tc>
          <w:tcPr>
            <w:tcW w:w="2424" w:type="dxa"/>
            <w:tcBorders>
              <w:top w:val="nil"/>
              <w:left w:val="nil"/>
              <w:right w:val="nil"/>
            </w:tcBorders>
            <w:noWrap/>
            <w:vAlign w:val="bottom"/>
          </w:tcPr>
          <w:p w14:paraId="5D84F32F" w14:textId="0169648B" w:rsidR="00664BD9" w:rsidRPr="00E744A9" w:rsidRDefault="00E744A9">
            <w:pPr>
              <w:rPr>
                <w:rFonts w:ascii="Calibri" w:hAnsi="Calibri"/>
                <w:color w:val="000000"/>
              </w:rPr>
            </w:pPr>
            <w:r w:rsidRPr="007801A8">
              <w:rPr>
                <w:rFonts w:ascii="Calibri" w:hAnsi="Calibri"/>
                <w:color w:val="000000"/>
              </w:rPr>
              <w:t>1856</w:t>
            </w:r>
          </w:p>
        </w:tc>
        <w:tc>
          <w:tcPr>
            <w:tcW w:w="2424" w:type="dxa"/>
            <w:tcBorders>
              <w:top w:val="nil"/>
              <w:left w:val="nil"/>
              <w:right w:val="nil"/>
            </w:tcBorders>
            <w:noWrap/>
            <w:vAlign w:val="bottom"/>
          </w:tcPr>
          <w:p w14:paraId="50722A44" w14:textId="4342EBC8" w:rsidR="00664BD9" w:rsidRPr="0052001E" w:rsidRDefault="0052001E">
            <w:pPr>
              <w:rPr>
                <w:rFonts w:ascii="Calibri" w:hAnsi="Calibri"/>
                <w:color w:val="000000"/>
              </w:rPr>
            </w:pPr>
            <w:r w:rsidRPr="007801A8">
              <w:rPr>
                <w:rFonts w:ascii="Calibri" w:hAnsi="Calibri"/>
                <w:color w:val="000000"/>
              </w:rPr>
              <w:t>1364</w:t>
            </w:r>
          </w:p>
        </w:tc>
      </w:tr>
    </w:tbl>
    <w:p w14:paraId="7680620A" w14:textId="77777777" w:rsidR="006865F9" w:rsidRDefault="006865F9" w:rsidP="004A6B0C">
      <w:pPr>
        <w:jc w:val="both"/>
      </w:pPr>
    </w:p>
    <w:p w14:paraId="43EABD07" w14:textId="215B59B7" w:rsidR="00FF378F" w:rsidRDefault="00B72AE4" w:rsidP="004A6B0C">
      <w:pPr>
        <w:jc w:val="both"/>
      </w:pPr>
      <w:r>
        <w:t xml:space="preserve">This table reports the results of probit regressions of the determinants of firms’ decisions for high </w:t>
      </w:r>
      <w:r w:rsidR="006716DF">
        <w:t>transparency</w:t>
      </w:r>
      <w:r>
        <w:t xml:space="preserve"> for project announcements. The dependent variable is </w:t>
      </w:r>
      <w:r w:rsidR="00D12BB0">
        <w:t xml:space="preserve">a dummy variable equal to one if a firm’s project forecast profitability and cost </w:t>
      </w:r>
      <w:r w:rsidR="002A64B7">
        <w:t>transparency</w:t>
      </w:r>
      <w:r w:rsidR="00D12BB0">
        <w:t xml:space="preserve"> is high, and zero if the profitability and cost </w:t>
      </w:r>
      <w:r w:rsidR="002A64B7">
        <w:t>transparency</w:t>
      </w:r>
      <w:r w:rsidR="00D12BB0">
        <w:t xml:space="preserve"> is low. </w:t>
      </w:r>
      <w:r w:rsidR="00B73783">
        <w:t xml:space="preserve">Trading variables </w:t>
      </w:r>
      <w:r w:rsidR="00B73783" w:rsidRPr="007801A8">
        <w:rPr>
          <w:i/>
        </w:rPr>
        <w:t>BAS, Price</w:t>
      </w:r>
      <w:r w:rsidR="00805BAC">
        <w:t xml:space="preserve"> and </w:t>
      </w:r>
      <w:r w:rsidR="00805BAC" w:rsidRPr="007801A8">
        <w:rPr>
          <w:i/>
        </w:rPr>
        <w:t>Volume</w:t>
      </w:r>
      <w:r w:rsidR="00B73783" w:rsidRPr="007801A8">
        <w:rPr>
          <w:i/>
        </w:rPr>
        <w:t xml:space="preserve"> </w:t>
      </w:r>
      <w:r w:rsidR="00B73783">
        <w:t xml:space="preserve">are </w:t>
      </w:r>
      <w:r w:rsidR="00805BAC">
        <w:t>daily observations over</w:t>
      </w:r>
      <w:r w:rsidR="00B73783">
        <w:t xml:space="preserve"> the pre-event window </w:t>
      </w:r>
      <w:r w:rsidR="00134659">
        <w:t>[-20,-1]</w:t>
      </w:r>
      <w:r w:rsidR="00805BAC">
        <w:t xml:space="preserve">, while </w:t>
      </w:r>
      <w:r w:rsidR="00805BAC" w:rsidRPr="004345A0">
        <w:rPr>
          <w:i/>
        </w:rPr>
        <w:t xml:space="preserve">Volatility, </w:t>
      </w:r>
      <w:r w:rsidR="00805BAC" w:rsidRPr="007801A8">
        <w:rPr>
          <w:i/>
        </w:rPr>
        <w:t>Size</w:t>
      </w:r>
      <w:r w:rsidR="00805BAC">
        <w:t xml:space="preserve"> and </w:t>
      </w:r>
      <w:r w:rsidR="00805BAC" w:rsidRPr="007801A8">
        <w:rPr>
          <w:i/>
        </w:rPr>
        <w:t>Turnover</w:t>
      </w:r>
      <w:r w:rsidR="00805BAC">
        <w:t xml:space="preserve"> are averaged over 100 days ending 21 days before the announcement. </w:t>
      </w:r>
      <w:r w:rsidR="00805BAC" w:rsidRPr="00C774E8">
        <w:t xml:space="preserve">See Appendix </w:t>
      </w:r>
      <w:r w:rsidR="00805BAC">
        <w:t>2</w:t>
      </w:r>
      <w:r w:rsidR="00805BAC" w:rsidRPr="00C774E8">
        <w:t xml:space="preserve"> for variable definitions. </w:t>
      </w:r>
      <w:r w:rsidR="00D12BB0" w:rsidRPr="005C68E8">
        <w:t xml:space="preserve">Standard error estimates are reported in brackets. </w:t>
      </w:r>
      <w:r w:rsidR="004A6B0C" w:rsidRPr="005C68E8">
        <w:t>***, ** and * denote significance at the 1%, 5% and 10% levels, respectively.</w:t>
      </w:r>
    </w:p>
    <w:p w14:paraId="318F57EB" w14:textId="13816987" w:rsidR="00AA025D" w:rsidRDefault="00AA025D" w:rsidP="004A6B0C">
      <w:pPr>
        <w:jc w:val="both"/>
      </w:pPr>
    </w:p>
    <w:p w14:paraId="24BE81C8" w14:textId="15A8E8F7" w:rsidR="00FF378F" w:rsidRDefault="00FF378F"/>
    <w:p w14:paraId="599805E1" w14:textId="04EB78BB" w:rsidR="004018E2" w:rsidRDefault="004018E2">
      <w:pPr>
        <w:sectPr w:rsidR="004018E2" w:rsidSect="00A556AF">
          <w:footerReference w:type="default" r:id="rId20"/>
          <w:pgSz w:w="11906" w:h="16838"/>
          <w:pgMar w:top="1440" w:right="1440" w:bottom="1440" w:left="1440" w:header="708" w:footer="708" w:gutter="0"/>
          <w:cols w:space="708"/>
          <w:titlePg/>
          <w:docGrid w:linePitch="360"/>
        </w:sectPr>
      </w:pPr>
    </w:p>
    <w:p w14:paraId="0C60F8EB" w14:textId="383831C6" w:rsidR="00664BD9" w:rsidRDefault="00664BD9"/>
    <w:p w14:paraId="74EA1782" w14:textId="30B5F706" w:rsidR="00664BD9" w:rsidRPr="00C35785" w:rsidRDefault="00664BD9" w:rsidP="00664BD9">
      <w:pPr>
        <w:rPr>
          <w:highlight w:val="yellow"/>
        </w:rPr>
      </w:pPr>
      <w:r w:rsidRPr="004A6B0C">
        <w:rPr>
          <w:b/>
        </w:rPr>
        <w:t xml:space="preserve">Table </w:t>
      </w:r>
      <w:r w:rsidR="0084597F">
        <w:rPr>
          <w:b/>
        </w:rPr>
        <w:t>10</w:t>
      </w:r>
      <w:r w:rsidRPr="004A6B0C">
        <w:rPr>
          <w:b/>
        </w:rPr>
        <w:t xml:space="preserve">  Cross</w:t>
      </w:r>
      <w:r w:rsidRPr="00212E7B">
        <w:rPr>
          <w:b/>
        </w:rPr>
        <w:t>-sectional regression</w:t>
      </w:r>
      <w:r w:rsidRPr="00B134B8">
        <w:rPr>
          <w:b/>
        </w:rPr>
        <w:t xml:space="preserve"> </w:t>
      </w:r>
      <w:r>
        <w:rPr>
          <w:b/>
        </w:rPr>
        <w:t>of p</w:t>
      </w:r>
      <w:r w:rsidRPr="00B134B8">
        <w:rPr>
          <w:b/>
        </w:rPr>
        <w:t>roject</w:t>
      </w:r>
      <w:r w:rsidRPr="00212E7B">
        <w:rPr>
          <w:b/>
        </w:rPr>
        <w:t xml:space="preserve"> announcement </w:t>
      </w:r>
      <w:r>
        <w:rPr>
          <w:b/>
        </w:rPr>
        <w:t>bid-ask spread</w:t>
      </w:r>
    </w:p>
    <w:p w14:paraId="5394CDF6" w14:textId="77777777" w:rsidR="00664BD9" w:rsidRPr="00C35785" w:rsidRDefault="00664BD9" w:rsidP="00664BD9">
      <w:pPr>
        <w:rPr>
          <w:highlight w:val="yellow"/>
        </w:rPr>
      </w:pPr>
    </w:p>
    <w:tbl>
      <w:tblPr>
        <w:tblStyle w:val="TableGrid"/>
        <w:tblW w:w="12333" w:type="dxa"/>
        <w:tblLayout w:type="fixed"/>
        <w:tblLook w:val="04A0" w:firstRow="1" w:lastRow="0" w:firstColumn="1" w:lastColumn="0" w:noHBand="0" w:noVBand="1"/>
      </w:tblPr>
      <w:tblGrid>
        <w:gridCol w:w="2303"/>
        <w:gridCol w:w="1485"/>
        <w:gridCol w:w="1485"/>
        <w:gridCol w:w="917"/>
        <w:gridCol w:w="568"/>
        <w:gridCol w:w="1485"/>
        <w:gridCol w:w="1396"/>
        <w:gridCol w:w="89"/>
        <w:gridCol w:w="1485"/>
        <w:gridCol w:w="1120"/>
      </w:tblGrid>
      <w:tr w:rsidR="004A0629" w:rsidRPr="00C35785" w14:paraId="2E6546FE" w14:textId="77777777" w:rsidTr="00BC1909">
        <w:tc>
          <w:tcPr>
            <w:tcW w:w="2303" w:type="dxa"/>
            <w:tcBorders>
              <w:left w:val="nil"/>
              <w:bottom w:val="nil"/>
              <w:right w:val="nil"/>
            </w:tcBorders>
          </w:tcPr>
          <w:p w14:paraId="760A481D" w14:textId="77777777" w:rsidR="004A0629" w:rsidRPr="00A21800" w:rsidRDefault="004A0629" w:rsidP="00A769C1">
            <w:pPr>
              <w:rPr>
                <w:highlight w:val="yellow"/>
              </w:rPr>
            </w:pPr>
          </w:p>
        </w:tc>
        <w:tc>
          <w:tcPr>
            <w:tcW w:w="3887" w:type="dxa"/>
            <w:gridSpan w:val="3"/>
            <w:tcBorders>
              <w:left w:val="nil"/>
              <w:bottom w:val="single" w:sz="4" w:space="0" w:color="auto"/>
              <w:right w:val="nil"/>
            </w:tcBorders>
            <w:shd w:val="clear" w:color="auto" w:fill="auto"/>
          </w:tcPr>
          <w:p w14:paraId="5E08A84D" w14:textId="14068267" w:rsidR="004A0629" w:rsidRPr="00804CED" w:rsidRDefault="004A0629" w:rsidP="00A769C1">
            <w:pPr>
              <w:jc w:val="center"/>
            </w:pPr>
            <w:r w:rsidRPr="007801A8">
              <w:t>Full Sample</w:t>
            </w:r>
          </w:p>
        </w:tc>
        <w:tc>
          <w:tcPr>
            <w:tcW w:w="3449" w:type="dxa"/>
            <w:gridSpan w:val="3"/>
            <w:tcBorders>
              <w:left w:val="nil"/>
              <w:bottom w:val="single" w:sz="4" w:space="0" w:color="auto"/>
              <w:right w:val="nil"/>
            </w:tcBorders>
            <w:shd w:val="clear" w:color="auto" w:fill="auto"/>
          </w:tcPr>
          <w:p w14:paraId="411A38F9" w14:textId="77777777" w:rsidR="004A0629" w:rsidRPr="00804CED" w:rsidRDefault="004A0629" w:rsidP="00C245AA">
            <w:pPr>
              <w:jc w:val="center"/>
            </w:pPr>
            <w:r w:rsidRPr="006A77ED">
              <w:rPr>
                <w:i/>
              </w:rPr>
              <w:t>CAR</w:t>
            </w:r>
            <w:r w:rsidRPr="007801A8">
              <w:t>&gt;0</w:t>
            </w:r>
          </w:p>
        </w:tc>
        <w:tc>
          <w:tcPr>
            <w:tcW w:w="2694" w:type="dxa"/>
            <w:gridSpan w:val="3"/>
            <w:tcBorders>
              <w:left w:val="nil"/>
              <w:bottom w:val="single" w:sz="4" w:space="0" w:color="auto"/>
              <w:right w:val="nil"/>
            </w:tcBorders>
          </w:tcPr>
          <w:p w14:paraId="04D976E1" w14:textId="5EE1C41B" w:rsidR="004A0629" w:rsidRPr="008E7762" w:rsidRDefault="004A0629" w:rsidP="007801A8">
            <w:pPr>
              <w:jc w:val="center"/>
              <w:rPr>
                <w:highlight w:val="yellow"/>
              </w:rPr>
            </w:pPr>
            <w:r w:rsidRPr="006A77ED">
              <w:rPr>
                <w:i/>
              </w:rPr>
              <w:t>CAR</w:t>
            </w:r>
            <w:r w:rsidRPr="007801A8">
              <w:t>&lt;0</w:t>
            </w:r>
          </w:p>
        </w:tc>
      </w:tr>
      <w:tr w:rsidR="008E390D" w:rsidRPr="00C35785" w14:paraId="21C79D29" w14:textId="1ED81181" w:rsidTr="00BC1909">
        <w:tc>
          <w:tcPr>
            <w:tcW w:w="2303" w:type="dxa"/>
            <w:tcBorders>
              <w:top w:val="nil"/>
              <w:left w:val="nil"/>
              <w:bottom w:val="single" w:sz="4" w:space="0" w:color="auto"/>
              <w:right w:val="nil"/>
            </w:tcBorders>
          </w:tcPr>
          <w:p w14:paraId="0EAE3A66" w14:textId="77777777" w:rsidR="008E390D" w:rsidRPr="00A21800" w:rsidRDefault="008E390D" w:rsidP="008E390D">
            <w:pPr>
              <w:rPr>
                <w:highlight w:val="yellow"/>
              </w:rPr>
            </w:pPr>
          </w:p>
        </w:tc>
        <w:tc>
          <w:tcPr>
            <w:tcW w:w="1485" w:type="dxa"/>
            <w:tcBorders>
              <w:left w:val="nil"/>
              <w:bottom w:val="single" w:sz="4" w:space="0" w:color="auto"/>
              <w:right w:val="nil"/>
            </w:tcBorders>
            <w:shd w:val="clear" w:color="auto" w:fill="auto"/>
          </w:tcPr>
          <w:p w14:paraId="30FB96EF" w14:textId="77777777" w:rsidR="008E390D" w:rsidRDefault="008E390D">
            <w:r w:rsidRPr="007801A8">
              <w:t xml:space="preserve">(1) </w:t>
            </w:r>
          </w:p>
          <w:p w14:paraId="02EECC68" w14:textId="488D7688" w:rsidR="008E390D" w:rsidRPr="007801A8" w:rsidRDefault="00134659">
            <w:r>
              <w:t>[+1,+20]</w:t>
            </w:r>
          </w:p>
        </w:tc>
        <w:tc>
          <w:tcPr>
            <w:tcW w:w="1485" w:type="dxa"/>
            <w:tcBorders>
              <w:left w:val="nil"/>
              <w:bottom w:val="single" w:sz="4" w:space="0" w:color="auto"/>
              <w:right w:val="nil"/>
            </w:tcBorders>
          </w:tcPr>
          <w:p w14:paraId="7467EF15" w14:textId="04FC848F" w:rsidR="008E390D" w:rsidRPr="007801A8" w:rsidRDefault="008E390D">
            <w:r w:rsidRPr="007801A8">
              <w:t xml:space="preserve">(2) </w:t>
            </w:r>
          </w:p>
          <w:p w14:paraId="0C22C89F" w14:textId="760909F5" w:rsidR="008E390D" w:rsidRPr="007801A8" w:rsidRDefault="00134659">
            <w:r>
              <w:t>[-20,+20]</w:t>
            </w:r>
          </w:p>
        </w:tc>
        <w:tc>
          <w:tcPr>
            <w:tcW w:w="1485" w:type="dxa"/>
            <w:gridSpan w:val="2"/>
            <w:tcBorders>
              <w:left w:val="nil"/>
              <w:bottom w:val="single" w:sz="4" w:space="0" w:color="auto"/>
              <w:right w:val="nil"/>
            </w:tcBorders>
          </w:tcPr>
          <w:p w14:paraId="74A821CC" w14:textId="11526B92" w:rsidR="008E390D" w:rsidRPr="007801A8" w:rsidRDefault="008E390D" w:rsidP="008E390D">
            <w:r w:rsidRPr="007801A8">
              <w:t xml:space="preserve">(3) </w:t>
            </w:r>
          </w:p>
          <w:p w14:paraId="50816726" w14:textId="53CFF1F1" w:rsidR="008E390D" w:rsidRPr="008E7762" w:rsidRDefault="00134659">
            <w:pPr>
              <w:rPr>
                <w:highlight w:val="yellow"/>
              </w:rPr>
            </w:pPr>
            <w:r>
              <w:t>[-20,+20]</w:t>
            </w:r>
          </w:p>
        </w:tc>
        <w:tc>
          <w:tcPr>
            <w:tcW w:w="1485" w:type="dxa"/>
            <w:tcBorders>
              <w:left w:val="nil"/>
              <w:bottom w:val="single" w:sz="4" w:space="0" w:color="auto"/>
              <w:right w:val="nil"/>
            </w:tcBorders>
          </w:tcPr>
          <w:p w14:paraId="5BBC3162" w14:textId="6EFC1B7D" w:rsidR="008E390D" w:rsidRPr="007801A8" w:rsidRDefault="008E390D" w:rsidP="008E390D">
            <w:r w:rsidRPr="007801A8">
              <w:t xml:space="preserve">(4) </w:t>
            </w:r>
          </w:p>
          <w:p w14:paraId="1B748C21" w14:textId="6B8180CA" w:rsidR="008E390D" w:rsidRPr="007801A8" w:rsidRDefault="00134659" w:rsidP="008E390D">
            <w:r>
              <w:t>[-20,+20]</w:t>
            </w:r>
          </w:p>
        </w:tc>
        <w:tc>
          <w:tcPr>
            <w:tcW w:w="1485" w:type="dxa"/>
            <w:gridSpan w:val="2"/>
            <w:tcBorders>
              <w:left w:val="nil"/>
              <w:bottom w:val="single" w:sz="4" w:space="0" w:color="auto"/>
              <w:right w:val="nil"/>
            </w:tcBorders>
          </w:tcPr>
          <w:p w14:paraId="4F105D57" w14:textId="5495D022" w:rsidR="008E390D" w:rsidRPr="007801A8" w:rsidRDefault="008E390D" w:rsidP="008E390D">
            <w:r w:rsidRPr="007801A8">
              <w:t>(</w:t>
            </w:r>
            <w:r>
              <w:t>5</w:t>
            </w:r>
            <w:r w:rsidRPr="007801A8">
              <w:t xml:space="preserve">) </w:t>
            </w:r>
          </w:p>
          <w:p w14:paraId="4C8FE26D" w14:textId="6236C835" w:rsidR="008E390D" w:rsidRPr="007801A8" w:rsidRDefault="00134659">
            <w:r>
              <w:t>[-20,+20]</w:t>
            </w:r>
          </w:p>
        </w:tc>
        <w:tc>
          <w:tcPr>
            <w:tcW w:w="1485" w:type="dxa"/>
            <w:tcBorders>
              <w:left w:val="nil"/>
              <w:bottom w:val="single" w:sz="4" w:space="0" w:color="auto"/>
              <w:right w:val="nil"/>
            </w:tcBorders>
          </w:tcPr>
          <w:p w14:paraId="7685E52B" w14:textId="1E50514B" w:rsidR="008E390D" w:rsidRPr="007801A8" w:rsidRDefault="008E390D" w:rsidP="008E390D">
            <w:r w:rsidRPr="007801A8">
              <w:t xml:space="preserve">(6) </w:t>
            </w:r>
          </w:p>
          <w:p w14:paraId="2A0E4BA9" w14:textId="6AAB78C9" w:rsidR="008E390D" w:rsidRPr="007801A8" w:rsidRDefault="00134659" w:rsidP="008E390D">
            <w:r>
              <w:t>[-20,+20]</w:t>
            </w:r>
          </w:p>
        </w:tc>
        <w:tc>
          <w:tcPr>
            <w:tcW w:w="1120" w:type="dxa"/>
            <w:tcBorders>
              <w:left w:val="nil"/>
              <w:bottom w:val="single" w:sz="4" w:space="0" w:color="auto"/>
              <w:right w:val="nil"/>
            </w:tcBorders>
          </w:tcPr>
          <w:p w14:paraId="60C1C520" w14:textId="4DA3624F" w:rsidR="008E390D" w:rsidRPr="007801A8" w:rsidRDefault="008E390D" w:rsidP="008E390D">
            <w:r w:rsidRPr="007801A8">
              <w:t>(</w:t>
            </w:r>
            <w:r w:rsidR="004A0629">
              <w:t>7</w:t>
            </w:r>
            <w:r w:rsidRPr="007801A8">
              <w:t xml:space="preserve">) </w:t>
            </w:r>
          </w:p>
          <w:p w14:paraId="622440F3" w14:textId="4F45A790" w:rsidR="008E390D" w:rsidRPr="007801A8" w:rsidRDefault="00134659" w:rsidP="008E390D">
            <w:r>
              <w:t>[-20,+20]</w:t>
            </w:r>
          </w:p>
        </w:tc>
      </w:tr>
      <w:tr w:rsidR="008E390D" w:rsidRPr="00C35785" w14:paraId="08549D20" w14:textId="1477CDBB" w:rsidTr="007801A8">
        <w:trPr>
          <w:trHeight w:val="288"/>
        </w:trPr>
        <w:tc>
          <w:tcPr>
            <w:tcW w:w="2303" w:type="dxa"/>
            <w:tcBorders>
              <w:left w:val="nil"/>
              <w:bottom w:val="nil"/>
              <w:right w:val="nil"/>
            </w:tcBorders>
            <w:noWrap/>
          </w:tcPr>
          <w:p w14:paraId="01E4FFA5"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DQ</w:t>
            </w:r>
          </w:p>
        </w:tc>
        <w:tc>
          <w:tcPr>
            <w:tcW w:w="1485" w:type="dxa"/>
            <w:tcBorders>
              <w:left w:val="nil"/>
              <w:bottom w:val="nil"/>
              <w:right w:val="nil"/>
            </w:tcBorders>
            <w:shd w:val="clear" w:color="auto" w:fill="auto"/>
            <w:vAlign w:val="bottom"/>
          </w:tcPr>
          <w:p w14:paraId="11245E10" w14:textId="70E2A812" w:rsidR="008E390D" w:rsidRPr="007801A8" w:rsidRDefault="008E390D" w:rsidP="008E390D">
            <w:pPr>
              <w:rPr>
                <w:rFonts w:ascii="Calibri" w:hAnsi="Calibri"/>
                <w:color w:val="000000"/>
              </w:rPr>
            </w:pPr>
            <w:r w:rsidRPr="007801A8">
              <w:rPr>
                <w:rFonts w:ascii="Calibri" w:hAnsi="Calibri"/>
                <w:color w:val="000000"/>
              </w:rPr>
              <w:t>-0.005**</w:t>
            </w:r>
          </w:p>
          <w:p w14:paraId="772D710D" w14:textId="4FBEC845" w:rsidR="008E390D" w:rsidRPr="007801A8" w:rsidRDefault="008E390D">
            <w:pPr>
              <w:rPr>
                <w:rFonts w:ascii="Calibri" w:hAnsi="Calibri"/>
                <w:color w:val="000000"/>
              </w:rPr>
            </w:pPr>
            <w:r w:rsidRPr="007801A8">
              <w:rPr>
                <w:rFonts w:ascii="Calibri" w:hAnsi="Calibri"/>
                <w:color w:val="000000"/>
              </w:rPr>
              <w:t>(-2.29)</w:t>
            </w:r>
          </w:p>
        </w:tc>
        <w:tc>
          <w:tcPr>
            <w:tcW w:w="1485" w:type="dxa"/>
            <w:tcBorders>
              <w:left w:val="nil"/>
              <w:bottom w:val="nil"/>
              <w:right w:val="nil"/>
            </w:tcBorders>
            <w:noWrap/>
            <w:vAlign w:val="bottom"/>
          </w:tcPr>
          <w:p w14:paraId="493016F0" w14:textId="02D7C680" w:rsidR="008E390D" w:rsidRPr="007801A8" w:rsidRDefault="008E390D" w:rsidP="008E390D">
            <w:pPr>
              <w:rPr>
                <w:rFonts w:ascii="Calibri" w:hAnsi="Calibri"/>
                <w:color w:val="000000"/>
              </w:rPr>
            </w:pPr>
            <w:r w:rsidRPr="007801A8">
              <w:rPr>
                <w:rFonts w:ascii="Calibri" w:hAnsi="Calibri"/>
                <w:color w:val="000000"/>
              </w:rPr>
              <w:t>-0.008***</w:t>
            </w:r>
          </w:p>
          <w:p w14:paraId="54ECBF4B" w14:textId="21EB80C0" w:rsidR="008E390D" w:rsidRPr="007801A8" w:rsidRDefault="008E390D">
            <w:pPr>
              <w:rPr>
                <w:rFonts w:ascii="Calibri" w:hAnsi="Calibri"/>
                <w:color w:val="000000"/>
              </w:rPr>
            </w:pPr>
            <w:r w:rsidRPr="007801A8">
              <w:rPr>
                <w:rFonts w:ascii="Calibri" w:hAnsi="Calibri"/>
                <w:color w:val="000000"/>
              </w:rPr>
              <w:t>(-4.27)</w:t>
            </w:r>
          </w:p>
        </w:tc>
        <w:tc>
          <w:tcPr>
            <w:tcW w:w="1485" w:type="dxa"/>
            <w:gridSpan w:val="2"/>
            <w:tcBorders>
              <w:left w:val="nil"/>
              <w:bottom w:val="nil"/>
              <w:right w:val="nil"/>
            </w:tcBorders>
            <w:noWrap/>
            <w:vAlign w:val="bottom"/>
          </w:tcPr>
          <w:p w14:paraId="19738361" w14:textId="35F8FA58" w:rsidR="008E390D" w:rsidRPr="007801A8" w:rsidRDefault="008E390D" w:rsidP="008E390D">
            <w:pPr>
              <w:rPr>
                <w:rFonts w:ascii="Calibri" w:hAnsi="Calibri"/>
                <w:color w:val="000000"/>
              </w:rPr>
            </w:pPr>
            <w:r w:rsidRPr="007801A8">
              <w:rPr>
                <w:rFonts w:ascii="Calibri" w:hAnsi="Calibri"/>
                <w:color w:val="000000"/>
              </w:rPr>
              <w:t>-0.010***</w:t>
            </w:r>
          </w:p>
          <w:p w14:paraId="7F83DFA0" w14:textId="2D583149" w:rsidR="008E390D" w:rsidRPr="008E7762" w:rsidRDefault="008E390D">
            <w:pPr>
              <w:rPr>
                <w:rFonts w:ascii="Calibri" w:hAnsi="Calibri"/>
                <w:color w:val="000000"/>
                <w:highlight w:val="yellow"/>
              </w:rPr>
            </w:pPr>
            <w:r w:rsidRPr="007801A8">
              <w:rPr>
                <w:rFonts w:ascii="Calibri" w:hAnsi="Calibri"/>
                <w:color w:val="000000"/>
              </w:rPr>
              <w:t>(-3.64)</w:t>
            </w:r>
          </w:p>
        </w:tc>
        <w:tc>
          <w:tcPr>
            <w:tcW w:w="1485" w:type="dxa"/>
            <w:tcBorders>
              <w:left w:val="nil"/>
              <w:bottom w:val="nil"/>
              <w:right w:val="nil"/>
            </w:tcBorders>
            <w:vAlign w:val="bottom"/>
          </w:tcPr>
          <w:p w14:paraId="49331E5B" w14:textId="60E37BDF" w:rsidR="008E390D" w:rsidRPr="007801A8" w:rsidRDefault="008E390D" w:rsidP="008E390D">
            <w:pPr>
              <w:rPr>
                <w:rFonts w:ascii="Calibri" w:hAnsi="Calibri"/>
                <w:color w:val="000000"/>
              </w:rPr>
            </w:pPr>
            <w:r w:rsidRPr="007801A8">
              <w:rPr>
                <w:rFonts w:ascii="Calibri" w:hAnsi="Calibri"/>
                <w:color w:val="000000"/>
              </w:rPr>
              <w:t>-0.002</w:t>
            </w:r>
          </w:p>
          <w:p w14:paraId="207B5A85" w14:textId="0079373C" w:rsidR="008E390D" w:rsidRPr="007801A8" w:rsidRDefault="008E390D">
            <w:pPr>
              <w:rPr>
                <w:rFonts w:ascii="Calibri" w:hAnsi="Calibri"/>
                <w:color w:val="000000"/>
              </w:rPr>
            </w:pPr>
            <w:r w:rsidRPr="007801A8">
              <w:rPr>
                <w:rFonts w:ascii="Calibri" w:hAnsi="Calibri"/>
                <w:color w:val="000000"/>
              </w:rPr>
              <w:t>(-0.94)</w:t>
            </w:r>
          </w:p>
        </w:tc>
        <w:tc>
          <w:tcPr>
            <w:tcW w:w="1485" w:type="dxa"/>
            <w:gridSpan w:val="2"/>
            <w:tcBorders>
              <w:left w:val="nil"/>
              <w:bottom w:val="nil"/>
              <w:right w:val="nil"/>
            </w:tcBorders>
            <w:noWrap/>
            <w:vAlign w:val="bottom"/>
          </w:tcPr>
          <w:p w14:paraId="084A8F96" w14:textId="2E9D8BD1" w:rsidR="008E390D" w:rsidRPr="005424EC" w:rsidRDefault="008E390D" w:rsidP="008E390D">
            <w:pPr>
              <w:rPr>
                <w:rFonts w:ascii="Calibri" w:hAnsi="Calibri"/>
                <w:color w:val="000000"/>
              </w:rPr>
            </w:pPr>
            <w:r w:rsidRPr="005424EC">
              <w:rPr>
                <w:rFonts w:ascii="Calibri" w:hAnsi="Calibri"/>
                <w:color w:val="000000"/>
              </w:rPr>
              <w:t>-0.001</w:t>
            </w:r>
          </w:p>
          <w:p w14:paraId="4DE8A73F" w14:textId="4F8C324D" w:rsidR="008E390D" w:rsidRPr="007801A8" w:rsidRDefault="008E390D">
            <w:pPr>
              <w:rPr>
                <w:rFonts w:ascii="Calibri" w:hAnsi="Calibri"/>
                <w:color w:val="000000"/>
              </w:rPr>
            </w:pPr>
            <w:r w:rsidRPr="005424EC">
              <w:rPr>
                <w:rFonts w:ascii="Calibri" w:hAnsi="Calibri"/>
                <w:color w:val="000000"/>
              </w:rPr>
              <w:t>(-0.34)</w:t>
            </w:r>
          </w:p>
        </w:tc>
        <w:tc>
          <w:tcPr>
            <w:tcW w:w="1485" w:type="dxa"/>
            <w:tcBorders>
              <w:left w:val="nil"/>
              <w:bottom w:val="nil"/>
              <w:right w:val="nil"/>
            </w:tcBorders>
            <w:vAlign w:val="bottom"/>
          </w:tcPr>
          <w:p w14:paraId="42C98919" w14:textId="450621EF" w:rsidR="008E390D" w:rsidRPr="007801A8" w:rsidRDefault="008E390D" w:rsidP="008E390D">
            <w:pPr>
              <w:rPr>
                <w:rFonts w:ascii="Calibri" w:hAnsi="Calibri"/>
                <w:color w:val="000000"/>
              </w:rPr>
            </w:pPr>
            <w:r w:rsidRPr="007801A8">
              <w:rPr>
                <w:rFonts w:ascii="Calibri" w:hAnsi="Calibri"/>
                <w:color w:val="000000"/>
              </w:rPr>
              <w:t>-0.020***</w:t>
            </w:r>
          </w:p>
          <w:p w14:paraId="2A98E734" w14:textId="01ECAF0C" w:rsidR="008E390D" w:rsidRPr="007801A8" w:rsidRDefault="008E390D">
            <w:pPr>
              <w:rPr>
                <w:rFonts w:ascii="Calibri" w:hAnsi="Calibri"/>
                <w:color w:val="000000"/>
              </w:rPr>
            </w:pPr>
            <w:r w:rsidRPr="007801A8">
              <w:rPr>
                <w:rFonts w:ascii="Calibri" w:hAnsi="Calibri"/>
                <w:color w:val="000000"/>
              </w:rPr>
              <w:t>(-5.64)</w:t>
            </w:r>
          </w:p>
        </w:tc>
        <w:tc>
          <w:tcPr>
            <w:tcW w:w="1120" w:type="dxa"/>
            <w:tcBorders>
              <w:left w:val="nil"/>
              <w:bottom w:val="nil"/>
              <w:right w:val="nil"/>
            </w:tcBorders>
            <w:vAlign w:val="bottom"/>
          </w:tcPr>
          <w:p w14:paraId="1351E59C" w14:textId="51BD6135" w:rsidR="008E390D" w:rsidRPr="007801A8" w:rsidRDefault="008E390D" w:rsidP="008E390D">
            <w:pPr>
              <w:rPr>
                <w:rFonts w:ascii="Calibri" w:hAnsi="Calibri"/>
                <w:color w:val="000000"/>
              </w:rPr>
            </w:pPr>
            <w:r w:rsidRPr="007801A8">
              <w:rPr>
                <w:rFonts w:ascii="Calibri" w:hAnsi="Calibri"/>
                <w:color w:val="000000"/>
              </w:rPr>
              <w:t>-0.024***</w:t>
            </w:r>
          </w:p>
          <w:p w14:paraId="531C41EB" w14:textId="52F27FC1" w:rsidR="008E390D" w:rsidRPr="007801A8" w:rsidRDefault="008E390D">
            <w:pPr>
              <w:rPr>
                <w:rFonts w:ascii="Calibri" w:hAnsi="Calibri"/>
                <w:color w:val="000000"/>
              </w:rPr>
            </w:pPr>
            <w:r w:rsidRPr="007801A8">
              <w:rPr>
                <w:rFonts w:ascii="Calibri" w:hAnsi="Calibri"/>
                <w:color w:val="000000"/>
              </w:rPr>
              <w:t>(-5.25)</w:t>
            </w:r>
          </w:p>
        </w:tc>
      </w:tr>
      <w:tr w:rsidR="008E390D" w:rsidRPr="00C35785" w14:paraId="558A25FA" w14:textId="205C19A0" w:rsidTr="007801A8">
        <w:trPr>
          <w:trHeight w:val="288"/>
        </w:trPr>
        <w:tc>
          <w:tcPr>
            <w:tcW w:w="2303" w:type="dxa"/>
            <w:tcBorders>
              <w:top w:val="nil"/>
              <w:left w:val="nil"/>
              <w:bottom w:val="nil"/>
              <w:right w:val="nil"/>
            </w:tcBorders>
            <w:noWrap/>
          </w:tcPr>
          <w:p w14:paraId="311C840E"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Volatility</w:t>
            </w:r>
          </w:p>
        </w:tc>
        <w:tc>
          <w:tcPr>
            <w:tcW w:w="1485" w:type="dxa"/>
            <w:tcBorders>
              <w:top w:val="nil"/>
              <w:left w:val="nil"/>
              <w:bottom w:val="nil"/>
              <w:right w:val="nil"/>
            </w:tcBorders>
            <w:shd w:val="clear" w:color="auto" w:fill="auto"/>
            <w:vAlign w:val="bottom"/>
          </w:tcPr>
          <w:p w14:paraId="21ECA123" w14:textId="35D45B86" w:rsidR="008E390D" w:rsidRPr="007801A8" w:rsidRDefault="008E390D" w:rsidP="008E390D">
            <w:pPr>
              <w:rPr>
                <w:rFonts w:ascii="Calibri" w:hAnsi="Calibri"/>
                <w:color w:val="000000"/>
              </w:rPr>
            </w:pPr>
            <w:r w:rsidRPr="007801A8">
              <w:rPr>
                <w:rFonts w:ascii="Calibri" w:hAnsi="Calibri"/>
                <w:color w:val="000000"/>
              </w:rPr>
              <w:t>0.057</w:t>
            </w:r>
          </w:p>
          <w:p w14:paraId="139F9020" w14:textId="0AE1A8F7" w:rsidR="008E390D" w:rsidRPr="007801A8" w:rsidRDefault="008E390D">
            <w:pPr>
              <w:rPr>
                <w:rFonts w:ascii="Calibri" w:hAnsi="Calibri"/>
                <w:color w:val="000000"/>
              </w:rPr>
            </w:pPr>
            <w:r w:rsidRPr="007801A8">
              <w:rPr>
                <w:rFonts w:ascii="Calibri" w:hAnsi="Calibri"/>
                <w:color w:val="000000"/>
              </w:rPr>
              <w:t>(0.23)</w:t>
            </w:r>
          </w:p>
        </w:tc>
        <w:tc>
          <w:tcPr>
            <w:tcW w:w="1485" w:type="dxa"/>
            <w:tcBorders>
              <w:top w:val="nil"/>
              <w:left w:val="nil"/>
              <w:bottom w:val="nil"/>
              <w:right w:val="nil"/>
            </w:tcBorders>
            <w:noWrap/>
            <w:vAlign w:val="bottom"/>
          </w:tcPr>
          <w:p w14:paraId="2E02E61A" w14:textId="11078309" w:rsidR="008E390D" w:rsidRPr="007801A8" w:rsidRDefault="008E390D" w:rsidP="008E390D">
            <w:pPr>
              <w:rPr>
                <w:rFonts w:ascii="Calibri" w:hAnsi="Calibri"/>
                <w:color w:val="000000"/>
              </w:rPr>
            </w:pPr>
            <w:r w:rsidRPr="007801A8">
              <w:rPr>
                <w:rFonts w:ascii="Calibri" w:hAnsi="Calibri"/>
                <w:color w:val="000000"/>
              </w:rPr>
              <w:t>0.391**</w:t>
            </w:r>
          </w:p>
          <w:p w14:paraId="40424531" w14:textId="3C2708CC" w:rsidR="008E390D" w:rsidRPr="007801A8" w:rsidRDefault="008E390D">
            <w:pPr>
              <w:rPr>
                <w:rFonts w:ascii="Calibri" w:hAnsi="Calibri"/>
                <w:color w:val="000000"/>
              </w:rPr>
            </w:pPr>
            <w:r w:rsidRPr="007801A8">
              <w:rPr>
                <w:rFonts w:ascii="Calibri" w:hAnsi="Calibri"/>
                <w:color w:val="000000"/>
              </w:rPr>
              <w:t>(2.15)</w:t>
            </w:r>
          </w:p>
        </w:tc>
        <w:tc>
          <w:tcPr>
            <w:tcW w:w="1485" w:type="dxa"/>
            <w:gridSpan w:val="2"/>
            <w:tcBorders>
              <w:top w:val="nil"/>
              <w:left w:val="nil"/>
              <w:bottom w:val="nil"/>
              <w:right w:val="nil"/>
            </w:tcBorders>
            <w:noWrap/>
            <w:vAlign w:val="bottom"/>
          </w:tcPr>
          <w:p w14:paraId="2571EE2E" w14:textId="2C4AF454" w:rsidR="008E390D" w:rsidRPr="004345A0" w:rsidRDefault="008E390D" w:rsidP="008E390D">
            <w:pPr>
              <w:rPr>
                <w:rFonts w:ascii="Calibri" w:hAnsi="Calibri"/>
                <w:color w:val="000000"/>
              </w:rPr>
            </w:pPr>
            <w:r w:rsidRPr="004345A0">
              <w:rPr>
                <w:rFonts w:ascii="Calibri" w:hAnsi="Calibri"/>
                <w:color w:val="000000"/>
              </w:rPr>
              <w:t>0.39</w:t>
            </w:r>
            <w:r>
              <w:rPr>
                <w:rFonts w:ascii="Calibri" w:hAnsi="Calibri"/>
                <w:color w:val="000000"/>
              </w:rPr>
              <w:t>0</w:t>
            </w:r>
            <w:r w:rsidRPr="004345A0">
              <w:rPr>
                <w:rFonts w:ascii="Calibri" w:hAnsi="Calibri"/>
                <w:color w:val="000000"/>
              </w:rPr>
              <w:t>**</w:t>
            </w:r>
          </w:p>
          <w:p w14:paraId="4DB47400" w14:textId="1ECB1D66" w:rsidR="008E390D" w:rsidRPr="008E7762" w:rsidRDefault="008E390D" w:rsidP="008E390D">
            <w:pPr>
              <w:rPr>
                <w:rFonts w:ascii="Calibri" w:hAnsi="Calibri"/>
                <w:color w:val="000000"/>
                <w:highlight w:val="yellow"/>
              </w:rPr>
            </w:pPr>
            <w:r w:rsidRPr="004345A0">
              <w:rPr>
                <w:rFonts w:ascii="Calibri" w:hAnsi="Calibri"/>
                <w:color w:val="000000"/>
              </w:rPr>
              <w:t>(2.15)</w:t>
            </w:r>
          </w:p>
        </w:tc>
        <w:tc>
          <w:tcPr>
            <w:tcW w:w="1485" w:type="dxa"/>
            <w:tcBorders>
              <w:top w:val="nil"/>
              <w:left w:val="nil"/>
              <w:bottom w:val="nil"/>
              <w:right w:val="nil"/>
            </w:tcBorders>
            <w:vAlign w:val="bottom"/>
          </w:tcPr>
          <w:p w14:paraId="7ABB4082" w14:textId="5CEB4B16" w:rsidR="008E390D" w:rsidRPr="007801A8" w:rsidRDefault="008E390D" w:rsidP="008E390D">
            <w:pPr>
              <w:rPr>
                <w:rFonts w:ascii="Calibri" w:hAnsi="Calibri"/>
                <w:color w:val="000000"/>
              </w:rPr>
            </w:pPr>
            <w:r w:rsidRPr="007801A8">
              <w:rPr>
                <w:rFonts w:ascii="Calibri" w:hAnsi="Calibri"/>
                <w:color w:val="000000"/>
              </w:rPr>
              <w:t>-0.632***</w:t>
            </w:r>
          </w:p>
          <w:p w14:paraId="09BDFBD0" w14:textId="77D633E4" w:rsidR="008E390D" w:rsidRPr="007801A8" w:rsidRDefault="008E390D">
            <w:pPr>
              <w:rPr>
                <w:rFonts w:ascii="Calibri" w:hAnsi="Calibri"/>
                <w:color w:val="000000"/>
              </w:rPr>
            </w:pPr>
            <w:r w:rsidRPr="007801A8">
              <w:rPr>
                <w:rFonts w:ascii="Calibri" w:hAnsi="Calibri"/>
                <w:color w:val="000000"/>
              </w:rPr>
              <w:t>(-2.76)</w:t>
            </w:r>
          </w:p>
        </w:tc>
        <w:tc>
          <w:tcPr>
            <w:tcW w:w="1485" w:type="dxa"/>
            <w:gridSpan w:val="2"/>
            <w:tcBorders>
              <w:top w:val="nil"/>
              <w:left w:val="nil"/>
              <w:bottom w:val="nil"/>
              <w:right w:val="nil"/>
            </w:tcBorders>
            <w:noWrap/>
            <w:vAlign w:val="bottom"/>
          </w:tcPr>
          <w:p w14:paraId="36FBDB99" w14:textId="7908C533" w:rsidR="008E390D" w:rsidRPr="005424EC" w:rsidRDefault="008E390D" w:rsidP="008E390D">
            <w:pPr>
              <w:rPr>
                <w:rFonts w:ascii="Calibri" w:hAnsi="Calibri"/>
                <w:color w:val="000000"/>
              </w:rPr>
            </w:pPr>
            <w:r w:rsidRPr="005424EC">
              <w:rPr>
                <w:rFonts w:ascii="Calibri" w:hAnsi="Calibri"/>
                <w:color w:val="000000"/>
              </w:rPr>
              <w:t>-0.631***</w:t>
            </w:r>
          </w:p>
          <w:p w14:paraId="1D52EA72" w14:textId="77244675" w:rsidR="008E390D" w:rsidRPr="007801A8" w:rsidRDefault="008E390D" w:rsidP="008E390D">
            <w:pPr>
              <w:rPr>
                <w:rFonts w:ascii="Calibri" w:hAnsi="Calibri"/>
                <w:color w:val="000000"/>
              </w:rPr>
            </w:pPr>
            <w:r w:rsidRPr="005424EC">
              <w:rPr>
                <w:rFonts w:ascii="Calibri" w:hAnsi="Calibri"/>
                <w:color w:val="000000"/>
              </w:rPr>
              <w:t>(-2.76)</w:t>
            </w:r>
          </w:p>
        </w:tc>
        <w:tc>
          <w:tcPr>
            <w:tcW w:w="1485" w:type="dxa"/>
            <w:tcBorders>
              <w:top w:val="nil"/>
              <w:left w:val="nil"/>
              <w:bottom w:val="nil"/>
              <w:right w:val="nil"/>
            </w:tcBorders>
            <w:vAlign w:val="bottom"/>
          </w:tcPr>
          <w:p w14:paraId="58A1B2F9" w14:textId="583DE8B0" w:rsidR="008E390D" w:rsidRPr="007801A8" w:rsidRDefault="008E390D" w:rsidP="008E390D">
            <w:pPr>
              <w:rPr>
                <w:rFonts w:ascii="Calibri" w:hAnsi="Calibri"/>
                <w:color w:val="000000"/>
              </w:rPr>
            </w:pPr>
            <w:r w:rsidRPr="007801A8">
              <w:rPr>
                <w:rFonts w:ascii="Calibri" w:hAnsi="Calibri"/>
                <w:color w:val="000000"/>
              </w:rPr>
              <w:t>1.856***</w:t>
            </w:r>
          </w:p>
          <w:p w14:paraId="2C659AF7" w14:textId="4DFAF237" w:rsidR="008E390D" w:rsidRPr="007801A8" w:rsidRDefault="008E390D">
            <w:pPr>
              <w:rPr>
                <w:rFonts w:ascii="Calibri" w:hAnsi="Calibri"/>
                <w:color w:val="000000"/>
              </w:rPr>
            </w:pPr>
            <w:r w:rsidRPr="007801A8">
              <w:rPr>
                <w:rFonts w:ascii="Calibri" w:hAnsi="Calibri"/>
                <w:color w:val="000000"/>
              </w:rPr>
              <w:t>(6.50)</w:t>
            </w:r>
          </w:p>
        </w:tc>
        <w:tc>
          <w:tcPr>
            <w:tcW w:w="1120" w:type="dxa"/>
            <w:tcBorders>
              <w:top w:val="nil"/>
              <w:left w:val="nil"/>
              <w:bottom w:val="nil"/>
              <w:right w:val="nil"/>
            </w:tcBorders>
            <w:vAlign w:val="bottom"/>
          </w:tcPr>
          <w:p w14:paraId="4E7814FE" w14:textId="5DC84491" w:rsidR="008E390D" w:rsidRPr="007801A8" w:rsidRDefault="008E390D" w:rsidP="008E390D">
            <w:pPr>
              <w:rPr>
                <w:rFonts w:ascii="Calibri" w:hAnsi="Calibri"/>
                <w:color w:val="000000"/>
              </w:rPr>
            </w:pPr>
            <w:r w:rsidRPr="007801A8">
              <w:rPr>
                <w:rFonts w:ascii="Calibri" w:hAnsi="Calibri"/>
                <w:color w:val="000000"/>
              </w:rPr>
              <w:t>1.851***</w:t>
            </w:r>
          </w:p>
          <w:p w14:paraId="084FDACE" w14:textId="6FCA3E25" w:rsidR="008E390D" w:rsidRPr="007801A8" w:rsidRDefault="008E390D" w:rsidP="008E390D">
            <w:pPr>
              <w:rPr>
                <w:rFonts w:ascii="Calibri" w:hAnsi="Calibri"/>
                <w:color w:val="000000"/>
              </w:rPr>
            </w:pPr>
            <w:r w:rsidRPr="007801A8">
              <w:rPr>
                <w:rFonts w:ascii="Calibri" w:hAnsi="Calibri"/>
                <w:color w:val="000000"/>
              </w:rPr>
              <w:t>(6.50)</w:t>
            </w:r>
          </w:p>
        </w:tc>
      </w:tr>
      <w:tr w:rsidR="008E390D" w:rsidRPr="00C35785" w14:paraId="0AA2B04D" w14:textId="15FB8A1B" w:rsidTr="007801A8">
        <w:trPr>
          <w:trHeight w:val="288"/>
        </w:trPr>
        <w:tc>
          <w:tcPr>
            <w:tcW w:w="2303" w:type="dxa"/>
            <w:tcBorders>
              <w:top w:val="nil"/>
              <w:left w:val="nil"/>
              <w:bottom w:val="nil"/>
              <w:right w:val="nil"/>
            </w:tcBorders>
            <w:noWrap/>
          </w:tcPr>
          <w:p w14:paraId="2F8CCA4D"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Price</w:t>
            </w:r>
          </w:p>
        </w:tc>
        <w:tc>
          <w:tcPr>
            <w:tcW w:w="1485" w:type="dxa"/>
            <w:tcBorders>
              <w:top w:val="nil"/>
              <w:left w:val="nil"/>
              <w:bottom w:val="nil"/>
              <w:right w:val="nil"/>
            </w:tcBorders>
            <w:shd w:val="clear" w:color="auto" w:fill="auto"/>
            <w:vAlign w:val="bottom"/>
          </w:tcPr>
          <w:p w14:paraId="4D279DD3" w14:textId="77777777" w:rsidR="008E390D" w:rsidRPr="007801A8" w:rsidRDefault="008E390D" w:rsidP="008E390D">
            <w:pPr>
              <w:rPr>
                <w:rFonts w:ascii="Calibri" w:hAnsi="Calibri"/>
                <w:color w:val="000000"/>
              </w:rPr>
            </w:pPr>
            <w:r w:rsidRPr="007801A8">
              <w:rPr>
                <w:rFonts w:ascii="Calibri" w:hAnsi="Calibri"/>
                <w:color w:val="000000"/>
              </w:rPr>
              <w:t>0.001***</w:t>
            </w:r>
          </w:p>
          <w:p w14:paraId="11AB9B80" w14:textId="11B3256E" w:rsidR="008E390D" w:rsidRPr="007801A8" w:rsidRDefault="008E390D">
            <w:pPr>
              <w:rPr>
                <w:rFonts w:ascii="Calibri" w:hAnsi="Calibri"/>
                <w:color w:val="000000"/>
              </w:rPr>
            </w:pPr>
            <w:r w:rsidRPr="007801A8">
              <w:rPr>
                <w:rFonts w:ascii="Calibri" w:hAnsi="Calibri"/>
                <w:color w:val="000000"/>
              </w:rPr>
              <w:t>(5.73)</w:t>
            </w:r>
          </w:p>
        </w:tc>
        <w:tc>
          <w:tcPr>
            <w:tcW w:w="1485" w:type="dxa"/>
            <w:tcBorders>
              <w:top w:val="nil"/>
              <w:left w:val="nil"/>
              <w:bottom w:val="nil"/>
              <w:right w:val="nil"/>
            </w:tcBorders>
            <w:noWrap/>
            <w:vAlign w:val="bottom"/>
          </w:tcPr>
          <w:p w14:paraId="4739B062" w14:textId="2CE873BD" w:rsidR="008E390D" w:rsidRPr="007801A8" w:rsidRDefault="008E390D" w:rsidP="008E390D">
            <w:pPr>
              <w:rPr>
                <w:rFonts w:ascii="Calibri" w:hAnsi="Calibri"/>
                <w:color w:val="000000"/>
              </w:rPr>
            </w:pPr>
            <w:r w:rsidRPr="007801A8">
              <w:rPr>
                <w:rFonts w:ascii="Calibri" w:hAnsi="Calibri"/>
                <w:color w:val="000000"/>
              </w:rPr>
              <w:t>0.001***</w:t>
            </w:r>
          </w:p>
          <w:p w14:paraId="0B30733A" w14:textId="5F768908" w:rsidR="008E390D" w:rsidRPr="007801A8" w:rsidRDefault="008E390D">
            <w:pPr>
              <w:rPr>
                <w:rFonts w:ascii="Calibri" w:hAnsi="Calibri"/>
                <w:color w:val="000000"/>
              </w:rPr>
            </w:pPr>
            <w:r w:rsidRPr="007801A8">
              <w:rPr>
                <w:rFonts w:ascii="Calibri" w:hAnsi="Calibri"/>
                <w:color w:val="000000"/>
              </w:rPr>
              <w:t>(8.16)</w:t>
            </w:r>
          </w:p>
        </w:tc>
        <w:tc>
          <w:tcPr>
            <w:tcW w:w="1485" w:type="dxa"/>
            <w:gridSpan w:val="2"/>
            <w:tcBorders>
              <w:top w:val="nil"/>
              <w:left w:val="nil"/>
              <w:bottom w:val="nil"/>
              <w:right w:val="nil"/>
            </w:tcBorders>
            <w:noWrap/>
            <w:vAlign w:val="bottom"/>
          </w:tcPr>
          <w:p w14:paraId="224D9BB4" w14:textId="77777777" w:rsidR="008E390D" w:rsidRPr="004345A0" w:rsidRDefault="008E390D" w:rsidP="008E390D">
            <w:pPr>
              <w:rPr>
                <w:rFonts w:ascii="Calibri" w:hAnsi="Calibri"/>
                <w:color w:val="000000"/>
              </w:rPr>
            </w:pPr>
            <w:r w:rsidRPr="004345A0">
              <w:rPr>
                <w:rFonts w:ascii="Calibri" w:hAnsi="Calibri"/>
                <w:color w:val="000000"/>
              </w:rPr>
              <w:t>0.001***</w:t>
            </w:r>
          </w:p>
          <w:p w14:paraId="7806FEAB" w14:textId="165AFBCB" w:rsidR="008E390D" w:rsidRPr="008E7762" w:rsidRDefault="008E390D" w:rsidP="008E390D">
            <w:pPr>
              <w:rPr>
                <w:rFonts w:ascii="Calibri" w:hAnsi="Calibri"/>
                <w:color w:val="000000"/>
                <w:highlight w:val="yellow"/>
              </w:rPr>
            </w:pPr>
            <w:r w:rsidRPr="004345A0">
              <w:rPr>
                <w:rFonts w:ascii="Calibri" w:hAnsi="Calibri"/>
                <w:color w:val="000000"/>
              </w:rPr>
              <w:t>(8.16)</w:t>
            </w:r>
          </w:p>
        </w:tc>
        <w:tc>
          <w:tcPr>
            <w:tcW w:w="1485" w:type="dxa"/>
            <w:tcBorders>
              <w:top w:val="nil"/>
              <w:left w:val="nil"/>
              <w:bottom w:val="nil"/>
              <w:right w:val="nil"/>
            </w:tcBorders>
          </w:tcPr>
          <w:p w14:paraId="21E76E81" w14:textId="2C58ED5A" w:rsidR="008E390D" w:rsidRPr="007801A8" w:rsidRDefault="008E390D" w:rsidP="008E390D">
            <w:pPr>
              <w:rPr>
                <w:rFonts w:ascii="Calibri" w:hAnsi="Calibri"/>
                <w:color w:val="000000"/>
              </w:rPr>
            </w:pPr>
            <w:r w:rsidRPr="007801A8">
              <w:rPr>
                <w:rFonts w:ascii="Calibri" w:hAnsi="Calibri"/>
                <w:color w:val="000000"/>
              </w:rPr>
              <w:t>0.003***</w:t>
            </w:r>
          </w:p>
          <w:p w14:paraId="2C0CD63C" w14:textId="493D78FA" w:rsidR="008E390D" w:rsidRPr="007801A8" w:rsidRDefault="008E390D">
            <w:pPr>
              <w:rPr>
                <w:rFonts w:ascii="Calibri" w:hAnsi="Calibri"/>
                <w:color w:val="000000"/>
              </w:rPr>
            </w:pPr>
            <w:r w:rsidRPr="007801A8">
              <w:rPr>
                <w:rFonts w:ascii="Calibri" w:hAnsi="Calibri"/>
                <w:color w:val="000000"/>
              </w:rPr>
              <w:t>(7.36)</w:t>
            </w:r>
          </w:p>
        </w:tc>
        <w:tc>
          <w:tcPr>
            <w:tcW w:w="1485" w:type="dxa"/>
            <w:gridSpan w:val="2"/>
            <w:tcBorders>
              <w:top w:val="nil"/>
              <w:left w:val="nil"/>
              <w:bottom w:val="nil"/>
              <w:right w:val="nil"/>
            </w:tcBorders>
            <w:noWrap/>
          </w:tcPr>
          <w:p w14:paraId="19EF7065" w14:textId="77777777" w:rsidR="008E390D" w:rsidRPr="005424EC" w:rsidRDefault="008E390D" w:rsidP="008E390D">
            <w:pPr>
              <w:rPr>
                <w:rFonts w:ascii="Calibri" w:hAnsi="Calibri"/>
                <w:color w:val="000000"/>
              </w:rPr>
            </w:pPr>
            <w:r w:rsidRPr="005424EC">
              <w:rPr>
                <w:rFonts w:ascii="Calibri" w:hAnsi="Calibri"/>
                <w:color w:val="000000"/>
              </w:rPr>
              <w:t>0.003***</w:t>
            </w:r>
          </w:p>
          <w:p w14:paraId="1C3E1767" w14:textId="11B7892B" w:rsidR="008E390D" w:rsidRPr="007801A8" w:rsidRDefault="008E390D" w:rsidP="008E390D">
            <w:pPr>
              <w:rPr>
                <w:rFonts w:ascii="Calibri" w:hAnsi="Calibri"/>
                <w:color w:val="000000"/>
              </w:rPr>
            </w:pPr>
            <w:r w:rsidRPr="005424EC">
              <w:rPr>
                <w:rFonts w:ascii="Calibri" w:hAnsi="Calibri"/>
                <w:color w:val="000000"/>
              </w:rPr>
              <w:t>(7.36)</w:t>
            </w:r>
          </w:p>
        </w:tc>
        <w:tc>
          <w:tcPr>
            <w:tcW w:w="1485" w:type="dxa"/>
            <w:tcBorders>
              <w:top w:val="nil"/>
              <w:left w:val="nil"/>
              <w:bottom w:val="nil"/>
              <w:right w:val="nil"/>
            </w:tcBorders>
          </w:tcPr>
          <w:p w14:paraId="36A999BA" w14:textId="700C75C3" w:rsidR="008E390D" w:rsidRPr="007801A8" w:rsidRDefault="008E390D" w:rsidP="008E390D">
            <w:pPr>
              <w:rPr>
                <w:rFonts w:ascii="Calibri" w:hAnsi="Calibri"/>
                <w:color w:val="000000"/>
              </w:rPr>
            </w:pPr>
            <w:r w:rsidRPr="007801A8">
              <w:rPr>
                <w:rFonts w:ascii="Calibri" w:hAnsi="Calibri"/>
                <w:color w:val="000000"/>
              </w:rPr>
              <w:t>-0.000**</w:t>
            </w:r>
          </w:p>
          <w:p w14:paraId="2771C69E" w14:textId="49C33255" w:rsidR="008E390D" w:rsidRPr="007801A8" w:rsidRDefault="008E390D">
            <w:pPr>
              <w:rPr>
                <w:rFonts w:ascii="Calibri" w:hAnsi="Calibri"/>
                <w:color w:val="000000"/>
              </w:rPr>
            </w:pPr>
            <w:r w:rsidRPr="007801A8">
              <w:rPr>
                <w:rFonts w:ascii="Calibri" w:hAnsi="Calibri"/>
                <w:color w:val="000000"/>
              </w:rPr>
              <w:t>(-1.93)</w:t>
            </w:r>
          </w:p>
        </w:tc>
        <w:tc>
          <w:tcPr>
            <w:tcW w:w="1120" w:type="dxa"/>
            <w:tcBorders>
              <w:top w:val="nil"/>
              <w:left w:val="nil"/>
              <w:bottom w:val="nil"/>
              <w:right w:val="nil"/>
            </w:tcBorders>
          </w:tcPr>
          <w:p w14:paraId="3CBF0488" w14:textId="77777777" w:rsidR="008E390D" w:rsidRPr="007801A8" w:rsidRDefault="008E390D" w:rsidP="008E390D">
            <w:pPr>
              <w:rPr>
                <w:rFonts w:ascii="Calibri" w:hAnsi="Calibri"/>
                <w:color w:val="000000"/>
              </w:rPr>
            </w:pPr>
            <w:r w:rsidRPr="007801A8">
              <w:rPr>
                <w:rFonts w:ascii="Calibri" w:hAnsi="Calibri"/>
                <w:color w:val="000000"/>
              </w:rPr>
              <w:t>-0.000**</w:t>
            </w:r>
          </w:p>
          <w:p w14:paraId="6DEDE09C" w14:textId="21865B74" w:rsidR="008E390D" w:rsidRPr="007801A8" w:rsidRDefault="008E390D" w:rsidP="008E390D">
            <w:pPr>
              <w:rPr>
                <w:rFonts w:ascii="Calibri" w:hAnsi="Calibri"/>
                <w:color w:val="000000"/>
              </w:rPr>
            </w:pPr>
            <w:r w:rsidRPr="007801A8">
              <w:rPr>
                <w:rFonts w:ascii="Calibri" w:hAnsi="Calibri"/>
                <w:color w:val="000000"/>
              </w:rPr>
              <w:t>(-1.92)</w:t>
            </w:r>
          </w:p>
        </w:tc>
      </w:tr>
      <w:tr w:rsidR="008E390D" w:rsidRPr="00C35785" w14:paraId="6DA534A0" w14:textId="5152B812" w:rsidTr="007801A8">
        <w:trPr>
          <w:trHeight w:val="288"/>
        </w:trPr>
        <w:tc>
          <w:tcPr>
            <w:tcW w:w="2303" w:type="dxa"/>
            <w:tcBorders>
              <w:top w:val="nil"/>
              <w:left w:val="nil"/>
              <w:bottom w:val="nil"/>
              <w:right w:val="nil"/>
            </w:tcBorders>
            <w:noWrap/>
          </w:tcPr>
          <w:p w14:paraId="1E5241D5"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Size</w:t>
            </w:r>
          </w:p>
        </w:tc>
        <w:tc>
          <w:tcPr>
            <w:tcW w:w="1485" w:type="dxa"/>
            <w:tcBorders>
              <w:top w:val="nil"/>
              <w:left w:val="nil"/>
              <w:bottom w:val="nil"/>
              <w:right w:val="nil"/>
            </w:tcBorders>
            <w:shd w:val="clear" w:color="auto" w:fill="auto"/>
          </w:tcPr>
          <w:p w14:paraId="0B458300" w14:textId="6B1589B3" w:rsidR="008E390D" w:rsidRPr="007801A8" w:rsidRDefault="008E390D" w:rsidP="008E390D">
            <w:pPr>
              <w:rPr>
                <w:rFonts w:ascii="Calibri" w:hAnsi="Calibri"/>
                <w:color w:val="000000"/>
              </w:rPr>
            </w:pPr>
            <w:r w:rsidRPr="007801A8">
              <w:rPr>
                <w:rFonts w:ascii="Calibri" w:hAnsi="Calibri"/>
                <w:color w:val="000000"/>
              </w:rPr>
              <w:t>-0.017***</w:t>
            </w:r>
          </w:p>
          <w:p w14:paraId="65E8C90B" w14:textId="7F216D4D" w:rsidR="008E390D" w:rsidRPr="007801A8" w:rsidRDefault="008E390D">
            <w:pPr>
              <w:rPr>
                <w:rFonts w:ascii="Calibri" w:hAnsi="Calibri"/>
                <w:color w:val="000000"/>
              </w:rPr>
            </w:pPr>
            <w:r w:rsidRPr="007801A8">
              <w:rPr>
                <w:rFonts w:ascii="Calibri" w:hAnsi="Calibri"/>
                <w:color w:val="000000"/>
              </w:rPr>
              <w:t>(-7.58)</w:t>
            </w:r>
          </w:p>
        </w:tc>
        <w:tc>
          <w:tcPr>
            <w:tcW w:w="1485" w:type="dxa"/>
            <w:tcBorders>
              <w:top w:val="nil"/>
              <w:left w:val="nil"/>
              <w:bottom w:val="nil"/>
              <w:right w:val="nil"/>
            </w:tcBorders>
            <w:noWrap/>
          </w:tcPr>
          <w:p w14:paraId="54B44346" w14:textId="6326D80D" w:rsidR="008E390D" w:rsidRPr="007801A8" w:rsidRDefault="008E390D" w:rsidP="008E390D">
            <w:pPr>
              <w:rPr>
                <w:rFonts w:ascii="Calibri" w:hAnsi="Calibri"/>
                <w:color w:val="000000"/>
              </w:rPr>
            </w:pPr>
            <w:r w:rsidRPr="007801A8">
              <w:rPr>
                <w:rFonts w:ascii="Calibri" w:hAnsi="Calibri"/>
                <w:color w:val="000000"/>
              </w:rPr>
              <w:t>-0.016***</w:t>
            </w:r>
          </w:p>
          <w:p w14:paraId="2285A56E" w14:textId="21111F78" w:rsidR="008E390D" w:rsidRPr="007801A8" w:rsidRDefault="008E390D">
            <w:pPr>
              <w:rPr>
                <w:rFonts w:ascii="Calibri" w:hAnsi="Calibri"/>
                <w:color w:val="000000"/>
              </w:rPr>
            </w:pPr>
            <w:r w:rsidRPr="007801A8">
              <w:rPr>
                <w:rFonts w:ascii="Calibri" w:hAnsi="Calibri"/>
                <w:color w:val="000000"/>
              </w:rPr>
              <w:t>(-10.48)</w:t>
            </w:r>
          </w:p>
        </w:tc>
        <w:tc>
          <w:tcPr>
            <w:tcW w:w="1485" w:type="dxa"/>
            <w:gridSpan w:val="2"/>
            <w:tcBorders>
              <w:top w:val="nil"/>
              <w:left w:val="nil"/>
              <w:bottom w:val="nil"/>
              <w:right w:val="nil"/>
            </w:tcBorders>
            <w:noWrap/>
          </w:tcPr>
          <w:p w14:paraId="576746BB" w14:textId="77777777" w:rsidR="008E390D" w:rsidRPr="004345A0" w:rsidRDefault="008E390D" w:rsidP="008E390D">
            <w:pPr>
              <w:rPr>
                <w:rFonts w:ascii="Calibri" w:hAnsi="Calibri"/>
                <w:color w:val="000000"/>
              </w:rPr>
            </w:pPr>
            <w:r w:rsidRPr="004345A0">
              <w:rPr>
                <w:rFonts w:ascii="Calibri" w:hAnsi="Calibri"/>
                <w:color w:val="000000"/>
              </w:rPr>
              <w:t>-0.016***</w:t>
            </w:r>
          </w:p>
          <w:p w14:paraId="2C7982F4" w14:textId="30116993" w:rsidR="008E390D" w:rsidRPr="008E7762" w:rsidRDefault="008E390D" w:rsidP="008E390D">
            <w:pPr>
              <w:rPr>
                <w:rFonts w:ascii="Calibri" w:hAnsi="Calibri"/>
                <w:color w:val="000000"/>
                <w:highlight w:val="yellow"/>
              </w:rPr>
            </w:pPr>
            <w:r w:rsidRPr="004345A0">
              <w:rPr>
                <w:rFonts w:ascii="Calibri" w:hAnsi="Calibri"/>
                <w:color w:val="000000"/>
              </w:rPr>
              <w:t>(-10.48)</w:t>
            </w:r>
          </w:p>
        </w:tc>
        <w:tc>
          <w:tcPr>
            <w:tcW w:w="1485" w:type="dxa"/>
            <w:tcBorders>
              <w:top w:val="nil"/>
              <w:left w:val="nil"/>
              <w:bottom w:val="nil"/>
              <w:right w:val="nil"/>
            </w:tcBorders>
          </w:tcPr>
          <w:p w14:paraId="443F9C9F" w14:textId="1C40B3E4" w:rsidR="008E390D" w:rsidRPr="007801A8" w:rsidRDefault="008E390D" w:rsidP="008E390D">
            <w:pPr>
              <w:rPr>
                <w:rFonts w:ascii="Calibri" w:hAnsi="Calibri"/>
                <w:color w:val="000000"/>
              </w:rPr>
            </w:pPr>
            <w:r w:rsidRPr="007801A8">
              <w:rPr>
                <w:rFonts w:ascii="Calibri" w:hAnsi="Calibri"/>
                <w:color w:val="000000"/>
              </w:rPr>
              <w:t>-0.034***</w:t>
            </w:r>
          </w:p>
          <w:p w14:paraId="68F6AC8F" w14:textId="45BBF9EE" w:rsidR="008E390D" w:rsidRPr="007801A8" w:rsidRDefault="008E390D">
            <w:pPr>
              <w:rPr>
                <w:rFonts w:ascii="Calibri" w:hAnsi="Calibri"/>
                <w:color w:val="000000"/>
              </w:rPr>
            </w:pPr>
            <w:r w:rsidRPr="007801A8">
              <w:rPr>
                <w:rFonts w:ascii="Calibri" w:hAnsi="Calibri"/>
                <w:color w:val="000000"/>
              </w:rPr>
              <w:t>(-13.05)</w:t>
            </w:r>
          </w:p>
        </w:tc>
        <w:tc>
          <w:tcPr>
            <w:tcW w:w="1485" w:type="dxa"/>
            <w:gridSpan w:val="2"/>
            <w:tcBorders>
              <w:top w:val="nil"/>
              <w:left w:val="nil"/>
              <w:bottom w:val="nil"/>
              <w:right w:val="nil"/>
            </w:tcBorders>
            <w:noWrap/>
          </w:tcPr>
          <w:p w14:paraId="2CF1FA8D" w14:textId="77777777" w:rsidR="008E390D" w:rsidRPr="005424EC" w:rsidRDefault="008E390D" w:rsidP="008E390D">
            <w:pPr>
              <w:rPr>
                <w:rFonts w:ascii="Calibri" w:hAnsi="Calibri"/>
                <w:color w:val="000000"/>
              </w:rPr>
            </w:pPr>
            <w:r w:rsidRPr="005424EC">
              <w:rPr>
                <w:rFonts w:ascii="Calibri" w:hAnsi="Calibri"/>
                <w:color w:val="000000"/>
              </w:rPr>
              <w:t>-0.034***</w:t>
            </w:r>
          </w:p>
          <w:p w14:paraId="6D94F25B" w14:textId="5A25CB90" w:rsidR="008E390D" w:rsidRPr="007801A8" w:rsidRDefault="008E390D" w:rsidP="008E390D">
            <w:pPr>
              <w:rPr>
                <w:rFonts w:ascii="Calibri" w:hAnsi="Calibri"/>
                <w:color w:val="000000"/>
              </w:rPr>
            </w:pPr>
            <w:r w:rsidRPr="005424EC">
              <w:rPr>
                <w:rFonts w:ascii="Calibri" w:hAnsi="Calibri"/>
                <w:color w:val="000000"/>
              </w:rPr>
              <w:t>(-13.05)</w:t>
            </w:r>
          </w:p>
        </w:tc>
        <w:tc>
          <w:tcPr>
            <w:tcW w:w="1485" w:type="dxa"/>
            <w:tcBorders>
              <w:top w:val="nil"/>
              <w:left w:val="nil"/>
              <w:bottom w:val="nil"/>
              <w:right w:val="nil"/>
            </w:tcBorders>
          </w:tcPr>
          <w:p w14:paraId="4B34328F" w14:textId="68342998" w:rsidR="008E390D" w:rsidRPr="007801A8" w:rsidRDefault="008E390D" w:rsidP="008E390D">
            <w:pPr>
              <w:rPr>
                <w:rFonts w:ascii="Calibri" w:hAnsi="Calibri"/>
                <w:color w:val="000000"/>
              </w:rPr>
            </w:pPr>
            <w:r w:rsidRPr="007801A8">
              <w:rPr>
                <w:rFonts w:ascii="Calibri" w:hAnsi="Calibri"/>
                <w:color w:val="000000"/>
              </w:rPr>
              <w:t>-0.002</w:t>
            </w:r>
          </w:p>
          <w:p w14:paraId="13692809" w14:textId="43762F83" w:rsidR="008E390D" w:rsidRPr="007801A8" w:rsidRDefault="008E390D">
            <w:pPr>
              <w:rPr>
                <w:rFonts w:ascii="Calibri" w:hAnsi="Calibri"/>
                <w:color w:val="000000"/>
              </w:rPr>
            </w:pPr>
            <w:r w:rsidRPr="007801A8">
              <w:rPr>
                <w:rFonts w:ascii="Calibri" w:hAnsi="Calibri"/>
                <w:color w:val="000000"/>
              </w:rPr>
              <w:t>(-1.15)</w:t>
            </w:r>
          </w:p>
        </w:tc>
        <w:tc>
          <w:tcPr>
            <w:tcW w:w="1120" w:type="dxa"/>
            <w:tcBorders>
              <w:top w:val="nil"/>
              <w:left w:val="nil"/>
              <w:bottom w:val="nil"/>
              <w:right w:val="nil"/>
            </w:tcBorders>
          </w:tcPr>
          <w:p w14:paraId="18D8D590" w14:textId="77777777" w:rsidR="008E390D" w:rsidRPr="007801A8" w:rsidRDefault="008E390D" w:rsidP="008E390D">
            <w:pPr>
              <w:rPr>
                <w:rFonts w:ascii="Calibri" w:hAnsi="Calibri"/>
                <w:color w:val="000000"/>
              </w:rPr>
            </w:pPr>
            <w:r w:rsidRPr="007801A8">
              <w:rPr>
                <w:rFonts w:ascii="Calibri" w:hAnsi="Calibri"/>
                <w:color w:val="000000"/>
              </w:rPr>
              <w:t>-0.002</w:t>
            </w:r>
          </w:p>
          <w:p w14:paraId="6D6C71DD" w14:textId="5927F3C3" w:rsidR="008E390D" w:rsidRPr="007801A8" w:rsidRDefault="008E390D">
            <w:pPr>
              <w:rPr>
                <w:rFonts w:ascii="Calibri" w:hAnsi="Calibri"/>
                <w:color w:val="000000"/>
              </w:rPr>
            </w:pPr>
            <w:r w:rsidRPr="007801A8">
              <w:rPr>
                <w:rFonts w:ascii="Calibri" w:hAnsi="Calibri"/>
                <w:color w:val="000000"/>
              </w:rPr>
              <w:t>(-1.17)</w:t>
            </w:r>
          </w:p>
        </w:tc>
      </w:tr>
      <w:tr w:rsidR="008E390D" w:rsidRPr="00C35785" w14:paraId="48628BFF" w14:textId="41581DCF" w:rsidTr="007801A8">
        <w:trPr>
          <w:trHeight w:val="288"/>
        </w:trPr>
        <w:tc>
          <w:tcPr>
            <w:tcW w:w="2303" w:type="dxa"/>
            <w:tcBorders>
              <w:top w:val="nil"/>
              <w:left w:val="nil"/>
              <w:bottom w:val="nil"/>
              <w:right w:val="nil"/>
            </w:tcBorders>
            <w:noWrap/>
          </w:tcPr>
          <w:p w14:paraId="75E0C1B4"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Turnover</w:t>
            </w:r>
          </w:p>
        </w:tc>
        <w:tc>
          <w:tcPr>
            <w:tcW w:w="1485" w:type="dxa"/>
            <w:tcBorders>
              <w:top w:val="nil"/>
              <w:left w:val="nil"/>
              <w:bottom w:val="nil"/>
              <w:right w:val="nil"/>
            </w:tcBorders>
            <w:shd w:val="clear" w:color="auto" w:fill="auto"/>
          </w:tcPr>
          <w:p w14:paraId="388AC826" w14:textId="1A849CBE" w:rsidR="008E390D" w:rsidRPr="007801A8" w:rsidRDefault="008E390D" w:rsidP="008E390D">
            <w:pPr>
              <w:rPr>
                <w:rFonts w:ascii="Calibri" w:hAnsi="Calibri"/>
                <w:color w:val="000000"/>
              </w:rPr>
            </w:pPr>
            <w:r w:rsidRPr="007801A8">
              <w:rPr>
                <w:rFonts w:ascii="Calibri" w:hAnsi="Calibri"/>
                <w:color w:val="000000"/>
              </w:rPr>
              <w:t>-0.013**</w:t>
            </w:r>
          </w:p>
          <w:p w14:paraId="71BA2644" w14:textId="40994ABB" w:rsidR="008E390D" w:rsidRPr="007801A8" w:rsidRDefault="008E390D">
            <w:pPr>
              <w:rPr>
                <w:rFonts w:ascii="Calibri" w:hAnsi="Calibri"/>
                <w:color w:val="000000"/>
              </w:rPr>
            </w:pPr>
            <w:r w:rsidRPr="007801A8">
              <w:rPr>
                <w:rFonts w:ascii="Calibri" w:hAnsi="Calibri"/>
                <w:color w:val="000000"/>
              </w:rPr>
              <w:t>(-1.98)</w:t>
            </w:r>
          </w:p>
        </w:tc>
        <w:tc>
          <w:tcPr>
            <w:tcW w:w="1485" w:type="dxa"/>
            <w:tcBorders>
              <w:top w:val="nil"/>
              <w:left w:val="nil"/>
              <w:bottom w:val="nil"/>
              <w:right w:val="nil"/>
            </w:tcBorders>
            <w:noWrap/>
          </w:tcPr>
          <w:p w14:paraId="4A73FFAA" w14:textId="1AC402C9" w:rsidR="008E390D" w:rsidRPr="007801A8" w:rsidRDefault="008E390D" w:rsidP="008E390D">
            <w:pPr>
              <w:rPr>
                <w:rFonts w:ascii="Calibri" w:hAnsi="Calibri"/>
                <w:color w:val="000000"/>
              </w:rPr>
            </w:pPr>
            <w:r w:rsidRPr="007801A8">
              <w:rPr>
                <w:rFonts w:ascii="Calibri" w:hAnsi="Calibri"/>
                <w:color w:val="000000"/>
              </w:rPr>
              <w:t>-0.018***</w:t>
            </w:r>
          </w:p>
          <w:p w14:paraId="5F23FE8A" w14:textId="1E7F9242" w:rsidR="008E390D" w:rsidRPr="007801A8" w:rsidRDefault="008E390D">
            <w:pPr>
              <w:rPr>
                <w:rFonts w:ascii="Calibri" w:hAnsi="Calibri"/>
                <w:color w:val="000000"/>
              </w:rPr>
            </w:pPr>
            <w:r w:rsidRPr="007801A8">
              <w:rPr>
                <w:rFonts w:ascii="Calibri" w:hAnsi="Calibri"/>
                <w:color w:val="000000"/>
              </w:rPr>
              <w:t>(-3.84)</w:t>
            </w:r>
          </w:p>
        </w:tc>
        <w:tc>
          <w:tcPr>
            <w:tcW w:w="1485" w:type="dxa"/>
            <w:gridSpan w:val="2"/>
            <w:tcBorders>
              <w:top w:val="nil"/>
              <w:left w:val="nil"/>
              <w:bottom w:val="nil"/>
              <w:right w:val="nil"/>
            </w:tcBorders>
            <w:noWrap/>
          </w:tcPr>
          <w:p w14:paraId="7510ABB1" w14:textId="77777777" w:rsidR="008E390D" w:rsidRPr="004345A0" w:rsidRDefault="008E390D" w:rsidP="008E390D">
            <w:pPr>
              <w:rPr>
                <w:rFonts w:ascii="Calibri" w:hAnsi="Calibri"/>
                <w:color w:val="000000"/>
              </w:rPr>
            </w:pPr>
            <w:r w:rsidRPr="004345A0">
              <w:rPr>
                <w:rFonts w:ascii="Calibri" w:hAnsi="Calibri"/>
                <w:color w:val="000000"/>
              </w:rPr>
              <w:t>-0.018***</w:t>
            </w:r>
          </w:p>
          <w:p w14:paraId="386EF86A" w14:textId="7D3B0F90" w:rsidR="008E390D" w:rsidRPr="008E7762" w:rsidRDefault="008E390D">
            <w:pPr>
              <w:rPr>
                <w:rFonts w:ascii="Calibri" w:hAnsi="Calibri"/>
                <w:color w:val="000000"/>
                <w:highlight w:val="yellow"/>
              </w:rPr>
            </w:pPr>
            <w:r w:rsidRPr="004345A0">
              <w:rPr>
                <w:rFonts w:ascii="Calibri" w:hAnsi="Calibri"/>
                <w:color w:val="000000"/>
              </w:rPr>
              <w:t>(-3.8</w:t>
            </w:r>
            <w:r>
              <w:rPr>
                <w:rFonts w:ascii="Calibri" w:hAnsi="Calibri"/>
                <w:color w:val="000000"/>
              </w:rPr>
              <w:t>3</w:t>
            </w:r>
            <w:r w:rsidRPr="004345A0">
              <w:rPr>
                <w:rFonts w:ascii="Calibri" w:hAnsi="Calibri"/>
                <w:color w:val="000000"/>
              </w:rPr>
              <w:t>)</w:t>
            </w:r>
          </w:p>
        </w:tc>
        <w:tc>
          <w:tcPr>
            <w:tcW w:w="1485" w:type="dxa"/>
            <w:tcBorders>
              <w:top w:val="nil"/>
              <w:left w:val="nil"/>
              <w:bottom w:val="nil"/>
              <w:right w:val="nil"/>
            </w:tcBorders>
          </w:tcPr>
          <w:p w14:paraId="59F47299" w14:textId="777D6C9F" w:rsidR="008E390D" w:rsidRPr="007801A8" w:rsidRDefault="008E390D" w:rsidP="008E390D">
            <w:pPr>
              <w:rPr>
                <w:rFonts w:ascii="Calibri" w:hAnsi="Calibri"/>
                <w:color w:val="000000"/>
              </w:rPr>
            </w:pPr>
            <w:r w:rsidRPr="007801A8">
              <w:rPr>
                <w:rFonts w:ascii="Calibri" w:hAnsi="Calibri"/>
                <w:color w:val="000000"/>
              </w:rPr>
              <w:t>0.054***</w:t>
            </w:r>
          </w:p>
          <w:p w14:paraId="6AC8CBE9" w14:textId="274B071F" w:rsidR="008E390D" w:rsidRPr="007801A8" w:rsidRDefault="008E390D">
            <w:pPr>
              <w:rPr>
                <w:rFonts w:ascii="Calibri" w:hAnsi="Calibri"/>
                <w:color w:val="000000"/>
              </w:rPr>
            </w:pPr>
            <w:r w:rsidRPr="007801A8">
              <w:rPr>
                <w:rFonts w:ascii="Calibri" w:hAnsi="Calibri"/>
                <w:color w:val="000000"/>
              </w:rPr>
              <w:t>(6.73)</w:t>
            </w:r>
          </w:p>
        </w:tc>
        <w:tc>
          <w:tcPr>
            <w:tcW w:w="1485" w:type="dxa"/>
            <w:gridSpan w:val="2"/>
            <w:tcBorders>
              <w:top w:val="nil"/>
              <w:left w:val="nil"/>
              <w:bottom w:val="nil"/>
              <w:right w:val="nil"/>
            </w:tcBorders>
            <w:noWrap/>
          </w:tcPr>
          <w:p w14:paraId="235878EF" w14:textId="4452E0DE" w:rsidR="008E390D" w:rsidRPr="005424EC" w:rsidRDefault="008E390D" w:rsidP="008E390D">
            <w:pPr>
              <w:rPr>
                <w:rFonts w:ascii="Calibri" w:hAnsi="Calibri"/>
                <w:color w:val="000000"/>
              </w:rPr>
            </w:pPr>
            <w:r w:rsidRPr="005424EC">
              <w:rPr>
                <w:rFonts w:ascii="Calibri" w:hAnsi="Calibri"/>
                <w:color w:val="000000"/>
              </w:rPr>
              <w:t>0.053***</w:t>
            </w:r>
          </w:p>
          <w:p w14:paraId="7B2174B9" w14:textId="3C0ABEE9" w:rsidR="008E390D" w:rsidRPr="007801A8" w:rsidRDefault="008E390D">
            <w:pPr>
              <w:rPr>
                <w:rFonts w:ascii="Calibri" w:hAnsi="Calibri"/>
                <w:color w:val="000000"/>
              </w:rPr>
            </w:pPr>
            <w:r w:rsidRPr="005424EC">
              <w:rPr>
                <w:rFonts w:ascii="Calibri" w:hAnsi="Calibri"/>
                <w:color w:val="000000"/>
              </w:rPr>
              <w:t>(6.71)</w:t>
            </w:r>
          </w:p>
        </w:tc>
        <w:tc>
          <w:tcPr>
            <w:tcW w:w="1485" w:type="dxa"/>
            <w:tcBorders>
              <w:top w:val="nil"/>
              <w:left w:val="nil"/>
              <w:bottom w:val="nil"/>
              <w:right w:val="nil"/>
            </w:tcBorders>
          </w:tcPr>
          <w:p w14:paraId="71671488" w14:textId="1C1F4475" w:rsidR="008E390D" w:rsidRPr="007801A8" w:rsidRDefault="008E390D" w:rsidP="008E390D">
            <w:pPr>
              <w:rPr>
                <w:rFonts w:ascii="Calibri" w:hAnsi="Calibri"/>
                <w:color w:val="000000"/>
              </w:rPr>
            </w:pPr>
            <w:r w:rsidRPr="007801A8">
              <w:rPr>
                <w:rFonts w:ascii="Calibri" w:hAnsi="Calibri"/>
                <w:color w:val="000000"/>
              </w:rPr>
              <w:t>-0.042***</w:t>
            </w:r>
          </w:p>
          <w:p w14:paraId="3EB982D3" w14:textId="582D2A63" w:rsidR="008E390D" w:rsidRPr="007801A8" w:rsidRDefault="008E390D">
            <w:pPr>
              <w:rPr>
                <w:rFonts w:ascii="Calibri" w:hAnsi="Calibri"/>
                <w:color w:val="000000"/>
              </w:rPr>
            </w:pPr>
            <w:r w:rsidRPr="007801A8">
              <w:rPr>
                <w:rFonts w:ascii="Calibri" w:hAnsi="Calibri"/>
                <w:color w:val="000000"/>
              </w:rPr>
              <w:t>(-6.05)</w:t>
            </w:r>
          </w:p>
        </w:tc>
        <w:tc>
          <w:tcPr>
            <w:tcW w:w="1120" w:type="dxa"/>
            <w:tcBorders>
              <w:top w:val="nil"/>
              <w:left w:val="nil"/>
              <w:bottom w:val="nil"/>
              <w:right w:val="nil"/>
            </w:tcBorders>
          </w:tcPr>
          <w:p w14:paraId="0F97DFD5" w14:textId="77777777" w:rsidR="008E390D" w:rsidRPr="007801A8" w:rsidRDefault="008E390D" w:rsidP="008E390D">
            <w:pPr>
              <w:rPr>
                <w:rFonts w:ascii="Calibri" w:hAnsi="Calibri"/>
                <w:color w:val="000000"/>
              </w:rPr>
            </w:pPr>
            <w:r w:rsidRPr="007801A8">
              <w:rPr>
                <w:rFonts w:ascii="Calibri" w:hAnsi="Calibri"/>
                <w:color w:val="000000"/>
              </w:rPr>
              <w:t>-0.042***</w:t>
            </w:r>
          </w:p>
          <w:p w14:paraId="6C7C6AF5" w14:textId="5072BA21" w:rsidR="008E390D" w:rsidRPr="007801A8" w:rsidRDefault="008E390D" w:rsidP="008E390D">
            <w:pPr>
              <w:rPr>
                <w:rFonts w:ascii="Calibri" w:hAnsi="Calibri"/>
                <w:color w:val="000000"/>
              </w:rPr>
            </w:pPr>
            <w:r w:rsidRPr="007801A8">
              <w:rPr>
                <w:rFonts w:ascii="Calibri" w:hAnsi="Calibri"/>
                <w:color w:val="000000"/>
              </w:rPr>
              <w:t>(-6.05)</w:t>
            </w:r>
          </w:p>
        </w:tc>
      </w:tr>
      <w:tr w:rsidR="008E390D" w:rsidRPr="00C35785" w14:paraId="0338EE28" w14:textId="5EC42BA6" w:rsidTr="007801A8">
        <w:trPr>
          <w:trHeight w:val="288"/>
        </w:trPr>
        <w:tc>
          <w:tcPr>
            <w:tcW w:w="2303" w:type="dxa"/>
            <w:tcBorders>
              <w:top w:val="nil"/>
              <w:left w:val="nil"/>
              <w:bottom w:val="nil"/>
              <w:right w:val="nil"/>
            </w:tcBorders>
            <w:noWrap/>
          </w:tcPr>
          <w:p w14:paraId="07A19FD0"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Volume</w:t>
            </w:r>
          </w:p>
        </w:tc>
        <w:tc>
          <w:tcPr>
            <w:tcW w:w="1485" w:type="dxa"/>
            <w:tcBorders>
              <w:top w:val="nil"/>
              <w:left w:val="nil"/>
              <w:bottom w:val="nil"/>
              <w:right w:val="nil"/>
            </w:tcBorders>
            <w:shd w:val="clear" w:color="auto" w:fill="auto"/>
          </w:tcPr>
          <w:p w14:paraId="44A18CEC" w14:textId="58086DCD" w:rsidR="008E390D" w:rsidRPr="007801A8" w:rsidRDefault="008E390D" w:rsidP="008E390D">
            <w:pPr>
              <w:rPr>
                <w:rFonts w:ascii="Calibri" w:hAnsi="Calibri"/>
                <w:color w:val="000000"/>
              </w:rPr>
            </w:pPr>
            <w:r w:rsidRPr="007801A8">
              <w:rPr>
                <w:rFonts w:ascii="Calibri" w:hAnsi="Calibri"/>
                <w:color w:val="000000"/>
              </w:rPr>
              <w:t>0.001</w:t>
            </w:r>
          </w:p>
          <w:p w14:paraId="77E910E7" w14:textId="67812C03" w:rsidR="008E390D" w:rsidRPr="007801A8" w:rsidRDefault="008E390D">
            <w:pPr>
              <w:rPr>
                <w:rFonts w:ascii="Calibri" w:hAnsi="Calibri"/>
                <w:color w:val="000000"/>
              </w:rPr>
            </w:pPr>
            <w:r w:rsidRPr="007801A8">
              <w:rPr>
                <w:rFonts w:ascii="Calibri" w:hAnsi="Calibri"/>
                <w:color w:val="000000"/>
              </w:rPr>
              <w:t>(0.24)</w:t>
            </w:r>
          </w:p>
        </w:tc>
        <w:tc>
          <w:tcPr>
            <w:tcW w:w="1485" w:type="dxa"/>
            <w:tcBorders>
              <w:top w:val="nil"/>
              <w:left w:val="nil"/>
              <w:bottom w:val="nil"/>
              <w:right w:val="nil"/>
            </w:tcBorders>
            <w:noWrap/>
          </w:tcPr>
          <w:p w14:paraId="5E7CB0CC" w14:textId="1FD6C90E" w:rsidR="008E390D" w:rsidRPr="007801A8" w:rsidRDefault="008E390D" w:rsidP="008E390D">
            <w:pPr>
              <w:rPr>
                <w:rFonts w:ascii="Calibri" w:hAnsi="Calibri"/>
                <w:color w:val="000000"/>
              </w:rPr>
            </w:pPr>
            <w:r w:rsidRPr="007801A8">
              <w:rPr>
                <w:rFonts w:ascii="Calibri" w:hAnsi="Calibri"/>
                <w:color w:val="000000"/>
              </w:rPr>
              <w:t>-0.002</w:t>
            </w:r>
          </w:p>
          <w:p w14:paraId="709771D3" w14:textId="3A8AAB80" w:rsidR="008E390D" w:rsidRPr="007801A8" w:rsidRDefault="008E390D">
            <w:pPr>
              <w:rPr>
                <w:rFonts w:ascii="Calibri" w:hAnsi="Calibri"/>
                <w:color w:val="000000"/>
              </w:rPr>
            </w:pPr>
            <w:r w:rsidRPr="007801A8">
              <w:rPr>
                <w:rFonts w:ascii="Calibri" w:hAnsi="Calibri"/>
                <w:color w:val="000000"/>
              </w:rPr>
              <w:t>(-0.69)</w:t>
            </w:r>
          </w:p>
        </w:tc>
        <w:tc>
          <w:tcPr>
            <w:tcW w:w="1485" w:type="dxa"/>
            <w:gridSpan w:val="2"/>
            <w:tcBorders>
              <w:top w:val="nil"/>
              <w:left w:val="nil"/>
              <w:bottom w:val="nil"/>
              <w:right w:val="nil"/>
            </w:tcBorders>
            <w:noWrap/>
          </w:tcPr>
          <w:p w14:paraId="5FA016E6" w14:textId="139CAAAB" w:rsidR="008E390D" w:rsidRPr="004345A0" w:rsidRDefault="008E390D" w:rsidP="008E390D">
            <w:pPr>
              <w:rPr>
                <w:rFonts w:ascii="Calibri" w:hAnsi="Calibri"/>
                <w:color w:val="000000"/>
              </w:rPr>
            </w:pPr>
            <w:r w:rsidRPr="004345A0">
              <w:rPr>
                <w:rFonts w:ascii="Calibri" w:hAnsi="Calibri"/>
                <w:color w:val="000000"/>
              </w:rPr>
              <w:t>-0.00</w:t>
            </w:r>
            <w:r>
              <w:rPr>
                <w:rFonts w:ascii="Calibri" w:hAnsi="Calibri"/>
                <w:color w:val="000000"/>
              </w:rPr>
              <w:t>3</w:t>
            </w:r>
          </w:p>
          <w:p w14:paraId="1D2BEDE5" w14:textId="40D0E7E4" w:rsidR="008E390D" w:rsidRPr="008E7762" w:rsidRDefault="008E390D">
            <w:pPr>
              <w:rPr>
                <w:rFonts w:ascii="Calibri" w:hAnsi="Calibri"/>
                <w:color w:val="000000"/>
                <w:highlight w:val="yellow"/>
              </w:rPr>
            </w:pPr>
            <w:r w:rsidRPr="004345A0">
              <w:rPr>
                <w:rFonts w:ascii="Calibri" w:hAnsi="Calibri"/>
                <w:color w:val="000000"/>
              </w:rPr>
              <w:t>(-0.</w:t>
            </w:r>
            <w:r>
              <w:rPr>
                <w:rFonts w:ascii="Calibri" w:hAnsi="Calibri"/>
                <w:color w:val="000000"/>
              </w:rPr>
              <w:t>71</w:t>
            </w:r>
            <w:r w:rsidRPr="004345A0">
              <w:rPr>
                <w:rFonts w:ascii="Calibri" w:hAnsi="Calibri"/>
                <w:color w:val="000000"/>
              </w:rPr>
              <w:t>)</w:t>
            </w:r>
          </w:p>
        </w:tc>
        <w:tc>
          <w:tcPr>
            <w:tcW w:w="1485" w:type="dxa"/>
            <w:tcBorders>
              <w:top w:val="nil"/>
              <w:left w:val="nil"/>
              <w:bottom w:val="nil"/>
              <w:right w:val="nil"/>
            </w:tcBorders>
          </w:tcPr>
          <w:p w14:paraId="6FA0B82D" w14:textId="49AB6A7F" w:rsidR="008E390D" w:rsidRPr="007801A8" w:rsidRDefault="008E390D" w:rsidP="008E390D">
            <w:pPr>
              <w:rPr>
                <w:rFonts w:ascii="Calibri" w:hAnsi="Calibri"/>
                <w:color w:val="000000"/>
              </w:rPr>
            </w:pPr>
            <w:r w:rsidRPr="007801A8">
              <w:rPr>
                <w:rFonts w:ascii="Calibri" w:hAnsi="Calibri"/>
                <w:color w:val="000000"/>
              </w:rPr>
              <w:t>0.008</w:t>
            </w:r>
          </w:p>
          <w:p w14:paraId="20B59427" w14:textId="36C8B370" w:rsidR="008E390D" w:rsidRPr="007801A8" w:rsidRDefault="008E390D">
            <w:pPr>
              <w:rPr>
                <w:rFonts w:ascii="Calibri" w:hAnsi="Calibri"/>
                <w:color w:val="000000"/>
              </w:rPr>
            </w:pPr>
            <w:r w:rsidRPr="007801A8">
              <w:rPr>
                <w:rFonts w:ascii="Calibri" w:hAnsi="Calibri"/>
                <w:color w:val="000000"/>
              </w:rPr>
              <w:t>(1.44)</w:t>
            </w:r>
          </w:p>
        </w:tc>
        <w:tc>
          <w:tcPr>
            <w:tcW w:w="1485" w:type="dxa"/>
            <w:gridSpan w:val="2"/>
            <w:tcBorders>
              <w:top w:val="nil"/>
              <w:left w:val="nil"/>
              <w:bottom w:val="nil"/>
              <w:right w:val="nil"/>
            </w:tcBorders>
            <w:noWrap/>
          </w:tcPr>
          <w:p w14:paraId="2AB944A0" w14:textId="77777777" w:rsidR="008E390D" w:rsidRPr="005424EC" w:rsidRDefault="008E390D" w:rsidP="008E390D">
            <w:pPr>
              <w:rPr>
                <w:rFonts w:ascii="Calibri" w:hAnsi="Calibri"/>
                <w:color w:val="000000"/>
              </w:rPr>
            </w:pPr>
            <w:r w:rsidRPr="005424EC">
              <w:rPr>
                <w:rFonts w:ascii="Calibri" w:hAnsi="Calibri"/>
                <w:color w:val="000000"/>
              </w:rPr>
              <w:t>0.008</w:t>
            </w:r>
          </w:p>
          <w:p w14:paraId="1DCA807C" w14:textId="208A8A70" w:rsidR="008E390D" w:rsidRPr="007801A8" w:rsidRDefault="008E390D" w:rsidP="008E390D">
            <w:pPr>
              <w:rPr>
                <w:rFonts w:ascii="Calibri" w:hAnsi="Calibri"/>
                <w:color w:val="000000"/>
              </w:rPr>
            </w:pPr>
            <w:r w:rsidRPr="005424EC">
              <w:rPr>
                <w:rFonts w:ascii="Calibri" w:hAnsi="Calibri"/>
                <w:color w:val="000000"/>
              </w:rPr>
              <w:t>(1.44)</w:t>
            </w:r>
          </w:p>
        </w:tc>
        <w:tc>
          <w:tcPr>
            <w:tcW w:w="1485" w:type="dxa"/>
            <w:tcBorders>
              <w:top w:val="nil"/>
              <w:left w:val="nil"/>
              <w:bottom w:val="nil"/>
              <w:right w:val="nil"/>
            </w:tcBorders>
          </w:tcPr>
          <w:p w14:paraId="7AECDCF3" w14:textId="6EA90D30" w:rsidR="008E390D" w:rsidRPr="007801A8" w:rsidRDefault="008E390D" w:rsidP="008E390D">
            <w:pPr>
              <w:rPr>
                <w:rFonts w:ascii="Calibri" w:hAnsi="Calibri"/>
                <w:color w:val="000000"/>
              </w:rPr>
            </w:pPr>
            <w:r w:rsidRPr="007801A8">
              <w:rPr>
                <w:rFonts w:ascii="Calibri" w:hAnsi="Calibri"/>
                <w:color w:val="000000"/>
              </w:rPr>
              <w:t>-0.004</w:t>
            </w:r>
          </w:p>
          <w:p w14:paraId="45CF87EC" w14:textId="508805CD" w:rsidR="008E390D" w:rsidRPr="007801A8" w:rsidRDefault="008E390D">
            <w:pPr>
              <w:rPr>
                <w:rFonts w:ascii="Calibri" w:hAnsi="Calibri"/>
                <w:color w:val="000000"/>
              </w:rPr>
            </w:pPr>
            <w:r w:rsidRPr="007801A8">
              <w:rPr>
                <w:rFonts w:ascii="Calibri" w:hAnsi="Calibri"/>
                <w:color w:val="000000"/>
              </w:rPr>
              <w:t>(-0.86)</w:t>
            </w:r>
          </w:p>
        </w:tc>
        <w:tc>
          <w:tcPr>
            <w:tcW w:w="1120" w:type="dxa"/>
            <w:tcBorders>
              <w:top w:val="nil"/>
              <w:left w:val="nil"/>
              <w:bottom w:val="nil"/>
              <w:right w:val="nil"/>
            </w:tcBorders>
          </w:tcPr>
          <w:p w14:paraId="5C5B7654" w14:textId="77777777" w:rsidR="008E390D" w:rsidRPr="007801A8" w:rsidRDefault="008E390D" w:rsidP="008E390D">
            <w:pPr>
              <w:rPr>
                <w:rFonts w:ascii="Calibri" w:hAnsi="Calibri"/>
                <w:color w:val="000000"/>
              </w:rPr>
            </w:pPr>
            <w:r w:rsidRPr="007801A8">
              <w:rPr>
                <w:rFonts w:ascii="Calibri" w:hAnsi="Calibri"/>
                <w:color w:val="000000"/>
              </w:rPr>
              <w:t>-0.004</w:t>
            </w:r>
          </w:p>
          <w:p w14:paraId="26CB5E17" w14:textId="65CC4CE4" w:rsidR="008E390D" w:rsidRPr="007801A8" w:rsidRDefault="008E390D">
            <w:pPr>
              <w:rPr>
                <w:rFonts w:ascii="Calibri" w:hAnsi="Calibri"/>
                <w:color w:val="000000"/>
              </w:rPr>
            </w:pPr>
            <w:r w:rsidRPr="007801A8">
              <w:rPr>
                <w:rFonts w:ascii="Calibri" w:hAnsi="Calibri"/>
                <w:color w:val="000000"/>
              </w:rPr>
              <w:t>(-0.91)</w:t>
            </w:r>
          </w:p>
        </w:tc>
      </w:tr>
      <w:tr w:rsidR="008E390D" w:rsidRPr="00C35785" w14:paraId="51052AEC" w14:textId="04F68EB6" w:rsidTr="007801A8">
        <w:trPr>
          <w:trHeight w:val="288"/>
        </w:trPr>
        <w:tc>
          <w:tcPr>
            <w:tcW w:w="2303" w:type="dxa"/>
            <w:tcBorders>
              <w:top w:val="nil"/>
              <w:left w:val="nil"/>
              <w:bottom w:val="nil"/>
              <w:right w:val="nil"/>
            </w:tcBorders>
            <w:noWrap/>
          </w:tcPr>
          <w:p w14:paraId="3A15211D"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After</w:t>
            </w:r>
          </w:p>
        </w:tc>
        <w:tc>
          <w:tcPr>
            <w:tcW w:w="1485" w:type="dxa"/>
            <w:tcBorders>
              <w:top w:val="nil"/>
              <w:left w:val="nil"/>
              <w:bottom w:val="nil"/>
              <w:right w:val="nil"/>
            </w:tcBorders>
            <w:shd w:val="clear" w:color="auto" w:fill="auto"/>
            <w:vAlign w:val="bottom"/>
          </w:tcPr>
          <w:p w14:paraId="333AD176" w14:textId="77777777" w:rsidR="008E390D" w:rsidRPr="007801A8" w:rsidRDefault="008E390D" w:rsidP="008E390D">
            <w:pPr>
              <w:rPr>
                <w:rFonts w:ascii="Calibri" w:hAnsi="Calibri"/>
                <w:color w:val="000000"/>
              </w:rPr>
            </w:pPr>
          </w:p>
        </w:tc>
        <w:tc>
          <w:tcPr>
            <w:tcW w:w="1485" w:type="dxa"/>
            <w:tcBorders>
              <w:top w:val="nil"/>
              <w:left w:val="nil"/>
              <w:bottom w:val="nil"/>
              <w:right w:val="nil"/>
            </w:tcBorders>
            <w:noWrap/>
            <w:vAlign w:val="bottom"/>
          </w:tcPr>
          <w:p w14:paraId="673F3B76" w14:textId="5EA69F9C" w:rsidR="008E390D" w:rsidRPr="007801A8" w:rsidRDefault="008E390D" w:rsidP="008E390D">
            <w:pPr>
              <w:rPr>
                <w:rFonts w:ascii="Calibri" w:hAnsi="Calibri"/>
                <w:color w:val="000000"/>
              </w:rPr>
            </w:pPr>
            <w:r w:rsidRPr="007801A8">
              <w:rPr>
                <w:rFonts w:ascii="Calibri" w:hAnsi="Calibri"/>
                <w:color w:val="000000"/>
              </w:rPr>
              <w:t>-0.003*</w:t>
            </w:r>
          </w:p>
          <w:p w14:paraId="57A4324C" w14:textId="4E51CBA0" w:rsidR="008E390D" w:rsidRPr="007801A8" w:rsidRDefault="008E390D" w:rsidP="008E390D">
            <w:pPr>
              <w:rPr>
                <w:rFonts w:ascii="Calibri" w:hAnsi="Calibri"/>
                <w:color w:val="000000"/>
              </w:rPr>
            </w:pPr>
            <w:r w:rsidRPr="007801A8">
              <w:rPr>
                <w:rFonts w:ascii="Calibri" w:hAnsi="Calibri"/>
                <w:color w:val="000000"/>
              </w:rPr>
              <w:t>(-1.65)</w:t>
            </w:r>
          </w:p>
        </w:tc>
        <w:tc>
          <w:tcPr>
            <w:tcW w:w="1485" w:type="dxa"/>
            <w:gridSpan w:val="2"/>
            <w:tcBorders>
              <w:top w:val="nil"/>
              <w:left w:val="nil"/>
              <w:bottom w:val="nil"/>
              <w:right w:val="nil"/>
            </w:tcBorders>
            <w:noWrap/>
            <w:vAlign w:val="bottom"/>
          </w:tcPr>
          <w:p w14:paraId="338EC158" w14:textId="650F5BBF" w:rsidR="008E390D" w:rsidRPr="004345A0" w:rsidRDefault="008E390D" w:rsidP="008E390D">
            <w:pPr>
              <w:rPr>
                <w:rFonts w:ascii="Calibri" w:hAnsi="Calibri"/>
                <w:color w:val="000000"/>
              </w:rPr>
            </w:pPr>
            <w:r w:rsidRPr="004345A0">
              <w:rPr>
                <w:rFonts w:ascii="Calibri" w:hAnsi="Calibri"/>
                <w:color w:val="000000"/>
              </w:rPr>
              <w:t>-0.00</w:t>
            </w:r>
            <w:r>
              <w:rPr>
                <w:rFonts w:ascii="Calibri" w:hAnsi="Calibri"/>
                <w:color w:val="000000"/>
              </w:rPr>
              <w:t>4</w:t>
            </w:r>
            <w:r w:rsidRPr="004345A0">
              <w:rPr>
                <w:rFonts w:ascii="Calibri" w:hAnsi="Calibri"/>
                <w:color w:val="000000"/>
              </w:rPr>
              <w:t>*</w:t>
            </w:r>
          </w:p>
          <w:p w14:paraId="512A7981" w14:textId="5867AC92" w:rsidR="008E390D" w:rsidRPr="00A21800" w:rsidRDefault="008E390D" w:rsidP="008E390D">
            <w:pPr>
              <w:rPr>
                <w:rFonts w:ascii="Calibri" w:hAnsi="Calibri"/>
                <w:color w:val="000000"/>
                <w:highlight w:val="yellow"/>
              </w:rPr>
            </w:pPr>
            <w:r>
              <w:rPr>
                <w:rFonts w:ascii="Calibri" w:hAnsi="Calibri"/>
                <w:color w:val="000000"/>
              </w:rPr>
              <w:t>(-1.62</w:t>
            </w:r>
            <w:r w:rsidRPr="004345A0">
              <w:rPr>
                <w:rFonts w:ascii="Calibri" w:hAnsi="Calibri"/>
                <w:color w:val="000000"/>
              </w:rPr>
              <w:t>)</w:t>
            </w:r>
          </w:p>
        </w:tc>
        <w:tc>
          <w:tcPr>
            <w:tcW w:w="1485" w:type="dxa"/>
            <w:tcBorders>
              <w:top w:val="nil"/>
              <w:left w:val="nil"/>
              <w:bottom w:val="nil"/>
              <w:right w:val="nil"/>
            </w:tcBorders>
            <w:vAlign w:val="bottom"/>
          </w:tcPr>
          <w:p w14:paraId="00935E10" w14:textId="77777777" w:rsidR="008E390D" w:rsidRPr="007801A8" w:rsidRDefault="008E390D" w:rsidP="008E390D">
            <w:pPr>
              <w:rPr>
                <w:rFonts w:ascii="Calibri" w:hAnsi="Calibri"/>
                <w:color w:val="000000"/>
              </w:rPr>
            </w:pPr>
            <w:r w:rsidRPr="007801A8">
              <w:rPr>
                <w:rFonts w:ascii="Calibri" w:hAnsi="Calibri"/>
                <w:color w:val="000000"/>
              </w:rPr>
              <w:t>-0.002</w:t>
            </w:r>
          </w:p>
          <w:p w14:paraId="5DAEF834" w14:textId="79AA48C3" w:rsidR="008E390D" w:rsidRPr="007801A8" w:rsidRDefault="008E390D" w:rsidP="008E390D">
            <w:pPr>
              <w:rPr>
                <w:rFonts w:ascii="Calibri" w:hAnsi="Calibri"/>
                <w:color w:val="000000"/>
              </w:rPr>
            </w:pPr>
            <w:r w:rsidRPr="007801A8">
              <w:rPr>
                <w:rFonts w:ascii="Calibri" w:hAnsi="Calibri"/>
                <w:color w:val="000000"/>
              </w:rPr>
              <w:t>(-0.81)</w:t>
            </w:r>
          </w:p>
        </w:tc>
        <w:tc>
          <w:tcPr>
            <w:tcW w:w="1485" w:type="dxa"/>
            <w:gridSpan w:val="2"/>
            <w:tcBorders>
              <w:top w:val="nil"/>
              <w:left w:val="nil"/>
              <w:bottom w:val="nil"/>
              <w:right w:val="nil"/>
            </w:tcBorders>
            <w:noWrap/>
            <w:vAlign w:val="bottom"/>
          </w:tcPr>
          <w:p w14:paraId="7DEDBC22" w14:textId="24E32DD2" w:rsidR="008E390D" w:rsidRPr="005424EC" w:rsidRDefault="008E390D" w:rsidP="008E390D">
            <w:pPr>
              <w:rPr>
                <w:rFonts w:ascii="Calibri" w:hAnsi="Calibri"/>
                <w:color w:val="000000"/>
              </w:rPr>
            </w:pPr>
            <w:r w:rsidRPr="005424EC">
              <w:rPr>
                <w:rFonts w:ascii="Calibri" w:hAnsi="Calibri"/>
                <w:color w:val="000000"/>
              </w:rPr>
              <w:t>-0.001</w:t>
            </w:r>
          </w:p>
          <w:p w14:paraId="65843948" w14:textId="4563B46C" w:rsidR="008E390D" w:rsidRPr="007801A8" w:rsidRDefault="008E390D">
            <w:pPr>
              <w:rPr>
                <w:rFonts w:ascii="Calibri" w:hAnsi="Calibri"/>
                <w:color w:val="000000"/>
              </w:rPr>
            </w:pPr>
            <w:r w:rsidRPr="005424EC">
              <w:rPr>
                <w:rFonts w:ascii="Calibri" w:hAnsi="Calibri"/>
                <w:color w:val="000000"/>
              </w:rPr>
              <w:t>(-0.25)</w:t>
            </w:r>
          </w:p>
        </w:tc>
        <w:tc>
          <w:tcPr>
            <w:tcW w:w="1485" w:type="dxa"/>
            <w:tcBorders>
              <w:top w:val="nil"/>
              <w:left w:val="nil"/>
              <w:bottom w:val="nil"/>
              <w:right w:val="nil"/>
            </w:tcBorders>
            <w:vAlign w:val="bottom"/>
          </w:tcPr>
          <w:p w14:paraId="00598AC2" w14:textId="2837F62A" w:rsidR="008E390D" w:rsidRPr="007801A8" w:rsidRDefault="008E390D" w:rsidP="008E390D">
            <w:pPr>
              <w:rPr>
                <w:rFonts w:ascii="Calibri" w:hAnsi="Calibri"/>
                <w:color w:val="000000"/>
              </w:rPr>
            </w:pPr>
            <w:r w:rsidRPr="007801A8">
              <w:rPr>
                <w:rFonts w:ascii="Calibri" w:hAnsi="Calibri"/>
                <w:color w:val="000000"/>
              </w:rPr>
              <w:t>-0.006***</w:t>
            </w:r>
          </w:p>
          <w:p w14:paraId="61A6A782" w14:textId="297D6909" w:rsidR="008E390D" w:rsidRPr="007801A8" w:rsidRDefault="008E390D" w:rsidP="008E390D">
            <w:pPr>
              <w:rPr>
                <w:rFonts w:ascii="Calibri" w:hAnsi="Calibri"/>
                <w:color w:val="000000"/>
              </w:rPr>
            </w:pPr>
            <w:r w:rsidRPr="007801A8">
              <w:rPr>
                <w:rFonts w:ascii="Calibri" w:hAnsi="Calibri"/>
                <w:color w:val="000000"/>
              </w:rPr>
              <w:t>(-2.82)</w:t>
            </w:r>
          </w:p>
        </w:tc>
        <w:tc>
          <w:tcPr>
            <w:tcW w:w="1120" w:type="dxa"/>
            <w:tcBorders>
              <w:top w:val="nil"/>
              <w:left w:val="nil"/>
              <w:bottom w:val="nil"/>
              <w:right w:val="nil"/>
            </w:tcBorders>
            <w:vAlign w:val="bottom"/>
          </w:tcPr>
          <w:p w14:paraId="4EF3FE93" w14:textId="047528E7" w:rsidR="008E390D" w:rsidRPr="007801A8" w:rsidRDefault="008E390D" w:rsidP="008E390D">
            <w:pPr>
              <w:rPr>
                <w:rFonts w:ascii="Calibri" w:hAnsi="Calibri"/>
                <w:color w:val="000000"/>
              </w:rPr>
            </w:pPr>
            <w:r w:rsidRPr="007801A8">
              <w:rPr>
                <w:rFonts w:ascii="Calibri" w:hAnsi="Calibri"/>
                <w:color w:val="000000"/>
              </w:rPr>
              <w:t>-0.009***</w:t>
            </w:r>
          </w:p>
          <w:p w14:paraId="01CD7F43" w14:textId="205B9A2B" w:rsidR="008E390D" w:rsidRPr="007801A8" w:rsidRDefault="008E390D">
            <w:pPr>
              <w:rPr>
                <w:rFonts w:ascii="Calibri" w:hAnsi="Calibri"/>
                <w:color w:val="000000"/>
              </w:rPr>
            </w:pPr>
            <w:r w:rsidRPr="007801A8">
              <w:rPr>
                <w:rFonts w:ascii="Calibri" w:hAnsi="Calibri"/>
                <w:color w:val="000000"/>
              </w:rPr>
              <w:t>(-2.69)</w:t>
            </w:r>
          </w:p>
        </w:tc>
      </w:tr>
      <w:tr w:rsidR="008E390D" w:rsidRPr="00C35785" w14:paraId="13B75EEB" w14:textId="77777777" w:rsidTr="007801A8">
        <w:trPr>
          <w:trHeight w:val="288"/>
        </w:trPr>
        <w:tc>
          <w:tcPr>
            <w:tcW w:w="2303" w:type="dxa"/>
            <w:tcBorders>
              <w:top w:val="nil"/>
              <w:left w:val="nil"/>
              <w:bottom w:val="nil"/>
              <w:right w:val="nil"/>
            </w:tcBorders>
            <w:noWrap/>
          </w:tcPr>
          <w:p w14:paraId="5881AD88" w14:textId="1689B70F" w:rsidR="008E390D" w:rsidRPr="007C6F97" w:rsidRDefault="008E390D" w:rsidP="008E390D">
            <w:pPr>
              <w:rPr>
                <w:rFonts w:ascii="Calibri" w:eastAsia="Times New Roman" w:hAnsi="Calibri" w:cs="Times New Roman"/>
                <w:i/>
                <w:color w:val="000000"/>
                <w:lang w:eastAsia="en-NZ"/>
              </w:rPr>
            </w:pPr>
            <w:r>
              <w:rPr>
                <w:rFonts w:ascii="Calibri" w:eastAsia="Times New Roman" w:hAnsi="Calibri" w:cs="Times New Roman"/>
                <w:i/>
                <w:color w:val="000000"/>
                <w:lang w:eastAsia="en-NZ"/>
              </w:rPr>
              <w:t xml:space="preserve">DQ </w:t>
            </w:r>
            <w:r w:rsidRPr="00B376A1">
              <w:rPr>
                <w:rFonts w:ascii="Calibri" w:eastAsia="Times New Roman" w:hAnsi="Calibri" w:cs="Calibri"/>
                <w:i/>
                <w:color w:val="000000"/>
                <w:lang w:eastAsia="en-NZ"/>
              </w:rPr>
              <w:t>×</w:t>
            </w:r>
            <w:r>
              <w:rPr>
                <w:rFonts w:ascii="Calibri" w:eastAsia="Times New Roman" w:hAnsi="Calibri" w:cs="Calibri"/>
                <w:i/>
                <w:color w:val="000000"/>
                <w:lang w:eastAsia="en-NZ"/>
              </w:rPr>
              <w:t xml:space="preserve"> After</w:t>
            </w:r>
          </w:p>
        </w:tc>
        <w:tc>
          <w:tcPr>
            <w:tcW w:w="1485" w:type="dxa"/>
            <w:tcBorders>
              <w:top w:val="nil"/>
              <w:left w:val="nil"/>
              <w:bottom w:val="nil"/>
              <w:right w:val="nil"/>
            </w:tcBorders>
            <w:shd w:val="clear" w:color="auto" w:fill="auto"/>
            <w:vAlign w:val="bottom"/>
          </w:tcPr>
          <w:p w14:paraId="01EB27E1" w14:textId="77777777" w:rsidR="008E390D" w:rsidRPr="007C6F97" w:rsidRDefault="008E390D" w:rsidP="008E390D">
            <w:pPr>
              <w:rPr>
                <w:rFonts w:ascii="Calibri" w:hAnsi="Calibri"/>
                <w:color w:val="000000"/>
              </w:rPr>
            </w:pPr>
          </w:p>
        </w:tc>
        <w:tc>
          <w:tcPr>
            <w:tcW w:w="1485" w:type="dxa"/>
            <w:tcBorders>
              <w:top w:val="nil"/>
              <w:left w:val="nil"/>
              <w:bottom w:val="nil"/>
              <w:right w:val="nil"/>
            </w:tcBorders>
            <w:noWrap/>
            <w:vAlign w:val="bottom"/>
          </w:tcPr>
          <w:p w14:paraId="3565A4AD" w14:textId="77777777" w:rsidR="008E390D" w:rsidRPr="004018E2" w:rsidRDefault="008E390D" w:rsidP="008E390D">
            <w:pPr>
              <w:rPr>
                <w:rFonts w:ascii="Calibri" w:hAnsi="Calibri"/>
                <w:color w:val="000000"/>
              </w:rPr>
            </w:pPr>
          </w:p>
        </w:tc>
        <w:tc>
          <w:tcPr>
            <w:tcW w:w="1485" w:type="dxa"/>
            <w:gridSpan w:val="2"/>
            <w:tcBorders>
              <w:top w:val="nil"/>
              <w:left w:val="nil"/>
              <w:bottom w:val="nil"/>
              <w:right w:val="nil"/>
            </w:tcBorders>
            <w:noWrap/>
            <w:vAlign w:val="bottom"/>
          </w:tcPr>
          <w:p w14:paraId="2058BC25" w14:textId="77777777" w:rsidR="008E390D" w:rsidRPr="007801A8" w:rsidRDefault="008E390D" w:rsidP="008E390D">
            <w:pPr>
              <w:rPr>
                <w:rFonts w:ascii="Calibri" w:hAnsi="Calibri"/>
                <w:color w:val="000000"/>
              </w:rPr>
            </w:pPr>
            <w:r w:rsidRPr="007801A8">
              <w:rPr>
                <w:rFonts w:ascii="Calibri" w:hAnsi="Calibri"/>
                <w:color w:val="000000"/>
              </w:rPr>
              <w:t>0.003</w:t>
            </w:r>
          </w:p>
          <w:p w14:paraId="176B54B3" w14:textId="55E75FC0" w:rsidR="008E390D" w:rsidRPr="00A21800" w:rsidRDefault="008E390D" w:rsidP="008E390D">
            <w:pPr>
              <w:rPr>
                <w:rFonts w:ascii="Calibri" w:hAnsi="Calibri"/>
                <w:color w:val="000000"/>
                <w:highlight w:val="yellow"/>
              </w:rPr>
            </w:pPr>
            <w:r w:rsidRPr="007801A8">
              <w:rPr>
                <w:rFonts w:ascii="Calibri" w:hAnsi="Calibri"/>
                <w:color w:val="000000"/>
              </w:rPr>
              <w:t>(1.01)</w:t>
            </w:r>
          </w:p>
        </w:tc>
        <w:tc>
          <w:tcPr>
            <w:tcW w:w="1485" w:type="dxa"/>
            <w:tcBorders>
              <w:top w:val="nil"/>
              <w:left w:val="nil"/>
              <w:bottom w:val="nil"/>
              <w:right w:val="nil"/>
            </w:tcBorders>
            <w:vAlign w:val="bottom"/>
          </w:tcPr>
          <w:p w14:paraId="0B9D04F6" w14:textId="77777777" w:rsidR="008E390D" w:rsidRPr="007801A8" w:rsidRDefault="008E390D" w:rsidP="008E390D">
            <w:pPr>
              <w:rPr>
                <w:rFonts w:ascii="Calibri" w:hAnsi="Calibri"/>
                <w:color w:val="000000"/>
              </w:rPr>
            </w:pPr>
          </w:p>
        </w:tc>
        <w:tc>
          <w:tcPr>
            <w:tcW w:w="1485" w:type="dxa"/>
            <w:gridSpan w:val="2"/>
            <w:tcBorders>
              <w:top w:val="nil"/>
              <w:left w:val="nil"/>
              <w:bottom w:val="nil"/>
              <w:right w:val="nil"/>
            </w:tcBorders>
            <w:noWrap/>
            <w:vAlign w:val="bottom"/>
          </w:tcPr>
          <w:p w14:paraId="1B381E93" w14:textId="77777777" w:rsidR="008E390D" w:rsidRDefault="008E390D" w:rsidP="008E390D">
            <w:pPr>
              <w:rPr>
                <w:rFonts w:ascii="Calibri" w:hAnsi="Calibri"/>
                <w:color w:val="000000"/>
              </w:rPr>
            </w:pPr>
            <w:r>
              <w:rPr>
                <w:rFonts w:ascii="Calibri" w:hAnsi="Calibri"/>
                <w:color w:val="000000"/>
              </w:rPr>
              <w:t>-0.002</w:t>
            </w:r>
          </w:p>
          <w:p w14:paraId="21D4121B" w14:textId="74D0207F" w:rsidR="008E390D" w:rsidRPr="007801A8" w:rsidRDefault="008E390D" w:rsidP="008E390D">
            <w:pPr>
              <w:rPr>
                <w:rFonts w:ascii="Calibri" w:hAnsi="Calibri"/>
                <w:color w:val="000000"/>
              </w:rPr>
            </w:pPr>
            <w:r>
              <w:rPr>
                <w:rFonts w:ascii="Calibri" w:hAnsi="Calibri"/>
                <w:color w:val="000000"/>
              </w:rPr>
              <w:t>(-0.55)</w:t>
            </w:r>
          </w:p>
        </w:tc>
        <w:tc>
          <w:tcPr>
            <w:tcW w:w="1485" w:type="dxa"/>
            <w:tcBorders>
              <w:top w:val="nil"/>
              <w:left w:val="nil"/>
              <w:bottom w:val="nil"/>
              <w:right w:val="nil"/>
            </w:tcBorders>
            <w:vAlign w:val="bottom"/>
          </w:tcPr>
          <w:p w14:paraId="5FC76D40" w14:textId="77777777" w:rsidR="008E390D" w:rsidRPr="007801A8" w:rsidRDefault="008E390D" w:rsidP="008E390D">
            <w:pPr>
              <w:rPr>
                <w:rFonts w:ascii="Calibri" w:hAnsi="Calibri"/>
                <w:color w:val="000000"/>
              </w:rPr>
            </w:pPr>
          </w:p>
        </w:tc>
        <w:tc>
          <w:tcPr>
            <w:tcW w:w="1120" w:type="dxa"/>
            <w:tcBorders>
              <w:top w:val="nil"/>
              <w:left w:val="nil"/>
              <w:bottom w:val="nil"/>
              <w:right w:val="nil"/>
            </w:tcBorders>
            <w:vAlign w:val="bottom"/>
          </w:tcPr>
          <w:p w14:paraId="745A8F52" w14:textId="20BADE4D" w:rsidR="008E390D" w:rsidRPr="007801A8" w:rsidRDefault="008E390D" w:rsidP="008E390D">
            <w:pPr>
              <w:rPr>
                <w:rFonts w:ascii="Calibri" w:hAnsi="Calibri"/>
                <w:color w:val="000000"/>
              </w:rPr>
            </w:pPr>
            <w:r w:rsidRPr="007801A8">
              <w:rPr>
                <w:rFonts w:ascii="Calibri" w:hAnsi="Calibri"/>
                <w:color w:val="000000"/>
              </w:rPr>
              <w:t>0.008**</w:t>
            </w:r>
          </w:p>
          <w:p w14:paraId="00B7091F" w14:textId="1B4C8A8F" w:rsidR="008E390D" w:rsidRPr="007801A8" w:rsidRDefault="008E390D" w:rsidP="008E390D">
            <w:pPr>
              <w:rPr>
                <w:rFonts w:ascii="Calibri" w:hAnsi="Calibri"/>
                <w:color w:val="000000"/>
              </w:rPr>
            </w:pPr>
            <w:r w:rsidRPr="007801A8">
              <w:rPr>
                <w:rFonts w:ascii="Calibri" w:hAnsi="Calibri"/>
                <w:color w:val="000000"/>
              </w:rPr>
              <w:t>(2.07)</w:t>
            </w:r>
          </w:p>
        </w:tc>
      </w:tr>
      <w:tr w:rsidR="008E390D" w:rsidRPr="00C35785" w14:paraId="06EE30A6" w14:textId="22AB945F" w:rsidTr="007801A8">
        <w:trPr>
          <w:trHeight w:val="288"/>
        </w:trPr>
        <w:tc>
          <w:tcPr>
            <w:tcW w:w="2303" w:type="dxa"/>
            <w:tcBorders>
              <w:top w:val="nil"/>
              <w:left w:val="nil"/>
              <w:bottom w:val="nil"/>
              <w:right w:val="nil"/>
            </w:tcBorders>
            <w:noWrap/>
          </w:tcPr>
          <w:p w14:paraId="4E4C77B3"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Intercept</w:t>
            </w:r>
          </w:p>
        </w:tc>
        <w:tc>
          <w:tcPr>
            <w:tcW w:w="1485" w:type="dxa"/>
            <w:tcBorders>
              <w:top w:val="nil"/>
              <w:left w:val="nil"/>
              <w:bottom w:val="nil"/>
              <w:right w:val="nil"/>
            </w:tcBorders>
            <w:shd w:val="clear" w:color="auto" w:fill="auto"/>
          </w:tcPr>
          <w:p w14:paraId="4084EEBF" w14:textId="0D8DF620"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0.241***</w:t>
            </w:r>
          </w:p>
          <w:p w14:paraId="1077A31D" w14:textId="2E72510F" w:rsidR="008E390D" w:rsidRPr="007801A8" w:rsidRDefault="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(7.37)</w:t>
            </w:r>
          </w:p>
        </w:tc>
        <w:tc>
          <w:tcPr>
            <w:tcW w:w="1485" w:type="dxa"/>
            <w:tcBorders>
              <w:top w:val="nil"/>
              <w:left w:val="nil"/>
              <w:bottom w:val="nil"/>
              <w:right w:val="nil"/>
            </w:tcBorders>
            <w:noWrap/>
          </w:tcPr>
          <w:p w14:paraId="6698F14E" w14:textId="508AFF62"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0.229***</w:t>
            </w:r>
          </w:p>
          <w:p w14:paraId="146E3107" w14:textId="0B5DD87B" w:rsidR="008E390D" w:rsidRPr="007801A8" w:rsidRDefault="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(10.02)</w:t>
            </w:r>
          </w:p>
        </w:tc>
        <w:tc>
          <w:tcPr>
            <w:tcW w:w="1485" w:type="dxa"/>
            <w:gridSpan w:val="2"/>
            <w:tcBorders>
              <w:top w:val="nil"/>
              <w:left w:val="nil"/>
              <w:bottom w:val="nil"/>
              <w:right w:val="nil"/>
            </w:tcBorders>
            <w:noWrap/>
          </w:tcPr>
          <w:p w14:paraId="3B897801" w14:textId="77777777" w:rsidR="008E390D" w:rsidRPr="004345A0" w:rsidRDefault="008E390D" w:rsidP="008E390D">
            <w:pPr>
              <w:rPr>
                <w:rFonts w:ascii="Calibri" w:eastAsia="Times New Roman" w:hAnsi="Calibri" w:cs="Times New Roman"/>
                <w:color w:val="000000"/>
                <w:lang w:eastAsia="en-NZ"/>
              </w:rPr>
            </w:pPr>
            <w:r w:rsidRPr="004345A0">
              <w:rPr>
                <w:rFonts w:ascii="Calibri" w:eastAsia="Times New Roman" w:hAnsi="Calibri" w:cs="Times New Roman"/>
                <w:color w:val="000000"/>
                <w:lang w:eastAsia="en-NZ"/>
              </w:rPr>
              <w:t>0.229***</w:t>
            </w:r>
          </w:p>
          <w:p w14:paraId="6FD8AC7B" w14:textId="64713666" w:rsidR="008E390D" w:rsidRPr="008E7762" w:rsidRDefault="008E390D">
            <w:pPr>
              <w:rPr>
                <w:rFonts w:ascii="Calibri" w:eastAsia="Times New Roman" w:hAnsi="Calibri" w:cs="Times New Roman"/>
                <w:color w:val="000000"/>
                <w:highlight w:val="yellow"/>
                <w:lang w:eastAsia="en-NZ"/>
              </w:rPr>
            </w:pPr>
            <w:r w:rsidRPr="004345A0">
              <w:rPr>
                <w:rFonts w:ascii="Calibri" w:eastAsia="Times New Roman" w:hAnsi="Calibri" w:cs="Times New Roman"/>
                <w:color w:val="000000"/>
                <w:lang w:eastAsia="en-NZ"/>
              </w:rPr>
              <w:t>(10.0</w:t>
            </w:r>
            <w:r>
              <w:rPr>
                <w:rFonts w:ascii="Calibri" w:eastAsia="Times New Roman" w:hAnsi="Calibri" w:cs="Times New Roman"/>
                <w:color w:val="000000"/>
                <w:lang w:eastAsia="en-NZ"/>
              </w:rPr>
              <w:t>6</w:t>
            </w:r>
            <w:r w:rsidRPr="004345A0">
              <w:rPr>
                <w:rFonts w:ascii="Calibri" w:eastAsia="Times New Roman" w:hAnsi="Calibri" w:cs="Times New Roman"/>
                <w:color w:val="000000"/>
                <w:lang w:eastAsia="en-NZ"/>
              </w:rPr>
              <w:t>)</w:t>
            </w:r>
          </w:p>
        </w:tc>
        <w:tc>
          <w:tcPr>
            <w:tcW w:w="1485" w:type="dxa"/>
            <w:tcBorders>
              <w:top w:val="nil"/>
              <w:left w:val="nil"/>
              <w:bottom w:val="nil"/>
              <w:right w:val="nil"/>
            </w:tcBorders>
          </w:tcPr>
          <w:p w14:paraId="743434D9" w14:textId="5D2B2959"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0.458***</w:t>
            </w:r>
          </w:p>
          <w:p w14:paraId="45F79DEA" w14:textId="5AD753E1" w:rsidR="008E390D" w:rsidRPr="007801A8" w:rsidRDefault="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(12.51)</w:t>
            </w:r>
          </w:p>
        </w:tc>
        <w:tc>
          <w:tcPr>
            <w:tcW w:w="1485" w:type="dxa"/>
            <w:gridSpan w:val="2"/>
            <w:tcBorders>
              <w:top w:val="nil"/>
              <w:left w:val="nil"/>
              <w:bottom w:val="nil"/>
              <w:right w:val="nil"/>
            </w:tcBorders>
            <w:noWrap/>
          </w:tcPr>
          <w:p w14:paraId="0C12AC5F" w14:textId="30F0D449" w:rsidR="008E390D" w:rsidRPr="005424EC" w:rsidRDefault="008E390D" w:rsidP="008E390D">
            <w:pPr>
              <w:rPr>
                <w:rFonts w:ascii="Calibri" w:eastAsia="Times New Roman" w:hAnsi="Calibri" w:cs="Times New Roman"/>
                <w:color w:val="000000"/>
                <w:lang w:eastAsia="en-NZ"/>
              </w:rPr>
            </w:pPr>
            <w:r w:rsidRPr="005424EC">
              <w:rPr>
                <w:rFonts w:ascii="Calibri" w:eastAsia="Times New Roman" w:hAnsi="Calibri" w:cs="Times New Roman"/>
                <w:color w:val="000000"/>
                <w:lang w:eastAsia="en-NZ"/>
              </w:rPr>
              <w:t>0.457***</w:t>
            </w:r>
          </w:p>
          <w:p w14:paraId="3C6A93D1" w14:textId="45711FF3" w:rsidR="008E390D" w:rsidRPr="007801A8" w:rsidRDefault="008E390D">
            <w:pPr>
              <w:rPr>
                <w:rFonts w:ascii="Calibri" w:eastAsia="Times New Roman" w:hAnsi="Calibri" w:cs="Times New Roman"/>
                <w:color w:val="000000"/>
                <w:lang w:eastAsia="en-NZ"/>
              </w:rPr>
            </w:pPr>
            <w:r w:rsidRPr="005424EC">
              <w:rPr>
                <w:rFonts w:ascii="Calibri" w:eastAsia="Times New Roman" w:hAnsi="Calibri" w:cs="Times New Roman"/>
                <w:color w:val="000000"/>
                <w:lang w:eastAsia="en-NZ"/>
              </w:rPr>
              <w:t>(12.52)</w:t>
            </w:r>
          </w:p>
        </w:tc>
        <w:tc>
          <w:tcPr>
            <w:tcW w:w="1485" w:type="dxa"/>
            <w:tcBorders>
              <w:top w:val="nil"/>
              <w:left w:val="nil"/>
              <w:bottom w:val="nil"/>
              <w:right w:val="nil"/>
            </w:tcBorders>
          </w:tcPr>
          <w:p w14:paraId="570B6BAD" w14:textId="60D43A80"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0.027</w:t>
            </w:r>
          </w:p>
          <w:p w14:paraId="1056E070" w14:textId="3D81DED8" w:rsidR="008E390D" w:rsidRPr="007801A8" w:rsidRDefault="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(1.12)</w:t>
            </w:r>
          </w:p>
        </w:tc>
        <w:tc>
          <w:tcPr>
            <w:tcW w:w="1120" w:type="dxa"/>
            <w:tcBorders>
              <w:top w:val="nil"/>
              <w:left w:val="nil"/>
              <w:bottom w:val="nil"/>
              <w:right w:val="nil"/>
            </w:tcBorders>
          </w:tcPr>
          <w:p w14:paraId="459F4E70" w14:textId="6172D273"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0.030</w:t>
            </w:r>
          </w:p>
          <w:p w14:paraId="2B67C3A6" w14:textId="13C662A8" w:rsidR="008E390D" w:rsidRPr="007801A8" w:rsidRDefault="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(1.21)</w:t>
            </w:r>
          </w:p>
        </w:tc>
      </w:tr>
      <w:tr w:rsidR="008E390D" w:rsidRPr="00C35785" w14:paraId="51A2A49B" w14:textId="1AA5E1EC" w:rsidTr="007801A8">
        <w:trPr>
          <w:trHeight w:val="288"/>
        </w:trPr>
        <w:tc>
          <w:tcPr>
            <w:tcW w:w="2303" w:type="dxa"/>
            <w:tcBorders>
              <w:top w:val="nil"/>
              <w:left w:val="nil"/>
              <w:bottom w:val="nil"/>
              <w:right w:val="nil"/>
            </w:tcBorders>
            <w:noWrap/>
            <w:hideMark/>
          </w:tcPr>
          <w:p w14:paraId="7ACD166F"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Industry dummies</w:t>
            </w:r>
          </w:p>
        </w:tc>
        <w:tc>
          <w:tcPr>
            <w:tcW w:w="1485" w:type="dxa"/>
            <w:tcBorders>
              <w:top w:val="nil"/>
              <w:left w:val="nil"/>
              <w:bottom w:val="nil"/>
              <w:right w:val="nil"/>
            </w:tcBorders>
            <w:shd w:val="clear" w:color="auto" w:fill="auto"/>
          </w:tcPr>
          <w:p w14:paraId="556C65D9" w14:textId="7CDB70A3"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nil"/>
              <w:right w:val="nil"/>
            </w:tcBorders>
            <w:noWrap/>
            <w:hideMark/>
          </w:tcPr>
          <w:p w14:paraId="28E2A121" w14:textId="7CB69D43"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gridSpan w:val="2"/>
            <w:tcBorders>
              <w:top w:val="nil"/>
              <w:left w:val="nil"/>
              <w:bottom w:val="nil"/>
              <w:right w:val="nil"/>
            </w:tcBorders>
            <w:noWrap/>
            <w:hideMark/>
          </w:tcPr>
          <w:p w14:paraId="194C2BC2"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nil"/>
              <w:right w:val="nil"/>
            </w:tcBorders>
          </w:tcPr>
          <w:p w14:paraId="7B25CC2C" w14:textId="4C385829"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gridSpan w:val="2"/>
            <w:tcBorders>
              <w:top w:val="nil"/>
              <w:left w:val="nil"/>
              <w:bottom w:val="nil"/>
              <w:right w:val="nil"/>
            </w:tcBorders>
            <w:noWrap/>
          </w:tcPr>
          <w:p w14:paraId="1A3770DE" w14:textId="09C38154"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nil"/>
              <w:right w:val="nil"/>
            </w:tcBorders>
          </w:tcPr>
          <w:p w14:paraId="6D903FE0" w14:textId="54E79EFD"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120" w:type="dxa"/>
            <w:tcBorders>
              <w:top w:val="nil"/>
              <w:left w:val="nil"/>
              <w:bottom w:val="nil"/>
              <w:right w:val="nil"/>
            </w:tcBorders>
          </w:tcPr>
          <w:p w14:paraId="68D8DF5E" w14:textId="53A0EFEB"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r>
      <w:tr w:rsidR="008E390D" w:rsidRPr="00C35785" w14:paraId="67F396F7" w14:textId="35493117" w:rsidTr="007801A8">
        <w:trPr>
          <w:trHeight w:val="288"/>
        </w:trPr>
        <w:tc>
          <w:tcPr>
            <w:tcW w:w="2303" w:type="dxa"/>
            <w:tcBorders>
              <w:top w:val="nil"/>
              <w:left w:val="nil"/>
              <w:bottom w:val="single" w:sz="4" w:space="0" w:color="auto"/>
              <w:right w:val="nil"/>
            </w:tcBorders>
            <w:noWrap/>
            <w:hideMark/>
          </w:tcPr>
          <w:p w14:paraId="6791A992"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Year dummies</w:t>
            </w:r>
          </w:p>
        </w:tc>
        <w:tc>
          <w:tcPr>
            <w:tcW w:w="1485" w:type="dxa"/>
            <w:tcBorders>
              <w:top w:val="nil"/>
              <w:left w:val="nil"/>
              <w:bottom w:val="single" w:sz="4" w:space="0" w:color="auto"/>
              <w:right w:val="nil"/>
            </w:tcBorders>
            <w:shd w:val="clear" w:color="auto" w:fill="auto"/>
          </w:tcPr>
          <w:p w14:paraId="2C5E72D8" w14:textId="097D2A29"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single" w:sz="4" w:space="0" w:color="auto"/>
              <w:right w:val="nil"/>
            </w:tcBorders>
            <w:noWrap/>
            <w:hideMark/>
          </w:tcPr>
          <w:p w14:paraId="5A232905" w14:textId="3C6962B6"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gridSpan w:val="2"/>
            <w:tcBorders>
              <w:top w:val="nil"/>
              <w:left w:val="nil"/>
              <w:bottom w:val="single" w:sz="4" w:space="0" w:color="auto"/>
              <w:right w:val="nil"/>
            </w:tcBorders>
            <w:noWrap/>
            <w:hideMark/>
          </w:tcPr>
          <w:p w14:paraId="11E97CA3"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single" w:sz="4" w:space="0" w:color="auto"/>
              <w:right w:val="nil"/>
            </w:tcBorders>
          </w:tcPr>
          <w:p w14:paraId="23B58216" w14:textId="289B05F2"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gridSpan w:val="2"/>
            <w:tcBorders>
              <w:top w:val="nil"/>
              <w:left w:val="nil"/>
              <w:bottom w:val="single" w:sz="4" w:space="0" w:color="auto"/>
              <w:right w:val="nil"/>
            </w:tcBorders>
            <w:noWrap/>
          </w:tcPr>
          <w:p w14:paraId="455F2832" w14:textId="2C451B61"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485" w:type="dxa"/>
            <w:tcBorders>
              <w:top w:val="nil"/>
              <w:left w:val="nil"/>
              <w:bottom w:val="single" w:sz="4" w:space="0" w:color="auto"/>
              <w:right w:val="nil"/>
            </w:tcBorders>
          </w:tcPr>
          <w:p w14:paraId="674A46B0" w14:textId="54CB2926"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c>
          <w:tcPr>
            <w:tcW w:w="1120" w:type="dxa"/>
            <w:tcBorders>
              <w:top w:val="nil"/>
              <w:left w:val="nil"/>
              <w:bottom w:val="single" w:sz="4" w:space="0" w:color="auto"/>
              <w:right w:val="nil"/>
            </w:tcBorders>
          </w:tcPr>
          <w:p w14:paraId="53ED0A48" w14:textId="6020F9DD"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Yes</w:t>
            </w:r>
          </w:p>
        </w:tc>
      </w:tr>
      <w:tr w:rsidR="008E390D" w:rsidRPr="00C35785" w14:paraId="533772FD" w14:textId="4161713A" w:rsidTr="007801A8">
        <w:trPr>
          <w:trHeight w:val="300"/>
        </w:trPr>
        <w:tc>
          <w:tcPr>
            <w:tcW w:w="2303" w:type="dxa"/>
            <w:tcBorders>
              <w:top w:val="single" w:sz="4" w:space="0" w:color="auto"/>
              <w:left w:val="nil"/>
              <w:bottom w:val="nil"/>
              <w:right w:val="nil"/>
            </w:tcBorders>
            <w:hideMark/>
          </w:tcPr>
          <w:p w14:paraId="06F367F0"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 xml:space="preserve">Adj </w:t>
            </w:r>
            <w:r w:rsidRPr="007801A8">
              <w:rPr>
                <w:rFonts w:ascii="Calibri" w:eastAsia="Times New Roman" w:hAnsi="Calibri" w:cs="Times New Roman"/>
                <w:i/>
                <w:color w:val="000000"/>
                <w:lang w:eastAsia="en-NZ"/>
              </w:rPr>
              <w:t>R</w:t>
            </w:r>
            <w:r w:rsidRPr="007801A8">
              <w:rPr>
                <w:rFonts w:ascii="Calibri" w:eastAsia="Times New Roman" w:hAnsi="Calibri" w:cs="Times New Roman"/>
                <w:i/>
                <w:color w:val="000000"/>
                <w:vertAlign w:val="superscript"/>
                <w:lang w:eastAsia="en-NZ"/>
              </w:rPr>
              <w:t>2</w:t>
            </w:r>
          </w:p>
        </w:tc>
        <w:tc>
          <w:tcPr>
            <w:tcW w:w="1485" w:type="dxa"/>
            <w:tcBorders>
              <w:top w:val="single" w:sz="4" w:space="0" w:color="auto"/>
              <w:left w:val="nil"/>
              <w:bottom w:val="nil"/>
              <w:right w:val="nil"/>
            </w:tcBorders>
            <w:shd w:val="clear" w:color="auto" w:fill="auto"/>
            <w:vAlign w:val="bottom"/>
          </w:tcPr>
          <w:p w14:paraId="4DF6D014" w14:textId="6B6D2006" w:rsidR="008E390D" w:rsidRPr="007801A8" w:rsidRDefault="008E390D">
            <w:pPr>
              <w:rPr>
                <w:rFonts w:ascii="Calibri" w:hAnsi="Calibri"/>
                <w:color w:val="000000"/>
              </w:rPr>
            </w:pPr>
            <w:r w:rsidRPr="007801A8">
              <w:rPr>
                <w:rFonts w:ascii="Calibri" w:hAnsi="Calibri"/>
                <w:color w:val="000000"/>
              </w:rPr>
              <w:t>0.</w:t>
            </w:r>
            <w:r>
              <w:rPr>
                <w:rFonts w:ascii="Calibri" w:hAnsi="Calibri"/>
                <w:color w:val="000000"/>
              </w:rPr>
              <w:t>264</w:t>
            </w:r>
          </w:p>
        </w:tc>
        <w:tc>
          <w:tcPr>
            <w:tcW w:w="1485" w:type="dxa"/>
            <w:tcBorders>
              <w:top w:val="single" w:sz="4" w:space="0" w:color="auto"/>
              <w:left w:val="nil"/>
              <w:bottom w:val="nil"/>
              <w:right w:val="nil"/>
            </w:tcBorders>
            <w:noWrap/>
            <w:vAlign w:val="bottom"/>
          </w:tcPr>
          <w:p w14:paraId="42E70C5F" w14:textId="579A41FB" w:rsidR="008E390D" w:rsidRPr="007801A8" w:rsidRDefault="008E390D">
            <w:pPr>
              <w:rPr>
                <w:rFonts w:ascii="Calibri" w:hAnsi="Calibri"/>
                <w:color w:val="000000"/>
              </w:rPr>
            </w:pPr>
            <w:r w:rsidRPr="007801A8">
              <w:rPr>
                <w:rFonts w:ascii="Calibri" w:hAnsi="Calibri"/>
                <w:color w:val="000000"/>
              </w:rPr>
              <w:t>0.246</w:t>
            </w:r>
          </w:p>
        </w:tc>
        <w:tc>
          <w:tcPr>
            <w:tcW w:w="1485" w:type="dxa"/>
            <w:gridSpan w:val="2"/>
            <w:tcBorders>
              <w:top w:val="single" w:sz="4" w:space="0" w:color="auto"/>
              <w:left w:val="nil"/>
              <w:bottom w:val="nil"/>
              <w:right w:val="nil"/>
            </w:tcBorders>
            <w:noWrap/>
            <w:vAlign w:val="bottom"/>
          </w:tcPr>
          <w:p w14:paraId="34D27C78" w14:textId="1FBC59DF" w:rsidR="008E390D" w:rsidRPr="007801A8" w:rsidRDefault="008E390D">
            <w:pPr>
              <w:rPr>
                <w:rFonts w:ascii="Calibri" w:hAnsi="Calibri"/>
                <w:color w:val="000000"/>
              </w:rPr>
            </w:pPr>
            <w:r w:rsidRPr="007801A8">
              <w:rPr>
                <w:rFonts w:ascii="Calibri" w:hAnsi="Calibri"/>
                <w:color w:val="000000"/>
              </w:rPr>
              <w:t>0.246</w:t>
            </w:r>
          </w:p>
        </w:tc>
        <w:tc>
          <w:tcPr>
            <w:tcW w:w="1485" w:type="dxa"/>
            <w:tcBorders>
              <w:top w:val="single" w:sz="4" w:space="0" w:color="auto"/>
              <w:left w:val="nil"/>
              <w:bottom w:val="nil"/>
              <w:right w:val="nil"/>
            </w:tcBorders>
            <w:vAlign w:val="bottom"/>
          </w:tcPr>
          <w:p w14:paraId="5B3C601F" w14:textId="50DE85DB" w:rsidR="008E390D" w:rsidRPr="008E7762" w:rsidRDefault="008E390D" w:rsidP="008E390D">
            <w:pPr>
              <w:rPr>
                <w:rFonts w:ascii="Calibri" w:hAnsi="Calibri"/>
                <w:color w:val="000000"/>
                <w:highlight w:val="yellow"/>
              </w:rPr>
            </w:pPr>
            <w:r>
              <w:rPr>
                <w:rFonts w:ascii="Calibri" w:hAnsi="Calibri" w:cs="Calibri"/>
                <w:color w:val="000000"/>
              </w:rPr>
              <w:t>0.376</w:t>
            </w:r>
          </w:p>
        </w:tc>
        <w:tc>
          <w:tcPr>
            <w:tcW w:w="1485" w:type="dxa"/>
            <w:gridSpan w:val="2"/>
            <w:tcBorders>
              <w:top w:val="single" w:sz="4" w:space="0" w:color="auto"/>
              <w:left w:val="nil"/>
              <w:bottom w:val="nil"/>
              <w:right w:val="nil"/>
            </w:tcBorders>
            <w:noWrap/>
            <w:vAlign w:val="bottom"/>
          </w:tcPr>
          <w:p w14:paraId="09FDC6E9" w14:textId="0B972366" w:rsidR="008E390D" w:rsidRPr="008E7762" w:rsidRDefault="008E390D" w:rsidP="008E390D">
            <w:pPr>
              <w:rPr>
                <w:rFonts w:ascii="Calibri" w:hAnsi="Calibri"/>
                <w:color w:val="000000"/>
                <w:highlight w:val="yellow"/>
              </w:rPr>
            </w:pPr>
            <w:r>
              <w:rPr>
                <w:rFonts w:ascii="Calibri" w:hAnsi="Calibri" w:cs="Calibri"/>
                <w:color w:val="000000"/>
              </w:rPr>
              <w:t>0.376</w:t>
            </w:r>
          </w:p>
        </w:tc>
        <w:tc>
          <w:tcPr>
            <w:tcW w:w="1485" w:type="dxa"/>
            <w:tcBorders>
              <w:top w:val="single" w:sz="4" w:space="0" w:color="auto"/>
              <w:left w:val="nil"/>
              <w:bottom w:val="nil"/>
              <w:right w:val="nil"/>
            </w:tcBorders>
            <w:vAlign w:val="bottom"/>
          </w:tcPr>
          <w:p w14:paraId="761B553A" w14:textId="472E4498" w:rsidR="008E390D" w:rsidRPr="007801A8" w:rsidRDefault="008E390D" w:rsidP="008E390D">
            <w:pPr>
              <w:rPr>
                <w:rFonts w:ascii="Calibri" w:hAnsi="Calibri"/>
                <w:color w:val="000000"/>
              </w:rPr>
            </w:pPr>
            <w:r w:rsidRPr="008E390D">
              <w:rPr>
                <w:rFonts w:ascii="Calibri" w:hAnsi="Calibri" w:cs="Calibri"/>
                <w:color w:val="000000"/>
              </w:rPr>
              <w:t>0.271</w:t>
            </w:r>
          </w:p>
        </w:tc>
        <w:tc>
          <w:tcPr>
            <w:tcW w:w="1120" w:type="dxa"/>
            <w:tcBorders>
              <w:top w:val="single" w:sz="4" w:space="0" w:color="auto"/>
              <w:left w:val="nil"/>
              <w:bottom w:val="nil"/>
              <w:right w:val="nil"/>
            </w:tcBorders>
            <w:vAlign w:val="bottom"/>
          </w:tcPr>
          <w:p w14:paraId="52419416" w14:textId="3BCF79DB" w:rsidR="008E390D" w:rsidRPr="008E7762" w:rsidRDefault="008E390D" w:rsidP="008E390D">
            <w:pPr>
              <w:rPr>
                <w:rFonts w:ascii="Calibri" w:hAnsi="Calibri"/>
                <w:color w:val="000000"/>
                <w:highlight w:val="yellow"/>
              </w:rPr>
            </w:pPr>
            <w:r>
              <w:rPr>
                <w:rFonts w:ascii="Calibri" w:hAnsi="Calibri" w:cs="Calibri"/>
                <w:color w:val="000000"/>
              </w:rPr>
              <w:t>0.272</w:t>
            </w:r>
          </w:p>
        </w:tc>
      </w:tr>
      <w:tr w:rsidR="008E390D" w:rsidRPr="00C35785" w14:paraId="66D18A7F" w14:textId="28FA40D0" w:rsidTr="007801A8">
        <w:trPr>
          <w:trHeight w:val="288"/>
        </w:trPr>
        <w:tc>
          <w:tcPr>
            <w:tcW w:w="2303" w:type="dxa"/>
            <w:tcBorders>
              <w:top w:val="nil"/>
              <w:left w:val="nil"/>
              <w:bottom w:val="nil"/>
              <w:right w:val="nil"/>
            </w:tcBorders>
            <w:hideMark/>
          </w:tcPr>
          <w:p w14:paraId="114332D9"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F</w:t>
            </w:r>
          </w:p>
        </w:tc>
        <w:tc>
          <w:tcPr>
            <w:tcW w:w="1485" w:type="dxa"/>
            <w:tcBorders>
              <w:top w:val="nil"/>
              <w:left w:val="nil"/>
              <w:bottom w:val="nil"/>
              <w:right w:val="nil"/>
            </w:tcBorders>
            <w:shd w:val="clear" w:color="auto" w:fill="auto"/>
            <w:vAlign w:val="bottom"/>
          </w:tcPr>
          <w:p w14:paraId="6A89E9A6" w14:textId="5775CFD4" w:rsidR="008E390D" w:rsidRPr="007801A8" w:rsidRDefault="008E390D" w:rsidP="008E390D">
            <w:pPr>
              <w:rPr>
                <w:rFonts w:ascii="Calibri" w:hAnsi="Calibri"/>
                <w:color w:val="000000"/>
              </w:rPr>
            </w:pPr>
            <w:r>
              <w:rPr>
                <w:rFonts w:ascii="Calibri" w:hAnsi="Calibri"/>
                <w:color w:val="000000"/>
              </w:rPr>
              <w:t>56.83</w:t>
            </w:r>
          </w:p>
        </w:tc>
        <w:tc>
          <w:tcPr>
            <w:tcW w:w="1485" w:type="dxa"/>
            <w:tcBorders>
              <w:top w:val="nil"/>
              <w:left w:val="nil"/>
              <w:bottom w:val="nil"/>
              <w:right w:val="nil"/>
            </w:tcBorders>
            <w:noWrap/>
            <w:vAlign w:val="bottom"/>
          </w:tcPr>
          <w:p w14:paraId="5A0267A0" w14:textId="4CADC1E5" w:rsidR="008E390D" w:rsidRPr="007801A8" w:rsidRDefault="008E390D" w:rsidP="008E390D">
            <w:pPr>
              <w:rPr>
                <w:rFonts w:ascii="Calibri" w:hAnsi="Calibri"/>
                <w:color w:val="000000"/>
              </w:rPr>
            </w:pPr>
            <w:r w:rsidRPr="007801A8">
              <w:rPr>
                <w:rFonts w:ascii="Calibri" w:hAnsi="Calibri"/>
                <w:color w:val="000000"/>
              </w:rPr>
              <w:t>99.77</w:t>
            </w:r>
          </w:p>
        </w:tc>
        <w:tc>
          <w:tcPr>
            <w:tcW w:w="1485" w:type="dxa"/>
            <w:gridSpan w:val="2"/>
            <w:tcBorders>
              <w:top w:val="nil"/>
              <w:left w:val="nil"/>
              <w:bottom w:val="nil"/>
              <w:right w:val="nil"/>
            </w:tcBorders>
            <w:noWrap/>
            <w:vAlign w:val="bottom"/>
          </w:tcPr>
          <w:p w14:paraId="294E5931" w14:textId="4515A670" w:rsidR="008E390D" w:rsidRPr="007801A8" w:rsidRDefault="008E390D" w:rsidP="008E390D">
            <w:pPr>
              <w:rPr>
                <w:rFonts w:ascii="Calibri" w:hAnsi="Calibri"/>
                <w:color w:val="000000"/>
              </w:rPr>
            </w:pPr>
            <w:r w:rsidRPr="007801A8">
              <w:rPr>
                <w:rFonts w:ascii="Calibri" w:hAnsi="Calibri"/>
                <w:color w:val="000000"/>
              </w:rPr>
              <w:t>95.47</w:t>
            </w:r>
          </w:p>
        </w:tc>
        <w:tc>
          <w:tcPr>
            <w:tcW w:w="1485" w:type="dxa"/>
            <w:tcBorders>
              <w:top w:val="nil"/>
              <w:left w:val="nil"/>
              <w:bottom w:val="nil"/>
              <w:right w:val="nil"/>
            </w:tcBorders>
            <w:vAlign w:val="bottom"/>
          </w:tcPr>
          <w:p w14:paraId="622AD079" w14:textId="6DC36089" w:rsidR="008E390D" w:rsidRPr="008E7762" w:rsidRDefault="008E390D">
            <w:pPr>
              <w:rPr>
                <w:rFonts w:ascii="Calibri" w:hAnsi="Calibri"/>
                <w:color w:val="000000"/>
                <w:highlight w:val="yellow"/>
              </w:rPr>
            </w:pPr>
            <w:r>
              <w:rPr>
                <w:rFonts w:ascii="Calibri" w:hAnsi="Calibri" w:cs="Calibri"/>
                <w:color w:val="000000"/>
              </w:rPr>
              <w:t>110.96</w:t>
            </w:r>
          </w:p>
        </w:tc>
        <w:tc>
          <w:tcPr>
            <w:tcW w:w="1485" w:type="dxa"/>
            <w:gridSpan w:val="2"/>
            <w:tcBorders>
              <w:top w:val="nil"/>
              <w:left w:val="nil"/>
              <w:bottom w:val="nil"/>
              <w:right w:val="nil"/>
            </w:tcBorders>
            <w:noWrap/>
            <w:vAlign w:val="bottom"/>
          </w:tcPr>
          <w:p w14:paraId="3DC06E24" w14:textId="536C9C31" w:rsidR="008E390D" w:rsidRPr="008E7762" w:rsidRDefault="008E390D">
            <w:pPr>
              <w:rPr>
                <w:rFonts w:ascii="Calibri" w:hAnsi="Calibri"/>
                <w:color w:val="000000"/>
                <w:highlight w:val="yellow"/>
              </w:rPr>
            </w:pPr>
            <w:r>
              <w:rPr>
                <w:rFonts w:ascii="Calibri" w:hAnsi="Calibri" w:cs="Calibri"/>
                <w:color w:val="000000"/>
              </w:rPr>
              <w:t>105.91</w:t>
            </w:r>
          </w:p>
        </w:tc>
        <w:tc>
          <w:tcPr>
            <w:tcW w:w="1485" w:type="dxa"/>
            <w:tcBorders>
              <w:top w:val="nil"/>
              <w:left w:val="nil"/>
              <w:bottom w:val="nil"/>
              <w:right w:val="nil"/>
            </w:tcBorders>
            <w:vAlign w:val="bottom"/>
          </w:tcPr>
          <w:p w14:paraId="7C3952D6" w14:textId="05C4B0C6" w:rsidR="008E390D" w:rsidRPr="007801A8" w:rsidRDefault="008E390D" w:rsidP="008E390D">
            <w:pPr>
              <w:rPr>
                <w:rFonts w:ascii="Calibri" w:hAnsi="Calibri"/>
                <w:color w:val="000000"/>
              </w:rPr>
            </w:pPr>
            <w:r w:rsidRPr="008E390D">
              <w:rPr>
                <w:rFonts w:ascii="Calibri" w:hAnsi="Calibri" w:cs="Calibri"/>
                <w:color w:val="000000"/>
              </w:rPr>
              <w:t>48.780</w:t>
            </w:r>
          </w:p>
        </w:tc>
        <w:tc>
          <w:tcPr>
            <w:tcW w:w="1120" w:type="dxa"/>
            <w:tcBorders>
              <w:top w:val="nil"/>
              <w:left w:val="nil"/>
              <w:bottom w:val="nil"/>
              <w:right w:val="nil"/>
            </w:tcBorders>
            <w:vAlign w:val="bottom"/>
          </w:tcPr>
          <w:p w14:paraId="23952B1B" w14:textId="2CDCE8E2" w:rsidR="008E390D" w:rsidRPr="008E7762" w:rsidRDefault="008E390D" w:rsidP="008E390D">
            <w:pPr>
              <w:rPr>
                <w:rFonts w:ascii="Calibri" w:hAnsi="Calibri"/>
                <w:color w:val="000000"/>
                <w:highlight w:val="yellow"/>
              </w:rPr>
            </w:pPr>
            <w:r>
              <w:rPr>
                <w:rFonts w:ascii="Calibri" w:hAnsi="Calibri" w:cs="Calibri"/>
                <w:color w:val="000000"/>
              </w:rPr>
              <w:t>46.860</w:t>
            </w:r>
          </w:p>
        </w:tc>
      </w:tr>
      <w:tr w:rsidR="008E390D" w:rsidRPr="00C35785" w14:paraId="0B317F19" w14:textId="28931771" w:rsidTr="007801A8">
        <w:trPr>
          <w:trHeight w:val="288"/>
        </w:trPr>
        <w:tc>
          <w:tcPr>
            <w:tcW w:w="2303" w:type="dxa"/>
            <w:tcBorders>
              <w:top w:val="nil"/>
              <w:left w:val="nil"/>
              <w:bottom w:val="nil"/>
              <w:right w:val="nil"/>
            </w:tcBorders>
            <w:hideMark/>
          </w:tcPr>
          <w:p w14:paraId="0FBB1CEE" w14:textId="77777777" w:rsidR="008E390D" w:rsidRPr="007801A8" w:rsidRDefault="008E390D" w:rsidP="008E390D">
            <w:pPr>
              <w:rPr>
                <w:rFonts w:ascii="Calibri" w:eastAsia="Times New Roman" w:hAnsi="Calibri" w:cs="Times New Roman"/>
                <w:i/>
                <w:color w:val="000000"/>
                <w:lang w:eastAsia="en-NZ"/>
              </w:rPr>
            </w:pPr>
            <w:r w:rsidRPr="007801A8">
              <w:rPr>
                <w:rFonts w:ascii="Calibri" w:eastAsia="Times New Roman" w:hAnsi="Calibri" w:cs="Times New Roman"/>
                <w:i/>
                <w:color w:val="000000"/>
                <w:lang w:eastAsia="en-NZ"/>
              </w:rPr>
              <w:t>p&gt;F</w:t>
            </w:r>
          </w:p>
        </w:tc>
        <w:tc>
          <w:tcPr>
            <w:tcW w:w="1485" w:type="dxa"/>
            <w:tcBorders>
              <w:top w:val="nil"/>
              <w:left w:val="nil"/>
              <w:bottom w:val="nil"/>
              <w:right w:val="nil"/>
            </w:tcBorders>
            <w:shd w:val="clear" w:color="auto" w:fill="auto"/>
            <w:vAlign w:val="bottom"/>
          </w:tcPr>
          <w:p w14:paraId="61C6880F" w14:textId="26BF130E" w:rsidR="008E390D" w:rsidRPr="007801A8" w:rsidRDefault="008E390D" w:rsidP="008E390D">
            <w:pPr>
              <w:rPr>
                <w:rFonts w:ascii="Calibri" w:hAnsi="Calibri"/>
                <w:color w:val="000000"/>
              </w:rPr>
            </w:pPr>
            <w:r w:rsidRPr="007801A8">
              <w:rPr>
                <w:rFonts w:ascii="Calibri" w:hAnsi="Calibri"/>
                <w:color w:val="000000"/>
              </w:rPr>
              <w:t>0.000</w:t>
            </w:r>
          </w:p>
        </w:tc>
        <w:tc>
          <w:tcPr>
            <w:tcW w:w="1485" w:type="dxa"/>
            <w:tcBorders>
              <w:top w:val="nil"/>
              <w:left w:val="nil"/>
              <w:bottom w:val="nil"/>
              <w:right w:val="nil"/>
            </w:tcBorders>
            <w:noWrap/>
            <w:vAlign w:val="bottom"/>
          </w:tcPr>
          <w:p w14:paraId="1851946E" w14:textId="1ED04BBB" w:rsidR="008E390D" w:rsidRPr="007801A8" w:rsidRDefault="008E390D" w:rsidP="008E390D">
            <w:pPr>
              <w:rPr>
                <w:rFonts w:ascii="Calibri" w:hAnsi="Calibri"/>
                <w:color w:val="000000"/>
              </w:rPr>
            </w:pPr>
            <w:r w:rsidRPr="007801A8">
              <w:rPr>
                <w:rFonts w:ascii="Calibri" w:hAnsi="Calibri"/>
                <w:color w:val="000000"/>
              </w:rPr>
              <w:t>0.000</w:t>
            </w:r>
          </w:p>
        </w:tc>
        <w:tc>
          <w:tcPr>
            <w:tcW w:w="1485" w:type="dxa"/>
            <w:gridSpan w:val="2"/>
            <w:tcBorders>
              <w:top w:val="nil"/>
              <w:left w:val="nil"/>
              <w:bottom w:val="nil"/>
              <w:right w:val="nil"/>
            </w:tcBorders>
            <w:noWrap/>
            <w:vAlign w:val="bottom"/>
          </w:tcPr>
          <w:p w14:paraId="0CB7FBC2" w14:textId="77777777" w:rsidR="008E390D" w:rsidRPr="007801A8" w:rsidRDefault="008E390D" w:rsidP="008E390D">
            <w:pPr>
              <w:rPr>
                <w:rFonts w:ascii="Calibri" w:hAnsi="Calibri"/>
                <w:color w:val="000000"/>
              </w:rPr>
            </w:pPr>
            <w:r w:rsidRPr="007801A8">
              <w:rPr>
                <w:rFonts w:ascii="Calibri" w:hAnsi="Calibri"/>
                <w:color w:val="000000"/>
              </w:rPr>
              <w:t>0.000</w:t>
            </w:r>
          </w:p>
        </w:tc>
        <w:tc>
          <w:tcPr>
            <w:tcW w:w="1485" w:type="dxa"/>
            <w:tcBorders>
              <w:top w:val="nil"/>
              <w:left w:val="nil"/>
              <w:bottom w:val="nil"/>
              <w:right w:val="nil"/>
            </w:tcBorders>
            <w:vAlign w:val="bottom"/>
          </w:tcPr>
          <w:p w14:paraId="70264865" w14:textId="24DFBB4A" w:rsidR="008E390D" w:rsidRPr="008E7762" w:rsidRDefault="008E390D">
            <w:pPr>
              <w:rPr>
                <w:rFonts w:ascii="Calibri" w:hAnsi="Calibri"/>
                <w:color w:val="000000"/>
                <w:highlight w:val="yellow"/>
              </w:rPr>
            </w:pPr>
            <w:r>
              <w:rPr>
                <w:rFonts w:ascii="Calibri" w:hAnsi="Calibri" w:cs="Calibri"/>
                <w:color w:val="000000"/>
              </w:rPr>
              <w:t>0.000</w:t>
            </w:r>
          </w:p>
        </w:tc>
        <w:tc>
          <w:tcPr>
            <w:tcW w:w="1485" w:type="dxa"/>
            <w:gridSpan w:val="2"/>
            <w:tcBorders>
              <w:top w:val="nil"/>
              <w:left w:val="nil"/>
              <w:bottom w:val="nil"/>
              <w:right w:val="nil"/>
            </w:tcBorders>
            <w:noWrap/>
            <w:vAlign w:val="bottom"/>
          </w:tcPr>
          <w:p w14:paraId="0941F302" w14:textId="11B9E5B5" w:rsidR="008E390D" w:rsidRPr="008E7762" w:rsidRDefault="008E390D">
            <w:pPr>
              <w:rPr>
                <w:rFonts w:ascii="Calibri" w:hAnsi="Calibri"/>
                <w:color w:val="000000"/>
                <w:highlight w:val="yellow"/>
              </w:rPr>
            </w:pPr>
            <w:r>
              <w:rPr>
                <w:rFonts w:ascii="Calibri" w:hAnsi="Calibri" w:cs="Calibri"/>
                <w:color w:val="000000"/>
              </w:rPr>
              <w:t>0.000</w:t>
            </w:r>
          </w:p>
        </w:tc>
        <w:tc>
          <w:tcPr>
            <w:tcW w:w="1485" w:type="dxa"/>
            <w:tcBorders>
              <w:top w:val="nil"/>
              <w:left w:val="nil"/>
              <w:bottom w:val="nil"/>
              <w:right w:val="nil"/>
            </w:tcBorders>
            <w:vAlign w:val="bottom"/>
          </w:tcPr>
          <w:p w14:paraId="2FFB6EC5" w14:textId="35949C69" w:rsidR="008E390D" w:rsidRPr="007801A8" w:rsidRDefault="008E390D">
            <w:pPr>
              <w:rPr>
                <w:rFonts w:ascii="Calibri" w:hAnsi="Calibri"/>
                <w:color w:val="000000"/>
              </w:rPr>
            </w:pPr>
            <w:r w:rsidRPr="008E390D">
              <w:rPr>
                <w:rFonts w:ascii="Calibri" w:hAnsi="Calibri" w:cs="Calibri"/>
                <w:color w:val="000000"/>
              </w:rPr>
              <w:t>0.000</w:t>
            </w:r>
          </w:p>
        </w:tc>
        <w:tc>
          <w:tcPr>
            <w:tcW w:w="1120" w:type="dxa"/>
            <w:tcBorders>
              <w:top w:val="nil"/>
              <w:left w:val="nil"/>
              <w:bottom w:val="nil"/>
              <w:right w:val="nil"/>
            </w:tcBorders>
            <w:vAlign w:val="bottom"/>
          </w:tcPr>
          <w:p w14:paraId="2DF71E46" w14:textId="0169E92A" w:rsidR="008E390D" w:rsidRPr="008E7762" w:rsidRDefault="008E390D">
            <w:pPr>
              <w:rPr>
                <w:rFonts w:ascii="Calibri" w:hAnsi="Calibri"/>
                <w:color w:val="000000"/>
                <w:highlight w:val="yellow"/>
              </w:rPr>
            </w:pPr>
            <w:r>
              <w:rPr>
                <w:rFonts w:ascii="Calibri" w:hAnsi="Calibri" w:cs="Calibri"/>
                <w:color w:val="000000"/>
              </w:rPr>
              <w:t>0.000</w:t>
            </w:r>
          </w:p>
        </w:tc>
      </w:tr>
      <w:tr w:rsidR="008E390D" w:rsidRPr="00C35785" w14:paraId="2929A4F6" w14:textId="1D9B9000" w:rsidTr="007801A8">
        <w:trPr>
          <w:trHeight w:val="288"/>
        </w:trPr>
        <w:tc>
          <w:tcPr>
            <w:tcW w:w="2303" w:type="dxa"/>
            <w:tcBorders>
              <w:top w:val="nil"/>
              <w:left w:val="nil"/>
              <w:right w:val="nil"/>
            </w:tcBorders>
            <w:hideMark/>
          </w:tcPr>
          <w:p w14:paraId="04E59650" w14:textId="77777777" w:rsidR="008E390D" w:rsidRPr="007801A8" w:rsidRDefault="008E390D" w:rsidP="008E390D">
            <w:pPr>
              <w:rPr>
                <w:rFonts w:ascii="Calibri" w:eastAsia="Times New Roman" w:hAnsi="Calibri" w:cs="Times New Roman"/>
                <w:color w:val="000000"/>
                <w:lang w:eastAsia="en-NZ"/>
              </w:rPr>
            </w:pPr>
            <w:r w:rsidRPr="007801A8">
              <w:rPr>
                <w:rFonts w:ascii="Calibri" w:eastAsia="Times New Roman" w:hAnsi="Calibri" w:cs="Times New Roman"/>
                <w:color w:val="000000"/>
                <w:lang w:eastAsia="en-NZ"/>
              </w:rPr>
              <w:t>Obs</w:t>
            </w:r>
          </w:p>
        </w:tc>
        <w:tc>
          <w:tcPr>
            <w:tcW w:w="1485" w:type="dxa"/>
            <w:tcBorders>
              <w:top w:val="nil"/>
              <w:left w:val="nil"/>
              <w:right w:val="nil"/>
            </w:tcBorders>
            <w:shd w:val="clear" w:color="auto" w:fill="auto"/>
            <w:vAlign w:val="bottom"/>
          </w:tcPr>
          <w:p w14:paraId="7C9E4509" w14:textId="4A7E02D7" w:rsidR="008E390D" w:rsidRPr="007801A8" w:rsidRDefault="008E390D" w:rsidP="008E390D">
            <w:pPr>
              <w:rPr>
                <w:rFonts w:ascii="Calibri" w:hAnsi="Calibri"/>
                <w:color w:val="000000"/>
              </w:rPr>
            </w:pPr>
            <w:r>
              <w:rPr>
                <w:rFonts w:ascii="Calibri" w:hAnsi="Calibri"/>
                <w:color w:val="000000"/>
              </w:rPr>
              <w:t>3265</w:t>
            </w:r>
          </w:p>
        </w:tc>
        <w:tc>
          <w:tcPr>
            <w:tcW w:w="1485" w:type="dxa"/>
            <w:tcBorders>
              <w:top w:val="nil"/>
              <w:left w:val="nil"/>
              <w:right w:val="nil"/>
            </w:tcBorders>
            <w:noWrap/>
            <w:vAlign w:val="bottom"/>
          </w:tcPr>
          <w:p w14:paraId="76C41F53" w14:textId="5D7357D6" w:rsidR="008E390D" w:rsidRPr="007801A8" w:rsidRDefault="008E390D" w:rsidP="008E390D">
            <w:pPr>
              <w:rPr>
                <w:rFonts w:ascii="Calibri" w:hAnsi="Calibri"/>
                <w:color w:val="000000"/>
              </w:rPr>
            </w:pPr>
            <w:r w:rsidRPr="007801A8">
              <w:rPr>
                <w:rFonts w:ascii="Calibri" w:hAnsi="Calibri"/>
                <w:color w:val="000000"/>
              </w:rPr>
              <w:t>6660</w:t>
            </w:r>
          </w:p>
        </w:tc>
        <w:tc>
          <w:tcPr>
            <w:tcW w:w="1485" w:type="dxa"/>
            <w:gridSpan w:val="2"/>
            <w:tcBorders>
              <w:top w:val="nil"/>
              <w:left w:val="nil"/>
              <w:right w:val="nil"/>
            </w:tcBorders>
            <w:noWrap/>
            <w:vAlign w:val="bottom"/>
          </w:tcPr>
          <w:p w14:paraId="5CF2B00E" w14:textId="1E2F34E0" w:rsidR="008E390D" w:rsidRPr="007801A8" w:rsidRDefault="008E390D" w:rsidP="008E390D">
            <w:pPr>
              <w:rPr>
                <w:rFonts w:ascii="Calibri" w:hAnsi="Calibri"/>
                <w:color w:val="000000"/>
              </w:rPr>
            </w:pPr>
            <w:r w:rsidRPr="007801A8">
              <w:rPr>
                <w:rFonts w:ascii="Calibri" w:hAnsi="Calibri"/>
                <w:color w:val="000000"/>
              </w:rPr>
              <w:t>6660</w:t>
            </w:r>
          </w:p>
        </w:tc>
        <w:tc>
          <w:tcPr>
            <w:tcW w:w="1485" w:type="dxa"/>
            <w:tcBorders>
              <w:top w:val="nil"/>
              <w:left w:val="nil"/>
              <w:right w:val="nil"/>
            </w:tcBorders>
            <w:vAlign w:val="bottom"/>
          </w:tcPr>
          <w:p w14:paraId="2B174007" w14:textId="34DCCF57" w:rsidR="008E390D" w:rsidRPr="008E7762" w:rsidRDefault="008E390D" w:rsidP="008E390D">
            <w:pPr>
              <w:rPr>
                <w:rFonts w:ascii="Calibri" w:hAnsi="Calibri"/>
                <w:color w:val="000000"/>
                <w:highlight w:val="yellow"/>
              </w:rPr>
            </w:pPr>
            <w:r>
              <w:rPr>
                <w:rFonts w:ascii="Calibri" w:hAnsi="Calibri" w:cs="Calibri"/>
                <w:color w:val="000000"/>
              </w:rPr>
              <w:t>3829</w:t>
            </w:r>
          </w:p>
        </w:tc>
        <w:tc>
          <w:tcPr>
            <w:tcW w:w="1485" w:type="dxa"/>
            <w:gridSpan w:val="2"/>
            <w:tcBorders>
              <w:top w:val="nil"/>
              <w:left w:val="nil"/>
              <w:right w:val="nil"/>
            </w:tcBorders>
            <w:noWrap/>
            <w:vAlign w:val="bottom"/>
          </w:tcPr>
          <w:p w14:paraId="6559017E" w14:textId="053C8955" w:rsidR="008E390D" w:rsidRPr="008E7762" w:rsidRDefault="008E390D" w:rsidP="008E390D">
            <w:pPr>
              <w:rPr>
                <w:rFonts w:ascii="Calibri" w:hAnsi="Calibri"/>
                <w:color w:val="000000"/>
                <w:highlight w:val="yellow"/>
              </w:rPr>
            </w:pPr>
            <w:r>
              <w:rPr>
                <w:rFonts w:ascii="Calibri" w:hAnsi="Calibri" w:cs="Calibri"/>
                <w:color w:val="000000"/>
              </w:rPr>
              <w:t>3829</w:t>
            </w:r>
          </w:p>
        </w:tc>
        <w:tc>
          <w:tcPr>
            <w:tcW w:w="1485" w:type="dxa"/>
            <w:tcBorders>
              <w:top w:val="nil"/>
              <w:left w:val="nil"/>
              <w:right w:val="nil"/>
            </w:tcBorders>
            <w:vAlign w:val="bottom"/>
          </w:tcPr>
          <w:p w14:paraId="1DFE9936" w14:textId="46E9C711" w:rsidR="008E390D" w:rsidRPr="007801A8" w:rsidRDefault="008E390D" w:rsidP="008E390D">
            <w:pPr>
              <w:rPr>
                <w:rFonts w:ascii="Calibri" w:hAnsi="Calibri"/>
                <w:color w:val="000000"/>
              </w:rPr>
            </w:pPr>
            <w:r w:rsidRPr="008E390D">
              <w:rPr>
                <w:rFonts w:ascii="Calibri" w:hAnsi="Calibri" w:cs="Calibri"/>
                <w:color w:val="000000"/>
              </w:rPr>
              <w:t>2831</w:t>
            </w:r>
          </w:p>
        </w:tc>
        <w:tc>
          <w:tcPr>
            <w:tcW w:w="1120" w:type="dxa"/>
            <w:tcBorders>
              <w:top w:val="nil"/>
              <w:left w:val="nil"/>
              <w:right w:val="nil"/>
            </w:tcBorders>
            <w:vAlign w:val="bottom"/>
          </w:tcPr>
          <w:p w14:paraId="73EFFEE7" w14:textId="0A152786" w:rsidR="008E390D" w:rsidRPr="008E7762" w:rsidRDefault="008E390D" w:rsidP="008E390D">
            <w:pPr>
              <w:rPr>
                <w:rFonts w:ascii="Calibri" w:hAnsi="Calibri"/>
                <w:color w:val="000000"/>
                <w:highlight w:val="yellow"/>
              </w:rPr>
            </w:pPr>
            <w:r>
              <w:rPr>
                <w:rFonts w:ascii="Calibri" w:hAnsi="Calibri" w:cs="Calibri"/>
                <w:color w:val="000000"/>
              </w:rPr>
              <w:t>2831</w:t>
            </w:r>
          </w:p>
        </w:tc>
      </w:tr>
    </w:tbl>
    <w:p w14:paraId="5983443E" w14:textId="77777777" w:rsidR="006865F9" w:rsidRDefault="006865F9" w:rsidP="00477E64">
      <w:pPr>
        <w:jc w:val="both"/>
      </w:pPr>
    </w:p>
    <w:p w14:paraId="78BFC564" w14:textId="242EDD56" w:rsidR="006A55E7" w:rsidRDefault="00E115FD" w:rsidP="00477E64">
      <w:pPr>
        <w:jc w:val="both"/>
      </w:pPr>
      <w:r>
        <w:lastRenderedPageBreak/>
        <w:t xml:space="preserve">For the full, positive </w:t>
      </w:r>
      <w:r w:rsidR="003B13F2" w:rsidRPr="003B13F2">
        <w:rPr>
          <w:i/>
        </w:rPr>
        <w:t>CAR</w:t>
      </w:r>
      <w:r>
        <w:t xml:space="preserve"> and negative </w:t>
      </w:r>
      <w:r w:rsidR="003B13F2" w:rsidRPr="003B13F2">
        <w:rPr>
          <w:i/>
        </w:rPr>
        <w:t>CAR</w:t>
      </w:r>
      <w:r>
        <w:t xml:space="preserve"> samples, this table reports the results of </w:t>
      </w:r>
      <w:r w:rsidRPr="00C774E8">
        <w:t xml:space="preserve">OLS cross-sectional regressions </w:t>
      </w:r>
      <w:r>
        <w:t xml:space="preserve">of the daily bid-ask spread around each project announcement. The dependent variable is the daily post-announcement bid-ask spread </w:t>
      </w:r>
      <w:r w:rsidR="006716DF">
        <w:t>[</w:t>
      </w:r>
      <w:r>
        <w:t>+1,+20</w:t>
      </w:r>
      <w:r w:rsidR="006716DF">
        <w:t>]</w:t>
      </w:r>
      <w:r>
        <w:t xml:space="preserve"> in model 1, and the daily announcement </w:t>
      </w:r>
      <w:r w:rsidR="006716DF">
        <w:t>window</w:t>
      </w:r>
      <w:r>
        <w:t xml:space="preserve"> bid-ask spread </w:t>
      </w:r>
      <w:r w:rsidR="006716DF">
        <w:t>[</w:t>
      </w:r>
      <w:r>
        <w:t>-20,+20</w:t>
      </w:r>
      <w:r w:rsidR="006716DF">
        <w:t>]</w:t>
      </w:r>
      <w:r>
        <w:t xml:space="preserve"> in models 2 to 7. </w:t>
      </w:r>
      <w:r w:rsidR="00477E64" w:rsidRPr="00C774E8">
        <w:t xml:space="preserve">See Appendix </w:t>
      </w:r>
      <w:r w:rsidR="00477E64">
        <w:t>2</w:t>
      </w:r>
      <w:r w:rsidR="00477E64" w:rsidRPr="00C774E8">
        <w:t xml:space="preserve"> for variable definitions. </w:t>
      </w:r>
      <w:r w:rsidRPr="00C774E8">
        <w:t xml:space="preserve">Coefficient estimates are </w:t>
      </w:r>
      <w:r>
        <w:t>reported</w:t>
      </w:r>
      <w:r w:rsidRPr="00C774E8">
        <w:t xml:space="preserve"> with</w:t>
      </w:r>
      <w:r>
        <w:t xml:space="preserve"> heteroscedasticity-robust</w:t>
      </w:r>
      <w:r w:rsidRPr="00C774E8">
        <w:t xml:space="preserve"> </w:t>
      </w:r>
      <w:r w:rsidRPr="00546729">
        <w:rPr>
          <w:i/>
        </w:rPr>
        <w:t>t</w:t>
      </w:r>
      <w:r w:rsidRPr="00C774E8">
        <w:t>-statistics in parentheses below.</w:t>
      </w:r>
      <w:r>
        <w:t xml:space="preserve"> </w:t>
      </w:r>
      <w:r w:rsidR="00477E64" w:rsidRPr="00C774E8">
        <w:t xml:space="preserve">***, ** and * denote significance at the 1%, 5% and 10% levels, respectively. </w:t>
      </w:r>
    </w:p>
    <w:p w14:paraId="0C96CFBE" w14:textId="1D9A2611" w:rsidR="00333AC9" w:rsidRDefault="00333AC9" w:rsidP="00477E64">
      <w:pPr>
        <w:jc w:val="both"/>
      </w:pPr>
    </w:p>
    <w:p w14:paraId="47FA8DAF" w14:textId="67CA277D" w:rsidR="00AA025D" w:rsidRDefault="00AA025D" w:rsidP="00477E64">
      <w:pPr>
        <w:jc w:val="both"/>
      </w:pPr>
    </w:p>
    <w:p w14:paraId="5159C98A" w14:textId="524974CD" w:rsidR="00AA025D" w:rsidRDefault="00AA025D" w:rsidP="00477E64">
      <w:pPr>
        <w:jc w:val="both"/>
      </w:pPr>
    </w:p>
    <w:p w14:paraId="6712C66B" w14:textId="77777777" w:rsidR="00AA025D" w:rsidRDefault="00AA025D" w:rsidP="00477E64">
      <w:pPr>
        <w:jc w:val="both"/>
        <w:sectPr w:rsidR="00AA025D" w:rsidSect="00477E64">
          <w:pgSz w:w="16838" w:h="11906" w:orient="landscape"/>
          <w:pgMar w:top="1440" w:right="2946" w:bottom="1440" w:left="1440" w:header="708" w:footer="708" w:gutter="0"/>
          <w:cols w:space="708"/>
          <w:titlePg/>
          <w:docGrid w:linePitch="360"/>
        </w:sectPr>
      </w:pPr>
    </w:p>
    <w:p w14:paraId="0632BBC7" w14:textId="40DA6651" w:rsidR="006A55E7" w:rsidRDefault="006A55E7" w:rsidP="006A55E7">
      <w:pPr>
        <w:rPr>
          <w:b/>
        </w:rPr>
      </w:pPr>
      <w:r>
        <w:rPr>
          <w:b/>
        </w:rPr>
        <w:lastRenderedPageBreak/>
        <w:t xml:space="preserve">Table </w:t>
      </w:r>
      <w:r w:rsidR="00FF378F">
        <w:rPr>
          <w:b/>
        </w:rPr>
        <w:t>1</w:t>
      </w:r>
      <w:r w:rsidR="0084597F">
        <w:rPr>
          <w:b/>
        </w:rPr>
        <w:t>1</w:t>
      </w:r>
      <w:r>
        <w:rPr>
          <w:b/>
        </w:rPr>
        <w:t xml:space="preserve">  The impact of </w:t>
      </w:r>
      <w:r w:rsidR="009F6F14">
        <w:rPr>
          <w:b/>
        </w:rPr>
        <w:t>transparency</w:t>
      </w:r>
      <w:r>
        <w:rPr>
          <w:b/>
        </w:rPr>
        <w:t xml:space="preserve"> on </w:t>
      </w:r>
      <w:r w:rsidR="006865F9">
        <w:rPr>
          <w:b/>
        </w:rPr>
        <w:t>firm</w:t>
      </w:r>
      <w:r w:rsidR="00347713" w:rsidRPr="00212E7B">
        <w:rPr>
          <w:b/>
        </w:rPr>
        <w:t xml:space="preserve"> </w:t>
      </w:r>
      <w:r w:rsidR="00347713">
        <w:rPr>
          <w:b/>
        </w:rPr>
        <w:t xml:space="preserve">bid-ask spread when </w:t>
      </w:r>
      <w:r w:rsidR="00347713" w:rsidRPr="006A77ED">
        <w:rPr>
          <w:b/>
          <w:i/>
        </w:rPr>
        <w:t>CAR</w:t>
      </w:r>
      <w:r w:rsidR="00347713">
        <w:rPr>
          <w:b/>
        </w:rPr>
        <w:t>&lt;0</w:t>
      </w:r>
    </w:p>
    <w:p w14:paraId="06773A0F" w14:textId="77777777" w:rsidR="00347713" w:rsidRDefault="00347713" w:rsidP="006A55E7">
      <w:pPr>
        <w:rPr>
          <w:b/>
        </w:rPr>
      </w:pPr>
    </w:p>
    <w:tbl>
      <w:tblPr>
        <w:tblStyle w:val="TableGrid"/>
        <w:tblW w:w="8359" w:type="dxa"/>
        <w:tblBorders>
          <w:left w:val="none" w:sz="0" w:space="0" w:color="auto"/>
          <w:right w:val="none" w:sz="0" w:space="0" w:color="auto"/>
          <w:insideV w:val="none" w:sz="0" w:space="0" w:color="auto"/>
        </w:tblBorders>
        <w:tblLook w:val="04A0" w:firstRow="1" w:lastRow="0" w:firstColumn="1" w:lastColumn="0" w:noHBand="0" w:noVBand="1"/>
      </w:tblPr>
      <w:tblGrid>
        <w:gridCol w:w="2266"/>
        <w:gridCol w:w="2267"/>
        <w:gridCol w:w="2267"/>
        <w:gridCol w:w="1559"/>
      </w:tblGrid>
      <w:tr w:rsidR="006A55E7" w14:paraId="0677EDD4" w14:textId="77777777" w:rsidTr="00BC1909">
        <w:tc>
          <w:tcPr>
            <w:tcW w:w="2266" w:type="dxa"/>
            <w:tcBorders>
              <w:bottom w:val="nil"/>
            </w:tcBorders>
          </w:tcPr>
          <w:p w14:paraId="635A63E8" w14:textId="77777777" w:rsidR="006A55E7" w:rsidRPr="008E7762" w:rsidRDefault="006A55E7" w:rsidP="006A55E7"/>
        </w:tc>
        <w:tc>
          <w:tcPr>
            <w:tcW w:w="4534" w:type="dxa"/>
            <w:gridSpan w:val="2"/>
          </w:tcPr>
          <w:p w14:paraId="1DB7B857" w14:textId="77777777" w:rsidR="006A55E7" w:rsidRPr="008E7762" w:rsidRDefault="006A55E7" w:rsidP="006A55E7">
            <w:pPr>
              <w:jc w:val="center"/>
            </w:pPr>
            <w:r w:rsidRPr="008E7762">
              <w:t>Investment transparency score (</w:t>
            </w:r>
            <w:r w:rsidRPr="008E7762">
              <w:rPr>
                <w:i/>
              </w:rPr>
              <w:t>DQ</w:t>
            </w:r>
            <w:r w:rsidRPr="008E7762">
              <w:t>)</w:t>
            </w:r>
          </w:p>
        </w:tc>
        <w:tc>
          <w:tcPr>
            <w:tcW w:w="1559" w:type="dxa"/>
          </w:tcPr>
          <w:p w14:paraId="2C279B27" w14:textId="3AB0464C" w:rsidR="006A55E7" w:rsidRPr="007801A8" w:rsidRDefault="006A55E7">
            <w:pPr>
              <w:jc w:val="center"/>
              <w:rPr>
                <w:i/>
              </w:rPr>
            </w:pPr>
            <w:r w:rsidRPr="00597FA9">
              <w:t>Change in</w:t>
            </w:r>
            <w:r w:rsidRPr="007801A8">
              <w:rPr>
                <w:i/>
              </w:rPr>
              <w:t xml:space="preserve"> </w:t>
            </w:r>
            <w:r w:rsidR="00347713" w:rsidRPr="007801A8">
              <w:rPr>
                <w:i/>
              </w:rPr>
              <w:t>BAS</w:t>
            </w:r>
          </w:p>
        </w:tc>
      </w:tr>
      <w:tr w:rsidR="006A55E7" w14:paraId="464B73CF" w14:textId="77777777" w:rsidTr="00BC1909">
        <w:tc>
          <w:tcPr>
            <w:tcW w:w="2266" w:type="dxa"/>
            <w:tcBorders>
              <w:top w:val="nil"/>
              <w:bottom w:val="nil"/>
            </w:tcBorders>
          </w:tcPr>
          <w:p w14:paraId="41EB9C82" w14:textId="77777777" w:rsidR="006A55E7" w:rsidRPr="008E7762" w:rsidRDefault="006A55E7" w:rsidP="006A55E7"/>
        </w:tc>
        <w:tc>
          <w:tcPr>
            <w:tcW w:w="2267" w:type="dxa"/>
          </w:tcPr>
          <w:p w14:paraId="06DFED70" w14:textId="1593F863" w:rsidR="006A55E7" w:rsidRPr="008E7762" w:rsidRDefault="006A55E7">
            <w:r w:rsidRPr="008E7762">
              <w:t>0</w:t>
            </w:r>
            <w:r w:rsidR="00347713">
              <w:t xml:space="preserve"> = low </w:t>
            </w:r>
            <w:r w:rsidR="00967D25">
              <w:t>transparency</w:t>
            </w:r>
          </w:p>
        </w:tc>
        <w:tc>
          <w:tcPr>
            <w:tcW w:w="2267" w:type="dxa"/>
          </w:tcPr>
          <w:p w14:paraId="57A49CBB" w14:textId="68ACAD6D" w:rsidR="006A55E7" w:rsidRPr="008E7762" w:rsidRDefault="006A55E7">
            <w:r w:rsidRPr="008E7762">
              <w:t>1</w:t>
            </w:r>
            <w:r w:rsidR="00347713">
              <w:t xml:space="preserve">= high </w:t>
            </w:r>
            <w:r w:rsidR="00967D25">
              <w:t>transparency</w:t>
            </w:r>
          </w:p>
        </w:tc>
        <w:tc>
          <w:tcPr>
            <w:tcW w:w="1559" w:type="dxa"/>
          </w:tcPr>
          <w:p w14:paraId="611D90DE" w14:textId="77777777" w:rsidR="006A55E7" w:rsidRPr="008E7762" w:rsidRDefault="006A55E7" w:rsidP="006A55E7">
            <w:r w:rsidRPr="008E7762">
              <w:t>(1) – (0)</w:t>
            </w:r>
          </w:p>
        </w:tc>
      </w:tr>
      <w:tr w:rsidR="006A55E7" w14:paraId="40A7993C" w14:textId="77777777" w:rsidTr="00BC1909">
        <w:tc>
          <w:tcPr>
            <w:tcW w:w="2266" w:type="dxa"/>
            <w:tcBorders>
              <w:top w:val="nil"/>
              <w:bottom w:val="single" w:sz="4" w:space="0" w:color="auto"/>
            </w:tcBorders>
          </w:tcPr>
          <w:p w14:paraId="57A699E6" w14:textId="1813C4CE" w:rsidR="006A55E7" w:rsidRPr="007801A8" w:rsidRDefault="00347713" w:rsidP="00BC1909">
            <w:pPr>
              <w:spacing w:before="120"/>
              <w:rPr>
                <w:i/>
              </w:rPr>
            </w:pPr>
            <w:r w:rsidRPr="007801A8">
              <w:rPr>
                <w:i/>
              </w:rPr>
              <w:t>After</w:t>
            </w:r>
          </w:p>
        </w:tc>
        <w:tc>
          <w:tcPr>
            <w:tcW w:w="2267" w:type="dxa"/>
            <w:tcBorders>
              <w:bottom w:val="single" w:sz="4" w:space="0" w:color="auto"/>
            </w:tcBorders>
          </w:tcPr>
          <w:p w14:paraId="2D6AF442" w14:textId="77777777" w:rsidR="006A55E7" w:rsidRPr="008E7762" w:rsidRDefault="006A55E7" w:rsidP="006A55E7"/>
        </w:tc>
        <w:tc>
          <w:tcPr>
            <w:tcW w:w="2267" w:type="dxa"/>
            <w:tcBorders>
              <w:bottom w:val="single" w:sz="4" w:space="0" w:color="auto"/>
            </w:tcBorders>
          </w:tcPr>
          <w:p w14:paraId="7B294A6F" w14:textId="77777777" w:rsidR="006A55E7" w:rsidRPr="008E7762" w:rsidRDefault="006A55E7" w:rsidP="006A55E7"/>
        </w:tc>
        <w:tc>
          <w:tcPr>
            <w:tcW w:w="1559" w:type="dxa"/>
            <w:tcBorders>
              <w:bottom w:val="single" w:sz="4" w:space="0" w:color="auto"/>
            </w:tcBorders>
          </w:tcPr>
          <w:p w14:paraId="7A1988F2" w14:textId="77777777" w:rsidR="006A55E7" w:rsidRDefault="006A55E7" w:rsidP="006A55E7">
            <w:pPr>
              <w:rPr>
                <w:b/>
              </w:rPr>
            </w:pPr>
          </w:p>
        </w:tc>
      </w:tr>
      <w:tr w:rsidR="006A55E7" w14:paraId="13E42382" w14:textId="77777777" w:rsidTr="00BC1909">
        <w:tc>
          <w:tcPr>
            <w:tcW w:w="2266" w:type="dxa"/>
            <w:tcBorders>
              <w:bottom w:val="nil"/>
            </w:tcBorders>
          </w:tcPr>
          <w:p w14:paraId="78AE6D3B" w14:textId="733381E1" w:rsidR="006A55E7" w:rsidRPr="008E7762" w:rsidRDefault="00347713" w:rsidP="006A55E7">
            <w:r>
              <w:t>0 = before announcement</w:t>
            </w:r>
          </w:p>
        </w:tc>
        <w:tc>
          <w:tcPr>
            <w:tcW w:w="2267" w:type="dxa"/>
            <w:tcBorders>
              <w:bottom w:val="nil"/>
            </w:tcBorders>
            <w:vAlign w:val="bottom"/>
          </w:tcPr>
          <w:p w14:paraId="56A179DA" w14:textId="011DBC82" w:rsidR="006A55E7" w:rsidRPr="008E7762" w:rsidRDefault="006A55E7">
            <w:r w:rsidRPr="008E7762">
              <w:rPr>
                <w:rFonts w:ascii="Calibri" w:hAnsi="Calibri" w:cs="Calibri"/>
                <w:color w:val="000000"/>
              </w:rPr>
              <w:t>0.0</w:t>
            </w:r>
            <w:r w:rsidR="00347713">
              <w:rPr>
                <w:rFonts w:ascii="Calibri" w:hAnsi="Calibri" w:cs="Calibri"/>
                <w:color w:val="000000"/>
              </w:rPr>
              <w:t>00</w:t>
            </w:r>
          </w:p>
        </w:tc>
        <w:tc>
          <w:tcPr>
            <w:tcW w:w="2267" w:type="dxa"/>
            <w:tcBorders>
              <w:bottom w:val="nil"/>
            </w:tcBorders>
            <w:vAlign w:val="bottom"/>
          </w:tcPr>
          <w:p w14:paraId="0BCC7F22" w14:textId="7F09BDEB" w:rsidR="006A55E7" w:rsidRPr="008E7762" w:rsidRDefault="00347713" w:rsidP="006A55E7">
            <w:r>
              <w:t>-0.024</w:t>
            </w:r>
          </w:p>
        </w:tc>
        <w:tc>
          <w:tcPr>
            <w:tcW w:w="1559" w:type="dxa"/>
            <w:tcBorders>
              <w:bottom w:val="nil"/>
            </w:tcBorders>
            <w:vAlign w:val="bottom"/>
          </w:tcPr>
          <w:p w14:paraId="3F35F426" w14:textId="782E4643" w:rsidR="006A55E7" w:rsidRDefault="00347713">
            <w:pPr>
              <w:rPr>
                <w:rFonts w:ascii="Calibri" w:hAnsi="Calibri" w:cs="Calibri"/>
                <w:color w:val="000000"/>
              </w:rPr>
            </w:pPr>
            <w:r>
              <w:rPr>
                <w:rFonts w:ascii="Calibri" w:hAnsi="Calibri" w:cs="Calibri"/>
                <w:color w:val="000000"/>
              </w:rPr>
              <w:t>-</w:t>
            </w:r>
            <w:r w:rsidR="006A55E7">
              <w:rPr>
                <w:rFonts w:ascii="Calibri" w:hAnsi="Calibri" w:cs="Calibri"/>
                <w:color w:val="000000"/>
              </w:rPr>
              <w:t>0.0</w:t>
            </w:r>
            <w:r>
              <w:rPr>
                <w:rFonts w:ascii="Calibri" w:hAnsi="Calibri" w:cs="Calibri"/>
                <w:color w:val="000000"/>
              </w:rPr>
              <w:t>24</w:t>
            </w:r>
          </w:p>
        </w:tc>
      </w:tr>
      <w:tr w:rsidR="006A55E7" w14:paraId="5108E5EA" w14:textId="77777777" w:rsidTr="00BC1909">
        <w:tc>
          <w:tcPr>
            <w:tcW w:w="2266" w:type="dxa"/>
            <w:tcBorders>
              <w:top w:val="nil"/>
              <w:bottom w:val="single" w:sz="4" w:space="0" w:color="auto"/>
            </w:tcBorders>
          </w:tcPr>
          <w:p w14:paraId="3232F391" w14:textId="2957B788" w:rsidR="006A55E7" w:rsidRPr="008E7762" w:rsidRDefault="00347713" w:rsidP="006A55E7">
            <w:r>
              <w:t>1 = after announcement</w:t>
            </w:r>
          </w:p>
        </w:tc>
        <w:tc>
          <w:tcPr>
            <w:tcW w:w="2267" w:type="dxa"/>
            <w:tcBorders>
              <w:top w:val="nil"/>
              <w:bottom w:val="single" w:sz="4" w:space="0" w:color="auto"/>
            </w:tcBorders>
            <w:vAlign w:val="bottom"/>
          </w:tcPr>
          <w:p w14:paraId="67B6C423" w14:textId="68A823E2" w:rsidR="006A55E7" w:rsidRPr="008E7762" w:rsidRDefault="00347713">
            <w:r>
              <w:rPr>
                <w:rFonts w:ascii="Calibri" w:hAnsi="Calibri" w:cs="Calibri"/>
                <w:color w:val="000000"/>
              </w:rPr>
              <w:t>-</w:t>
            </w:r>
            <w:r w:rsidR="006A55E7" w:rsidRPr="008E7762">
              <w:rPr>
                <w:rFonts w:ascii="Calibri" w:hAnsi="Calibri" w:cs="Calibri"/>
                <w:color w:val="000000"/>
              </w:rPr>
              <w:t>0.0</w:t>
            </w:r>
            <w:r>
              <w:rPr>
                <w:rFonts w:ascii="Calibri" w:hAnsi="Calibri" w:cs="Calibri"/>
                <w:color w:val="000000"/>
              </w:rPr>
              <w:t>09</w:t>
            </w:r>
          </w:p>
        </w:tc>
        <w:tc>
          <w:tcPr>
            <w:tcW w:w="2267" w:type="dxa"/>
            <w:tcBorders>
              <w:top w:val="nil"/>
              <w:bottom w:val="single" w:sz="4" w:space="0" w:color="auto"/>
            </w:tcBorders>
            <w:vAlign w:val="bottom"/>
          </w:tcPr>
          <w:p w14:paraId="698F50F9" w14:textId="199AE0AB" w:rsidR="006A55E7" w:rsidRPr="008E7762" w:rsidRDefault="00347713">
            <w:r>
              <w:rPr>
                <w:rFonts w:ascii="Calibri" w:hAnsi="Calibri" w:cs="Calibri"/>
                <w:color w:val="000000"/>
              </w:rPr>
              <w:t>-</w:t>
            </w:r>
            <w:r w:rsidR="006A55E7" w:rsidRPr="008E7762">
              <w:rPr>
                <w:rFonts w:ascii="Calibri" w:hAnsi="Calibri" w:cs="Calibri"/>
                <w:color w:val="000000"/>
              </w:rPr>
              <w:t>0.0</w:t>
            </w:r>
            <w:r>
              <w:rPr>
                <w:rFonts w:ascii="Calibri" w:hAnsi="Calibri" w:cs="Calibri"/>
                <w:color w:val="000000"/>
              </w:rPr>
              <w:t>26</w:t>
            </w:r>
          </w:p>
        </w:tc>
        <w:tc>
          <w:tcPr>
            <w:tcW w:w="1559" w:type="dxa"/>
            <w:tcBorders>
              <w:top w:val="nil"/>
              <w:bottom w:val="single" w:sz="4" w:space="0" w:color="auto"/>
            </w:tcBorders>
            <w:vAlign w:val="bottom"/>
          </w:tcPr>
          <w:p w14:paraId="3A224DA1" w14:textId="79118C29" w:rsidR="006A55E7" w:rsidRDefault="00347713">
            <w:pPr>
              <w:rPr>
                <w:rFonts w:ascii="Calibri" w:hAnsi="Calibri" w:cs="Calibri"/>
                <w:color w:val="000000"/>
              </w:rPr>
            </w:pPr>
            <w:r>
              <w:rPr>
                <w:rFonts w:ascii="Calibri" w:hAnsi="Calibri" w:cs="Calibri"/>
                <w:color w:val="000000"/>
              </w:rPr>
              <w:t>-0.016</w:t>
            </w:r>
          </w:p>
        </w:tc>
      </w:tr>
      <w:tr w:rsidR="006A55E7" w14:paraId="35409831" w14:textId="77777777" w:rsidTr="00BC1909">
        <w:tc>
          <w:tcPr>
            <w:tcW w:w="2266" w:type="dxa"/>
            <w:tcBorders>
              <w:top w:val="single" w:sz="4" w:space="0" w:color="auto"/>
            </w:tcBorders>
          </w:tcPr>
          <w:p w14:paraId="662080C4" w14:textId="77777777" w:rsidR="00597FA9" w:rsidRDefault="00347713">
            <w:pPr>
              <w:rPr>
                <w:i/>
              </w:rPr>
            </w:pPr>
            <w:r>
              <w:t xml:space="preserve">Change in </w:t>
            </w:r>
            <w:r w:rsidRPr="007801A8">
              <w:rPr>
                <w:i/>
              </w:rPr>
              <w:t>BAS</w:t>
            </w:r>
          </w:p>
          <w:p w14:paraId="2688AFCE" w14:textId="26AA7934" w:rsidR="006A55E7" w:rsidRPr="00597FA9" w:rsidRDefault="00597FA9">
            <w:r w:rsidRPr="007801A8">
              <w:t>(1) – (0)</w:t>
            </w:r>
          </w:p>
        </w:tc>
        <w:tc>
          <w:tcPr>
            <w:tcW w:w="2267" w:type="dxa"/>
            <w:tcBorders>
              <w:top w:val="single" w:sz="4" w:space="0" w:color="auto"/>
            </w:tcBorders>
            <w:vAlign w:val="bottom"/>
          </w:tcPr>
          <w:p w14:paraId="64CD260F" w14:textId="42D81BC3" w:rsidR="006A55E7" w:rsidRPr="008E7762" w:rsidRDefault="00347713">
            <w:r>
              <w:t>-0.009</w:t>
            </w:r>
          </w:p>
        </w:tc>
        <w:tc>
          <w:tcPr>
            <w:tcW w:w="2267" w:type="dxa"/>
            <w:tcBorders>
              <w:top w:val="single" w:sz="4" w:space="0" w:color="auto"/>
            </w:tcBorders>
            <w:vAlign w:val="bottom"/>
          </w:tcPr>
          <w:p w14:paraId="2D39FE71" w14:textId="7BA15CBB" w:rsidR="006A55E7" w:rsidRPr="008E7762" w:rsidRDefault="00347713">
            <w:r>
              <w:t>-0.002</w:t>
            </w:r>
          </w:p>
        </w:tc>
        <w:tc>
          <w:tcPr>
            <w:tcW w:w="1559" w:type="dxa"/>
            <w:tcBorders>
              <w:top w:val="single" w:sz="4" w:space="0" w:color="auto"/>
            </w:tcBorders>
            <w:vAlign w:val="bottom"/>
          </w:tcPr>
          <w:p w14:paraId="24E30B98" w14:textId="7C0297DC" w:rsidR="006A55E7" w:rsidRPr="007801A8" w:rsidRDefault="00347713">
            <w:r w:rsidRPr="007801A8">
              <w:t>0.008</w:t>
            </w:r>
          </w:p>
        </w:tc>
      </w:tr>
    </w:tbl>
    <w:p w14:paraId="2C73F010" w14:textId="77777777" w:rsidR="006A55E7" w:rsidRDefault="006A55E7" w:rsidP="006A55E7">
      <w:pPr>
        <w:rPr>
          <w:b/>
        </w:rPr>
      </w:pPr>
    </w:p>
    <w:p w14:paraId="5A9FCF2B" w14:textId="1530F1AA" w:rsidR="006865F9" w:rsidRPr="002B6789" w:rsidRDefault="006865F9" w:rsidP="006865F9">
      <w:r w:rsidRPr="002B6789">
        <w:t>This table estimates the i</w:t>
      </w:r>
      <w:r>
        <w:t>mpact</w:t>
      </w:r>
      <w:r w:rsidRPr="002B6789">
        <w:t xml:space="preserve"> of </w:t>
      </w:r>
      <w:r>
        <w:t>the level of transparency</w:t>
      </w:r>
      <w:r w:rsidRPr="002B6789">
        <w:t xml:space="preserve"> on </w:t>
      </w:r>
      <w:r>
        <w:t>firm</w:t>
      </w:r>
      <w:r w:rsidRPr="002B6789">
        <w:t xml:space="preserve"> </w:t>
      </w:r>
      <w:r w:rsidRPr="006A77ED">
        <w:rPr>
          <w:i/>
        </w:rPr>
        <w:t>BAS</w:t>
      </w:r>
      <w:r>
        <w:rPr>
          <w:i/>
        </w:rPr>
        <w:t xml:space="preserve"> </w:t>
      </w:r>
      <w:r>
        <w:t>surrounding a project announcement.</w:t>
      </w:r>
    </w:p>
    <w:p w14:paraId="23F65573" w14:textId="7FC6162E" w:rsidR="00333AC9" w:rsidRDefault="00867207" w:rsidP="006A77ED">
      <w:pPr>
        <w:jc w:val="both"/>
      </w:pPr>
      <w:r>
        <w:fldChar w:fldCharType="begin"/>
      </w:r>
      <w:r>
        <w:instrText xml:space="preserve"> ADDIN </w:instrText>
      </w:r>
      <w:r>
        <w:fldChar w:fldCharType="end"/>
      </w:r>
    </w:p>
    <w:sectPr w:rsidR="00333AC9" w:rsidSect="007801A8">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448C14" w14:textId="77777777" w:rsidR="004157B0" w:rsidRDefault="004157B0" w:rsidP="00B22EFD">
      <w:r>
        <w:separator/>
      </w:r>
    </w:p>
  </w:endnote>
  <w:endnote w:type="continuationSeparator" w:id="0">
    <w:p w14:paraId="607B18D8" w14:textId="77777777" w:rsidR="004157B0" w:rsidRDefault="004157B0" w:rsidP="00B22E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017749"/>
      <w:docPartObj>
        <w:docPartGallery w:val="Page Numbers (Bottom of Page)"/>
        <w:docPartUnique/>
      </w:docPartObj>
    </w:sdtPr>
    <w:sdtEndPr>
      <w:rPr>
        <w:noProof/>
      </w:rPr>
    </w:sdtEndPr>
    <w:sdtContent>
      <w:p w14:paraId="3124C00D" w14:textId="7AD41144" w:rsidR="00EA23DD" w:rsidRDefault="00EA23DD">
        <w:pPr>
          <w:pStyle w:val="Footer"/>
          <w:jc w:val="center"/>
        </w:pPr>
        <w:r>
          <w:fldChar w:fldCharType="begin"/>
        </w:r>
        <w:r>
          <w:instrText xml:space="preserve"> PAGE   \* MERGEFORMAT </w:instrText>
        </w:r>
        <w:r>
          <w:fldChar w:fldCharType="separate"/>
        </w:r>
        <w:r w:rsidR="00867207">
          <w:rPr>
            <w:noProof/>
          </w:rPr>
          <w:t>2</w:t>
        </w:r>
        <w:r>
          <w:rPr>
            <w:noProof/>
          </w:rPr>
          <w:fldChar w:fldCharType="end"/>
        </w:r>
      </w:p>
    </w:sdtContent>
  </w:sdt>
  <w:p w14:paraId="7D67394F" w14:textId="77777777" w:rsidR="00EA23DD" w:rsidRDefault="00EA23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2042790"/>
      <w:docPartObj>
        <w:docPartGallery w:val="Page Numbers (Bottom of Page)"/>
        <w:docPartUnique/>
      </w:docPartObj>
    </w:sdtPr>
    <w:sdtEndPr>
      <w:rPr>
        <w:noProof/>
      </w:rPr>
    </w:sdtEndPr>
    <w:sdtContent>
      <w:p w14:paraId="69781650" w14:textId="615A2D7E" w:rsidR="00EA23DD" w:rsidRDefault="00EA23DD">
        <w:pPr>
          <w:pStyle w:val="Footer"/>
          <w:jc w:val="center"/>
        </w:pPr>
        <w:r>
          <w:fldChar w:fldCharType="begin"/>
        </w:r>
        <w:r>
          <w:instrText xml:space="preserve"> PAGE   \* MERGEFORMAT </w:instrText>
        </w:r>
        <w:r>
          <w:fldChar w:fldCharType="separate"/>
        </w:r>
        <w:r w:rsidR="00867207">
          <w:rPr>
            <w:noProof/>
          </w:rPr>
          <w:t>46</w:t>
        </w:r>
        <w:r>
          <w:rPr>
            <w:noProof/>
          </w:rPr>
          <w:fldChar w:fldCharType="end"/>
        </w:r>
      </w:p>
    </w:sdtContent>
  </w:sdt>
  <w:p w14:paraId="59388CA2" w14:textId="77777777" w:rsidR="00EA23DD" w:rsidRDefault="00EA23D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1696661"/>
      <w:docPartObj>
        <w:docPartGallery w:val="Page Numbers (Bottom of Page)"/>
        <w:docPartUnique/>
      </w:docPartObj>
    </w:sdtPr>
    <w:sdtEndPr>
      <w:rPr>
        <w:noProof/>
      </w:rPr>
    </w:sdtEndPr>
    <w:sdtContent>
      <w:p w14:paraId="5E6F4B81" w14:textId="2E47393F" w:rsidR="00EA23DD" w:rsidRDefault="00EA23DD">
        <w:pPr>
          <w:pStyle w:val="Footer"/>
          <w:jc w:val="center"/>
        </w:pPr>
        <w:r>
          <w:fldChar w:fldCharType="begin"/>
        </w:r>
        <w:r>
          <w:instrText xml:space="preserve"> PAGE   \* MERGEFORMAT </w:instrText>
        </w:r>
        <w:r>
          <w:fldChar w:fldCharType="separate"/>
        </w:r>
        <w:r w:rsidR="00867207">
          <w:rPr>
            <w:noProof/>
          </w:rPr>
          <w:t>45</w:t>
        </w:r>
        <w:r>
          <w:rPr>
            <w:noProof/>
          </w:rPr>
          <w:fldChar w:fldCharType="end"/>
        </w:r>
      </w:p>
    </w:sdtContent>
  </w:sdt>
  <w:p w14:paraId="6EB089B9" w14:textId="77777777" w:rsidR="00EA23DD" w:rsidRDefault="00EA23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B860D" w14:textId="77777777" w:rsidR="004157B0" w:rsidRDefault="004157B0" w:rsidP="00B22EFD">
      <w:r>
        <w:separator/>
      </w:r>
    </w:p>
  </w:footnote>
  <w:footnote w:type="continuationSeparator" w:id="0">
    <w:p w14:paraId="10EC0392" w14:textId="77777777" w:rsidR="004157B0" w:rsidRDefault="004157B0" w:rsidP="00B22EFD">
      <w:r>
        <w:continuationSeparator/>
      </w:r>
    </w:p>
  </w:footnote>
  <w:footnote w:id="1">
    <w:p w14:paraId="0B63BB24" w14:textId="3E3548E0" w:rsidR="00EA23DD" w:rsidRDefault="00EA23DD">
      <w:pPr>
        <w:pStyle w:val="FootnoteText"/>
      </w:pPr>
      <w:r>
        <w:rPr>
          <w:rStyle w:val="FootnoteReference"/>
        </w:rPr>
        <w:footnoteRef/>
      </w:r>
      <w:r>
        <w:t xml:space="preserve"> This is based upon the same announcement data as Chen et al., </w:t>
      </w:r>
      <w:r>
        <w:fldChar w:fldCharType="begin"/>
      </w:r>
      <w:r>
        <w:instrText xml:space="preserve"> ADDIN EN.CITE &lt;EndNote&gt;&lt;Cite ExcludeAuth="1"&gt;&lt;Author&gt;Chen&lt;/Author&gt;&lt;Year&gt;2017&lt;/Year&gt;&lt;RecNum&gt;2299&lt;/RecNum&gt;&lt;DisplayText&gt;(2017)&lt;/DisplayText&gt;&lt;record&gt;&lt;rec-number&gt;2299&lt;/rec-number&gt;&lt;foreign-keys&gt;&lt;key app="EN" db-id="20p2wrv0m2av96e55d1pzxv2zxx5pvw55d55" timestamp="1504219323"&gt;2299&lt;/key&gt;&lt;/foreign-keys&gt;&lt;ref-type name="Report"&gt;27&lt;/ref-type&gt;&lt;contributors&gt;&lt;authors&gt;&lt;author&gt;Chen, J.G.&lt;/author&gt;&lt;author&gt;Smith, D.J.&lt;/author&gt;&lt;author&gt;Wirth, C.G.&lt;/author&gt;&lt;/authors&gt;&lt;/contributors&gt;&lt;titles&gt;&lt;title&gt;How is investment efficiency related to investment transparency?&lt;/title&gt;&lt;secondary-title&gt;30th Australasian Finance &amp;amp; Banking Conference&lt;/secondary-title&gt;&lt;/titles&gt;&lt;pages&gt;39&lt;/pages&gt;&lt;keywords&gt;&lt;keyword&gt;investment transparency, investment efficiency, information disclosure, capital expenditures&lt;/keyword&gt;&lt;/keywords&gt;&lt;dates&gt;&lt;year&gt;2017&lt;/year&gt;&lt;/dates&gt;&lt;pub-location&gt;Available at SSRN&lt;/pub-location&gt;&lt;publisher&gt;https://papers.ssrn.com/sol3/papers.cfm?abstract_id=3005686&lt;/publisher&gt;&lt;work-type&gt;30th Australasian Finance &amp;amp; Banking Conference&lt;/work-type&gt;&lt;urls&gt;&lt;/urls&gt;&lt;/record&gt;&lt;/Cite&gt;&lt;/EndNote&gt;</w:instrText>
      </w:r>
      <w:r>
        <w:fldChar w:fldCharType="separate"/>
      </w:r>
      <w:r>
        <w:rPr>
          <w:noProof/>
        </w:rPr>
        <w:t>(</w:t>
      </w:r>
      <w:hyperlink w:anchor="_ENREF_11" w:tooltip="Chen, 2017 #2299" w:history="1">
        <w:r>
          <w:rPr>
            <w:noProof/>
          </w:rPr>
          <w:t>2017</w:t>
        </w:r>
      </w:hyperlink>
      <w:r>
        <w:rPr>
          <w:noProof/>
        </w:rPr>
        <w:t>)</w:t>
      </w:r>
      <w:r>
        <w:fldChar w:fldCharType="end"/>
      </w:r>
      <w:r>
        <w:t xml:space="preserve"> who study corporate motivations for disclosure of new capital expenditure projects.   </w:t>
      </w:r>
    </w:p>
  </w:footnote>
  <w:footnote w:id="2">
    <w:p w14:paraId="1887BAC9" w14:textId="67ECD476" w:rsidR="00EA23DD" w:rsidRDefault="00EA23DD" w:rsidP="00E30487">
      <w:pPr>
        <w:pStyle w:val="FootnoteText"/>
      </w:pPr>
      <w:r>
        <w:rPr>
          <w:rStyle w:val="FootnoteReference"/>
        </w:rPr>
        <w:footnoteRef/>
      </w:r>
      <w:r>
        <w:t xml:space="preserve"> The financial sector is comprised of real estate investment trusts, real estate services and asset management companies, but excludes banking.</w:t>
      </w:r>
    </w:p>
  </w:footnote>
  <w:footnote w:id="3">
    <w:p w14:paraId="0CBBA6F8" w14:textId="39445740" w:rsidR="00EA23DD" w:rsidRDefault="00EA23DD" w:rsidP="00B72F9B">
      <w:pPr>
        <w:pStyle w:val="FootnoteText"/>
      </w:pPr>
      <w:r>
        <w:rPr>
          <w:rStyle w:val="FootnoteReference"/>
        </w:rPr>
        <w:footnoteRef/>
      </w:r>
      <w:r>
        <w:t xml:space="preserve"> For firms with fewer observations, we require at least three years of data.</w:t>
      </w:r>
    </w:p>
  </w:footnote>
  <w:footnote w:id="4">
    <w:p w14:paraId="177DC0DE" w14:textId="054B075B" w:rsidR="00EA23DD" w:rsidRPr="005C245A" w:rsidRDefault="00EA23DD" w:rsidP="005C245A">
      <w:pPr>
        <w:pStyle w:val="FootnoteText"/>
      </w:pPr>
      <w:r>
        <w:rPr>
          <w:rStyle w:val="FootnoteReference"/>
        </w:rPr>
        <w:footnoteRef/>
      </w:r>
      <w:r>
        <w:t xml:space="preserve"> </w:t>
      </w:r>
      <w:r w:rsidRPr="005C245A">
        <w:t xml:space="preserve">Untabulated results reveal that the negative </w:t>
      </w:r>
      <w:r w:rsidRPr="005C245A">
        <w:rPr>
          <w:i/>
        </w:rPr>
        <w:t>CAR</w:t>
      </w:r>
      <w:r w:rsidRPr="005C245A">
        <w:t xml:space="preserve"> announcements are spread across the entire sample period</w:t>
      </w:r>
      <w:r>
        <w:t>, and are not concentrated in any particular years.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70662"/>
    <w:multiLevelType w:val="hybridMultilevel"/>
    <w:tmpl w:val="133A205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595965CE"/>
    <w:multiLevelType w:val="hybridMultilevel"/>
    <w:tmpl w:val="BE8E07F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6D6059EC"/>
    <w:multiLevelType w:val="hybridMultilevel"/>
    <w:tmpl w:val="5866A3C2"/>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78005A01"/>
    <w:multiLevelType w:val="hybridMultilevel"/>
    <w:tmpl w:val="86C0F3B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7E5562C6"/>
    <w:multiLevelType w:val="hybridMultilevel"/>
    <w:tmpl w:val="27C87A6A"/>
    <w:lvl w:ilvl="0" w:tplc="14090001">
      <w:start w:val="1"/>
      <w:numFmt w:val="bullet"/>
      <w:lvlText w:val=""/>
      <w:lvlJc w:val="left"/>
      <w:pPr>
        <w:ind w:left="1080" w:hanging="360"/>
      </w:pPr>
      <w:rPr>
        <w:rFonts w:ascii="Symbol" w:hAnsi="Symbol" w:hint="default"/>
      </w:rPr>
    </w:lvl>
    <w:lvl w:ilvl="1" w:tplc="14090003">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 Copy Edi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0p2wrv0m2av96e55d1pzxv2zxx5pvw55d55&quot;&gt;Carolyns EndNote Library&lt;record-ids&gt;&lt;item&gt;360&lt;/item&gt;&lt;item&gt;363&lt;/item&gt;&lt;item&gt;417&lt;/item&gt;&lt;item&gt;437&lt;/item&gt;&lt;item&gt;439&lt;/item&gt;&lt;item&gt;440&lt;/item&gt;&lt;item&gt;474&lt;/item&gt;&lt;item&gt;626&lt;/item&gt;&lt;item&gt;636&lt;/item&gt;&lt;item&gt;719&lt;/item&gt;&lt;item&gt;859&lt;/item&gt;&lt;item&gt;897&lt;/item&gt;&lt;item&gt;983&lt;/item&gt;&lt;item&gt;1076&lt;/item&gt;&lt;item&gt;1078&lt;/item&gt;&lt;item&gt;1275&lt;/item&gt;&lt;item&gt;1442&lt;/item&gt;&lt;item&gt;1474&lt;/item&gt;&lt;item&gt;1601&lt;/item&gt;&lt;item&gt;1906&lt;/item&gt;&lt;item&gt;1974&lt;/item&gt;&lt;item&gt;1979&lt;/item&gt;&lt;item&gt;1982&lt;/item&gt;&lt;item&gt;1984&lt;/item&gt;&lt;item&gt;2084&lt;/item&gt;&lt;item&gt;2114&lt;/item&gt;&lt;item&gt;2123&lt;/item&gt;&lt;item&gt;2139&lt;/item&gt;&lt;item&gt;2148&lt;/item&gt;&lt;item&gt;2159&lt;/item&gt;&lt;item&gt;2171&lt;/item&gt;&lt;item&gt;2202&lt;/item&gt;&lt;item&gt;2230&lt;/item&gt;&lt;item&gt;2231&lt;/item&gt;&lt;item&gt;2242&lt;/item&gt;&lt;item&gt;2248&lt;/item&gt;&lt;item&gt;2253&lt;/item&gt;&lt;item&gt;2254&lt;/item&gt;&lt;item&gt;2291&lt;/item&gt;&lt;item&gt;2294&lt;/item&gt;&lt;item&gt;2299&lt;/item&gt;&lt;item&gt;2306&lt;/item&gt;&lt;item&gt;2321&lt;/item&gt;&lt;item&gt;2329&lt;/item&gt;&lt;item&gt;2348&lt;/item&gt;&lt;item&gt;2369&lt;/item&gt;&lt;item&gt;2378&lt;/item&gt;&lt;item&gt;2382&lt;/item&gt;&lt;item&gt;2383&lt;/item&gt;&lt;/record-ids&gt;&lt;/item&gt;&lt;/Libraries&gt;"/>
  </w:docVars>
  <w:rsids>
    <w:rsidRoot w:val="00E7058B"/>
    <w:rsid w:val="000000AC"/>
    <w:rsid w:val="00000847"/>
    <w:rsid w:val="000019C2"/>
    <w:rsid w:val="00001BF9"/>
    <w:rsid w:val="00003CF3"/>
    <w:rsid w:val="000048B7"/>
    <w:rsid w:val="000049FB"/>
    <w:rsid w:val="00005849"/>
    <w:rsid w:val="00005922"/>
    <w:rsid w:val="00005D4C"/>
    <w:rsid w:val="000068D4"/>
    <w:rsid w:val="000068ED"/>
    <w:rsid w:val="00007183"/>
    <w:rsid w:val="00012EA2"/>
    <w:rsid w:val="00014115"/>
    <w:rsid w:val="00015DF8"/>
    <w:rsid w:val="000164B5"/>
    <w:rsid w:val="000168FE"/>
    <w:rsid w:val="000172B6"/>
    <w:rsid w:val="00017E68"/>
    <w:rsid w:val="000211A0"/>
    <w:rsid w:val="00022AAB"/>
    <w:rsid w:val="0002658F"/>
    <w:rsid w:val="00027788"/>
    <w:rsid w:val="00027793"/>
    <w:rsid w:val="000312F2"/>
    <w:rsid w:val="00032FA4"/>
    <w:rsid w:val="00033065"/>
    <w:rsid w:val="00033340"/>
    <w:rsid w:val="00035E2F"/>
    <w:rsid w:val="00037016"/>
    <w:rsid w:val="000370D0"/>
    <w:rsid w:val="00037305"/>
    <w:rsid w:val="00037C43"/>
    <w:rsid w:val="000410DD"/>
    <w:rsid w:val="00041AF5"/>
    <w:rsid w:val="00042BA2"/>
    <w:rsid w:val="00042BBC"/>
    <w:rsid w:val="00042C75"/>
    <w:rsid w:val="00043286"/>
    <w:rsid w:val="00044054"/>
    <w:rsid w:val="00044252"/>
    <w:rsid w:val="0004438F"/>
    <w:rsid w:val="00044F60"/>
    <w:rsid w:val="00045F25"/>
    <w:rsid w:val="00046D79"/>
    <w:rsid w:val="00050756"/>
    <w:rsid w:val="000507BD"/>
    <w:rsid w:val="000509E8"/>
    <w:rsid w:val="0005109D"/>
    <w:rsid w:val="00051135"/>
    <w:rsid w:val="000512F6"/>
    <w:rsid w:val="00051DC6"/>
    <w:rsid w:val="00053151"/>
    <w:rsid w:val="00053FD0"/>
    <w:rsid w:val="0005511E"/>
    <w:rsid w:val="00055276"/>
    <w:rsid w:val="000566E4"/>
    <w:rsid w:val="000572D7"/>
    <w:rsid w:val="00060CFB"/>
    <w:rsid w:val="00061053"/>
    <w:rsid w:val="00061A66"/>
    <w:rsid w:val="00061A7F"/>
    <w:rsid w:val="00061C61"/>
    <w:rsid w:val="00062597"/>
    <w:rsid w:val="00062C95"/>
    <w:rsid w:val="000642D7"/>
    <w:rsid w:val="00064BB0"/>
    <w:rsid w:val="0006502D"/>
    <w:rsid w:val="00065A73"/>
    <w:rsid w:val="000661D6"/>
    <w:rsid w:val="00067101"/>
    <w:rsid w:val="000700D5"/>
    <w:rsid w:val="00070130"/>
    <w:rsid w:val="00070D33"/>
    <w:rsid w:val="00070F03"/>
    <w:rsid w:val="00071D6B"/>
    <w:rsid w:val="000721E8"/>
    <w:rsid w:val="00073A3E"/>
    <w:rsid w:val="00073FBA"/>
    <w:rsid w:val="00075533"/>
    <w:rsid w:val="00077186"/>
    <w:rsid w:val="000804A7"/>
    <w:rsid w:val="000826D1"/>
    <w:rsid w:val="000836F3"/>
    <w:rsid w:val="000839FB"/>
    <w:rsid w:val="00083E99"/>
    <w:rsid w:val="000848D9"/>
    <w:rsid w:val="00086331"/>
    <w:rsid w:val="00086A7B"/>
    <w:rsid w:val="00087C24"/>
    <w:rsid w:val="00087D66"/>
    <w:rsid w:val="00087FFA"/>
    <w:rsid w:val="000910D4"/>
    <w:rsid w:val="00091958"/>
    <w:rsid w:val="00091C2D"/>
    <w:rsid w:val="000924D9"/>
    <w:rsid w:val="0009333D"/>
    <w:rsid w:val="00093F78"/>
    <w:rsid w:val="00095180"/>
    <w:rsid w:val="000956C7"/>
    <w:rsid w:val="0009575C"/>
    <w:rsid w:val="00096C63"/>
    <w:rsid w:val="00096D24"/>
    <w:rsid w:val="00097600"/>
    <w:rsid w:val="000A2564"/>
    <w:rsid w:val="000A2DF8"/>
    <w:rsid w:val="000A2F0F"/>
    <w:rsid w:val="000A408E"/>
    <w:rsid w:val="000A53AE"/>
    <w:rsid w:val="000A5684"/>
    <w:rsid w:val="000A57C9"/>
    <w:rsid w:val="000A7FB3"/>
    <w:rsid w:val="000B0BB5"/>
    <w:rsid w:val="000B2798"/>
    <w:rsid w:val="000B4A1A"/>
    <w:rsid w:val="000B5E29"/>
    <w:rsid w:val="000B7407"/>
    <w:rsid w:val="000C26E7"/>
    <w:rsid w:val="000C409B"/>
    <w:rsid w:val="000C44D6"/>
    <w:rsid w:val="000C7AF5"/>
    <w:rsid w:val="000D035D"/>
    <w:rsid w:val="000D099F"/>
    <w:rsid w:val="000D0BBB"/>
    <w:rsid w:val="000D333C"/>
    <w:rsid w:val="000D4696"/>
    <w:rsid w:val="000D4918"/>
    <w:rsid w:val="000D5BBF"/>
    <w:rsid w:val="000D6D8F"/>
    <w:rsid w:val="000D7034"/>
    <w:rsid w:val="000D711F"/>
    <w:rsid w:val="000D7238"/>
    <w:rsid w:val="000D738C"/>
    <w:rsid w:val="000D74C1"/>
    <w:rsid w:val="000E004C"/>
    <w:rsid w:val="000E0BF3"/>
    <w:rsid w:val="000E181D"/>
    <w:rsid w:val="000E4204"/>
    <w:rsid w:val="000E425C"/>
    <w:rsid w:val="000E63A0"/>
    <w:rsid w:val="000E6441"/>
    <w:rsid w:val="000E6520"/>
    <w:rsid w:val="000E6AFD"/>
    <w:rsid w:val="000E7214"/>
    <w:rsid w:val="000F0867"/>
    <w:rsid w:val="000F2F76"/>
    <w:rsid w:val="000F4089"/>
    <w:rsid w:val="000F49FE"/>
    <w:rsid w:val="000F5100"/>
    <w:rsid w:val="000F6058"/>
    <w:rsid w:val="001014D6"/>
    <w:rsid w:val="0010168D"/>
    <w:rsid w:val="00102C92"/>
    <w:rsid w:val="0010317D"/>
    <w:rsid w:val="00103E4F"/>
    <w:rsid w:val="0010416B"/>
    <w:rsid w:val="001047C5"/>
    <w:rsid w:val="00104EF4"/>
    <w:rsid w:val="00107649"/>
    <w:rsid w:val="00107DA4"/>
    <w:rsid w:val="00107E0A"/>
    <w:rsid w:val="00110125"/>
    <w:rsid w:val="00110FFF"/>
    <w:rsid w:val="0011187B"/>
    <w:rsid w:val="0011254D"/>
    <w:rsid w:val="00112C3C"/>
    <w:rsid w:val="00113E96"/>
    <w:rsid w:val="001141B0"/>
    <w:rsid w:val="0011470D"/>
    <w:rsid w:val="00115E99"/>
    <w:rsid w:val="0012012A"/>
    <w:rsid w:val="00120765"/>
    <w:rsid w:val="00120B8D"/>
    <w:rsid w:val="001212A0"/>
    <w:rsid w:val="001212D0"/>
    <w:rsid w:val="00121909"/>
    <w:rsid w:val="001239FB"/>
    <w:rsid w:val="001241D0"/>
    <w:rsid w:val="00124F06"/>
    <w:rsid w:val="00125CCE"/>
    <w:rsid w:val="00127816"/>
    <w:rsid w:val="00127944"/>
    <w:rsid w:val="0013120A"/>
    <w:rsid w:val="00131A5B"/>
    <w:rsid w:val="001323CD"/>
    <w:rsid w:val="00132BD4"/>
    <w:rsid w:val="00134000"/>
    <w:rsid w:val="00134056"/>
    <w:rsid w:val="00134659"/>
    <w:rsid w:val="001357CF"/>
    <w:rsid w:val="001361E2"/>
    <w:rsid w:val="00140520"/>
    <w:rsid w:val="00141C97"/>
    <w:rsid w:val="0014221E"/>
    <w:rsid w:val="001429C0"/>
    <w:rsid w:val="00143592"/>
    <w:rsid w:val="00144BBA"/>
    <w:rsid w:val="00145424"/>
    <w:rsid w:val="00145AE8"/>
    <w:rsid w:val="00146485"/>
    <w:rsid w:val="001513E0"/>
    <w:rsid w:val="001539D6"/>
    <w:rsid w:val="0015489D"/>
    <w:rsid w:val="00160F56"/>
    <w:rsid w:val="00160F7A"/>
    <w:rsid w:val="00161467"/>
    <w:rsid w:val="00161DC5"/>
    <w:rsid w:val="001625F6"/>
    <w:rsid w:val="001654AE"/>
    <w:rsid w:val="00165DE4"/>
    <w:rsid w:val="001674F0"/>
    <w:rsid w:val="001677BE"/>
    <w:rsid w:val="001708EA"/>
    <w:rsid w:val="0017094F"/>
    <w:rsid w:val="00171468"/>
    <w:rsid w:val="00171B70"/>
    <w:rsid w:val="00171DF3"/>
    <w:rsid w:val="00171FEA"/>
    <w:rsid w:val="00172052"/>
    <w:rsid w:val="00172346"/>
    <w:rsid w:val="00173994"/>
    <w:rsid w:val="00174773"/>
    <w:rsid w:val="001762E2"/>
    <w:rsid w:val="0017682E"/>
    <w:rsid w:val="00176B7F"/>
    <w:rsid w:val="00180AEC"/>
    <w:rsid w:val="00180AF5"/>
    <w:rsid w:val="00180D98"/>
    <w:rsid w:val="0018305D"/>
    <w:rsid w:val="0018535C"/>
    <w:rsid w:val="001861AF"/>
    <w:rsid w:val="00187D4B"/>
    <w:rsid w:val="0019071C"/>
    <w:rsid w:val="0019193A"/>
    <w:rsid w:val="0019411B"/>
    <w:rsid w:val="00196F38"/>
    <w:rsid w:val="001A0255"/>
    <w:rsid w:val="001A23AE"/>
    <w:rsid w:val="001A2DA0"/>
    <w:rsid w:val="001A2EB3"/>
    <w:rsid w:val="001A5025"/>
    <w:rsid w:val="001A5A7C"/>
    <w:rsid w:val="001A5C5A"/>
    <w:rsid w:val="001A7566"/>
    <w:rsid w:val="001B0134"/>
    <w:rsid w:val="001B1AC5"/>
    <w:rsid w:val="001B2004"/>
    <w:rsid w:val="001B2154"/>
    <w:rsid w:val="001B2456"/>
    <w:rsid w:val="001B42A3"/>
    <w:rsid w:val="001B4846"/>
    <w:rsid w:val="001B53AD"/>
    <w:rsid w:val="001B6388"/>
    <w:rsid w:val="001B7495"/>
    <w:rsid w:val="001B7F74"/>
    <w:rsid w:val="001C05C3"/>
    <w:rsid w:val="001C0FC3"/>
    <w:rsid w:val="001C2124"/>
    <w:rsid w:val="001C2E40"/>
    <w:rsid w:val="001C42A8"/>
    <w:rsid w:val="001C4BB7"/>
    <w:rsid w:val="001C77CB"/>
    <w:rsid w:val="001D1638"/>
    <w:rsid w:val="001D1651"/>
    <w:rsid w:val="001D218E"/>
    <w:rsid w:val="001D4368"/>
    <w:rsid w:val="001D58FB"/>
    <w:rsid w:val="001D5B1B"/>
    <w:rsid w:val="001D7DE1"/>
    <w:rsid w:val="001E0176"/>
    <w:rsid w:val="001E0BFD"/>
    <w:rsid w:val="001E1B82"/>
    <w:rsid w:val="001E29BB"/>
    <w:rsid w:val="001E3100"/>
    <w:rsid w:val="001E512E"/>
    <w:rsid w:val="001E61CD"/>
    <w:rsid w:val="001E7A64"/>
    <w:rsid w:val="001F128A"/>
    <w:rsid w:val="001F261C"/>
    <w:rsid w:val="001F26C0"/>
    <w:rsid w:val="001F2F62"/>
    <w:rsid w:val="001F3880"/>
    <w:rsid w:val="001F3D44"/>
    <w:rsid w:val="001F40B6"/>
    <w:rsid w:val="001F4347"/>
    <w:rsid w:val="001F5853"/>
    <w:rsid w:val="001F6D47"/>
    <w:rsid w:val="001F7756"/>
    <w:rsid w:val="00200FCE"/>
    <w:rsid w:val="002026E2"/>
    <w:rsid w:val="00202AC4"/>
    <w:rsid w:val="00203AF4"/>
    <w:rsid w:val="00203C44"/>
    <w:rsid w:val="00203DEC"/>
    <w:rsid w:val="002046C0"/>
    <w:rsid w:val="00205693"/>
    <w:rsid w:val="0020650B"/>
    <w:rsid w:val="00207667"/>
    <w:rsid w:val="002102E9"/>
    <w:rsid w:val="00212559"/>
    <w:rsid w:val="00212E7B"/>
    <w:rsid w:val="002133FF"/>
    <w:rsid w:val="00214BAE"/>
    <w:rsid w:val="002161F0"/>
    <w:rsid w:val="00217A45"/>
    <w:rsid w:val="00220D2A"/>
    <w:rsid w:val="00222464"/>
    <w:rsid w:val="0022273C"/>
    <w:rsid w:val="002236D7"/>
    <w:rsid w:val="002240E7"/>
    <w:rsid w:val="00225D70"/>
    <w:rsid w:val="00226566"/>
    <w:rsid w:val="00226C65"/>
    <w:rsid w:val="002274CD"/>
    <w:rsid w:val="00227AF7"/>
    <w:rsid w:val="0023037B"/>
    <w:rsid w:val="00230536"/>
    <w:rsid w:val="00230CE2"/>
    <w:rsid w:val="00230DAF"/>
    <w:rsid w:val="00233465"/>
    <w:rsid w:val="0023363A"/>
    <w:rsid w:val="002363BA"/>
    <w:rsid w:val="002366C8"/>
    <w:rsid w:val="00237E16"/>
    <w:rsid w:val="00240907"/>
    <w:rsid w:val="00240FD4"/>
    <w:rsid w:val="002421DA"/>
    <w:rsid w:val="002428B0"/>
    <w:rsid w:val="00243099"/>
    <w:rsid w:val="0024361C"/>
    <w:rsid w:val="00243B51"/>
    <w:rsid w:val="00244305"/>
    <w:rsid w:val="00247C68"/>
    <w:rsid w:val="00247C93"/>
    <w:rsid w:val="00247EFB"/>
    <w:rsid w:val="0025073D"/>
    <w:rsid w:val="00250D82"/>
    <w:rsid w:val="002510A2"/>
    <w:rsid w:val="002533F6"/>
    <w:rsid w:val="00253AAD"/>
    <w:rsid w:val="00254361"/>
    <w:rsid w:val="00254826"/>
    <w:rsid w:val="00254E79"/>
    <w:rsid w:val="002562B6"/>
    <w:rsid w:val="00261F9A"/>
    <w:rsid w:val="002620F4"/>
    <w:rsid w:val="00263614"/>
    <w:rsid w:val="0026395D"/>
    <w:rsid w:val="00264711"/>
    <w:rsid w:val="0026473C"/>
    <w:rsid w:val="0026549A"/>
    <w:rsid w:val="0026657A"/>
    <w:rsid w:val="0026737A"/>
    <w:rsid w:val="00271CEF"/>
    <w:rsid w:val="00272336"/>
    <w:rsid w:val="00272671"/>
    <w:rsid w:val="0027297C"/>
    <w:rsid w:val="00274622"/>
    <w:rsid w:val="00274ABF"/>
    <w:rsid w:val="0027508F"/>
    <w:rsid w:val="002751BD"/>
    <w:rsid w:val="00276DFE"/>
    <w:rsid w:val="00277948"/>
    <w:rsid w:val="00277D48"/>
    <w:rsid w:val="00281519"/>
    <w:rsid w:val="00281F9A"/>
    <w:rsid w:val="002831D8"/>
    <w:rsid w:val="002851F4"/>
    <w:rsid w:val="002858B5"/>
    <w:rsid w:val="0028599A"/>
    <w:rsid w:val="00285EDB"/>
    <w:rsid w:val="00287AB3"/>
    <w:rsid w:val="002927F3"/>
    <w:rsid w:val="00293CD5"/>
    <w:rsid w:val="00293DF0"/>
    <w:rsid w:val="00294449"/>
    <w:rsid w:val="00295DFD"/>
    <w:rsid w:val="002960B6"/>
    <w:rsid w:val="00296FB5"/>
    <w:rsid w:val="002970A7"/>
    <w:rsid w:val="00297674"/>
    <w:rsid w:val="00297838"/>
    <w:rsid w:val="00297DDB"/>
    <w:rsid w:val="002A0B02"/>
    <w:rsid w:val="002A13AE"/>
    <w:rsid w:val="002A24F1"/>
    <w:rsid w:val="002A2B23"/>
    <w:rsid w:val="002A2E4B"/>
    <w:rsid w:val="002A2F69"/>
    <w:rsid w:val="002A6026"/>
    <w:rsid w:val="002A64B7"/>
    <w:rsid w:val="002A656D"/>
    <w:rsid w:val="002A6A34"/>
    <w:rsid w:val="002A738D"/>
    <w:rsid w:val="002A7C4B"/>
    <w:rsid w:val="002B0D2C"/>
    <w:rsid w:val="002B322D"/>
    <w:rsid w:val="002B3AC7"/>
    <w:rsid w:val="002B5608"/>
    <w:rsid w:val="002B6A8A"/>
    <w:rsid w:val="002B74D4"/>
    <w:rsid w:val="002C091A"/>
    <w:rsid w:val="002C0EFD"/>
    <w:rsid w:val="002C13AF"/>
    <w:rsid w:val="002C214A"/>
    <w:rsid w:val="002C27B9"/>
    <w:rsid w:val="002C29B0"/>
    <w:rsid w:val="002C3A91"/>
    <w:rsid w:val="002C505E"/>
    <w:rsid w:val="002C5230"/>
    <w:rsid w:val="002C5B9F"/>
    <w:rsid w:val="002C66AB"/>
    <w:rsid w:val="002C6DC6"/>
    <w:rsid w:val="002D01A1"/>
    <w:rsid w:val="002D14CD"/>
    <w:rsid w:val="002D1F10"/>
    <w:rsid w:val="002D30AE"/>
    <w:rsid w:val="002D4396"/>
    <w:rsid w:val="002D4711"/>
    <w:rsid w:val="002D477C"/>
    <w:rsid w:val="002D5965"/>
    <w:rsid w:val="002E04E1"/>
    <w:rsid w:val="002E1633"/>
    <w:rsid w:val="002E177C"/>
    <w:rsid w:val="002E17F9"/>
    <w:rsid w:val="002E28CD"/>
    <w:rsid w:val="002E4EEF"/>
    <w:rsid w:val="002E536D"/>
    <w:rsid w:val="002E7C76"/>
    <w:rsid w:val="002F4C99"/>
    <w:rsid w:val="002F53B2"/>
    <w:rsid w:val="002F5400"/>
    <w:rsid w:val="002F56B3"/>
    <w:rsid w:val="002F5B99"/>
    <w:rsid w:val="002F6442"/>
    <w:rsid w:val="002F660C"/>
    <w:rsid w:val="002F6CBA"/>
    <w:rsid w:val="002F6FA5"/>
    <w:rsid w:val="002F7732"/>
    <w:rsid w:val="00300D0D"/>
    <w:rsid w:val="00302E79"/>
    <w:rsid w:val="00302F8E"/>
    <w:rsid w:val="003035DA"/>
    <w:rsid w:val="0030398D"/>
    <w:rsid w:val="00305953"/>
    <w:rsid w:val="00306686"/>
    <w:rsid w:val="003069C6"/>
    <w:rsid w:val="00307215"/>
    <w:rsid w:val="00310E61"/>
    <w:rsid w:val="003119B7"/>
    <w:rsid w:val="00311B57"/>
    <w:rsid w:val="00312065"/>
    <w:rsid w:val="00312809"/>
    <w:rsid w:val="00312A00"/>
    <w:rsid w:val="00312AF8"/>
    <w:rsid w:val="00313053"/>
    <w:rsid w:val="00313CF3"/>
    <w:rsid w:val="0031442B"/>
    <w:rsid w:val="0031482B"/>
    <w:rsid w:val="0031599A"/>
    <w:rsid w:val="00316D76"/>
    <w:rsid w:val="00320DDA"/>
    <w:rsid w:val="00322890"/>
    <w:rsid w:val="00322CCD"/>
    <w:rsid w:val="00323190"/>
    <w:rsid w:val="003248F7"/>
    <w:rsid w:val="00325A31"/>
    <w:rsid w:val="003267A8"/>
    <w:rsid w:val="003275AC"/>
    <w:rsid w:val="00330835"/>
    <w:rsid w:val="00330A43"/>
    <w:rsid w:val="00330F95"/>
    <w:rsid w:val="0033138A"/>
    <w:rsid w:val="003314C5"/>
    <w:rsid w:val="0033184D"/>
    <w:rsid w:val="00331AD7"/>
    <w:rsid w:val="00332199"/>
    <w:rsid w:val="00333AC9"/>
    <w:rsid w:val="0033468A"/>
    <w:rsid w:val="00337156"/>
    <w:rsid w:val="00337513"/>
    <w:rsid w:val="00340A28"/>
    <w:rsid w:val="00341DFA"/>
    <w:rsid w:val="003425BA"/>
    <w:rsid w:val="00342C8E"/>
    <w:rsid w:val="00343709"/>
    <w:rsid w:val="00344A91"/>
    <w:rsid w:val="003465E6"/>
    <w:rsid w:val="00347713"/>
    <w:rsid w:val="00347A6A"/>
    <w:rsid w:val="00350175"/>
    <w:rsid w:val="00350320"/>
    <w:rsid w:val="0035168F"/>
    <w:rsid w:val="003519DC"/>
    <w:rsid w:val="00353E7F"/>
    <w:rsid w:val="00356604"/>
    <w:rsid w:val="00357F67"/>
    <w:rsid w:val="00360863"/>
    <w:rsid w:val="003608A9"/>
    <w:rsid w:val="00360928"/>
    <w:rsid w:val="00360B5F"/>
    <w:rsid w:val="00361374"/>
    <w:rsid w:val="00363658"/>
    <w:rsid w:val="00364C97"/>
    <w:rsid w:val="00365599"/>
    <w:rsid w:val="00366A84"/>
    <w:rsid w:val="00367A27"/>
    <w:rsid w:val="00370835"/>
    <w:rsid w:val="00371188"/>
    <w:rsid w:val="00373B19"/>
    <w:rsid w:val="00373E3D"/>
    <w:rsid w:val="00374543"/>
    <w:rsid w:val="00375CCE"/>
    <w:rsid w:val="00380115"/>
    <w:rsid w:val="0038024C"/>
    <w:rsid w:val="003802F2"/>
    <w:rsid w:val="00380AEE"/>
    <w:rsid w:val="003817FA"/>
    <w:rsid w:val="00383039"/>
    <w:rsid w:val="0038494F"/>
    <w:rsid w:val="00384C98"/>
    <w:rsid w:val="00390C78"/>
    <w:rsid w:val="00392843"/>
    <w:rsid w:val="00393056"/>
    <w:rsid w:val="003931DA"/>
    <w:rsid w:val="003935BC"/>
    <w:rsid w:val="00393F5B"/>
    <w:rsid w:val="003951B6"/>
    <w:rsid w:val="00395912"/>
    <w:rsid w:val="00396284"/>
    <w:rsid w:val="00396B3F"/>
    <w:rsid w:val="0039748E"/>
    <w:rsid w:val="003A07B8"/>
    <w:rsid w:val="003A1220"/>
    <w:rsid w:val="003A1433"/>
    <w:rsid w:val="003A177F"/>
    <w:rsid w:val="003A310D"/>
    <w:rsid w:val="003A5282"/>
    <w:rsid w:val="003A5B54"/>
    <w:rsid w:val="003B0AAA"/>
    <w:rsid w:val="003B13F2"/>
    <w:rsid w:val="003B2027"/>
    <w:rsid w:val="003B22FE"/>
    <w:rsid w:val="003B4D40"/>
    <w:rsid w:val="003B5897"/>
    <w:rsid w:val="003B5EDB"/>
    <w:rsid w:val="003B7C03"/>
    <w:rsid w:val="003C28BE"/>
    <w:rsid w:val="003C2EF0"/>
    <w:rsid w:val="003C3C0D"/>
    <w:rsid w:val="003C4167"/>
    <w:rsid w:val="003C4367"/>
    <w:rsid w:val="003C6D13"/>
    <w:rsid w:val="003C7A79"/>
    <w:rsid w:val="003D0086"/>
    <w:rsid w:val="003D0575"/>
    <w:rsid w:val="003D09A7"/>
    <w:rsid w:val="003D2A8D"/>
    <w:rsid w:val="003D2A94"/>
    <w:rsid w:val="003D2CC2"/>
    <w:rsid w:val="003D2F9C"/>
    <w:rsid w:val="003D4080"/>
    <w:rsid w:val="003D576F"/>
    <w:rsid w:val="003D5B14"/>
    <w:rsid w:val="003D6E55"/>
    <w:rsid w:val="003D7ECE"/>
    <w:rsid w:val="003E018D"/>
    <w:rsid w:val="003E21AD"/>
    <w:rsid w:val="003E4FB4"/>
    <w:rsid w:val="003F24EF"/>
    <w:rsid w:val="003F304F"/>
    <w:rsid w:val="003F32D6"/>
    <w:rsid w:val="003F3798"/>
    <w:rsid w:val="003F3E07"/>
    <w:rsid w:val="003F5277"/>
    <w:rsid w:val="003F5453"/>
    <w:rsid w:val="003F56ED"/>
    <w:rsid w:val="003F57CC"/>
    <w:rsid w:val="003F5938"/>
    <w:rsid w:val="003F6529"/>
    <w:rsid w:val="003F697F"/>
    <w:rsid w:val="00400E43"/>
    <w:rsid w:val="004018E2"/>
    <w:rsid w:val="00401B7C"/>
    <w:rsid w:val="00402376"/>
    <w:rsid w:val="00402A25"/>
    <w:rsid w:val="00406E4E"/>
    <w:rsid w:val="004075AA"/>
    <w:rsid w:val="00407D7C"/>
    <w:rsid w:val="004103E4"/>
    <w:rsid w:val="00410FF2"/>
    <w:rsid w:val="004116AF"/>
    <w:rsid w:val="00412439"/>
    <w:rsid w:val="0041265C"/>
    <w:rsid w:val="00412684"/>
    <w:rsid w:val="00414A5A"/>
    <w:rsid w:val="004157B0"/>
    <w:rsid w:val="004161B6"/>
    <w:rsid w:val="00416661"/>
    <w:rsid w:val="00416876"/>
    <w:rsid w:val="0042050F"/>
    <w:rsid w:val="004211DE"/>
    <w:rsid w:val="00422302"/>
    <w:rsid w:val="004227F8"/>
    <w:rsid w:val="0042342F"/>
    <w:rsid w:val="004250D9"/>
    <w:rsid w:val="004254B5"/>
    <w:rsid w:val="0042640B"/>
    <w:rsid w:val="00427158"/>
    <w:rsid w:val="00427E3D"/>
    <w:rsid w:val="004300B9"/>
    <w:rsid w:val="00430A8A"/>
    <w:rsid w:val="00431AB3"/>
    <w:rsid w:val="00431D4B"/>
    <w:rsid w:val="00432742"/>
    <w:rsid w:val="004345BC"/>
    <w:rsid w:val="004355FD"/>
    <w:rsid w:val="00435894"/>
    <w:rsid w:val="00435EEC"/>
    <w:rsid w:val="00436097"/>
    <w:rsid w:val="00437111"/>
    <w:rsid w:val="00437B97"/>
    <w:rsid w:val="00437F11"/>
    <w:rsid w:val="0044025A"/>
    <w:rsid w:val="00441199"/>
    <w:rsid w:val="004412A2"/>
    <w:rsid w:val="00442087"/>
    <w:rsid w:val="004429F9"/>
    <w:rsid w:val="00443A07"/>
    <w:rsid w:val="00443AFE"/>
    <w:rsid w:val="00444757"/>
    <w:rsid w:val="004450A7"/>
    <w:rsid w:val="00445A05"/>
    <w:rsid w:val="00446286"/>
    <w:rsid w:val="00452295"/>
    <w:rsid w:val="00453250"/>
    <w:rsid w:val="00453425"/>
    <w:rsid w:val="00453D04"/>
    <w:rsid w:val="00454515"/>
    <w:rsid w:val="0045518C"/>
    <w:rsid w:val="004563B6"/>
    <w:rsid w:val="00456B94"/>
    <w:rsid w:val="00457685"/>
    <w:rsid w:val="0045785B"/>
    <w:rsid w:val="0046370E"/>
    <w:rsid w:val="00465F1B"/>
    <w:rsid w:val="00467279"/>
    <w:rsid w:val="0047106B"/>
    <w:rsid w:val="0047253A"/>
    <w:rsid w:val="004726D6"/>
    <w:rsid w:val="00472F2D"/>
    <w:rsid w:val="004731D2"/>
    <w:rsid w:val="004742B7"/>
    <w:rsid w:val="00475093"/>
    <w:rsid w:val="0047596C"/>
    <w:rsid w:val="00476BBB"/>
    <w:rsid w:val="00477444"/>
    <w:rsid w:val="00477E64"/>
    <w:rsid w:val="00477E65"/>
    <w:rsid w:val="00480D02"/>
    <w:rsid w:val="00482172"/>
    <w:rsid w:val="00484D68"/>
    <w:rsid w:val="0048570D"/>
    <w:rsid w:val="00486635"/>
    <w:rsid w:val="00486B4B"/>
    <w:rsid w:val="00487AB9"/>
    <w:rsid w:val="0049044C"/>
    <w:rsid w:val="00491262"/>
    <w:rsid w:val="00491C91"/>
    <w:rsid w:val="004922A9"/>
    <w:rsid w:val="004928F0"/>
    <w:rsid w:val="00492C81"/>
    <w:rsid w:val="00492E85"/>
    <w:rsid w:val="00493043"/>
    <w:rsid w:val="00495718"/>
    <w:rsid w:val="004A0629"/>
    <w:rsid w:val="004A0662"/>
    <w:rsid w:val="004A1A70"/>
    <w:rsid w:val="004A1EA1"/>
    <w:rsid w:val="004A232A"/>
    <w:rsid w:val="004A237F"/>
    <w:rsid w:val="004A3CCC"/>
    <w:rsid w:val="004A3CD3"/>
    <w:rsid w:val="004A4823"/>
    <w:rsid w:val="004A487F"/>
    <w:rsid w:val="004A55ED"/>
    <w:rsid w:val="004A5A64"/>
    <w:rsid w:val="004A5FD6"/>
    <w:rsid w:val="004A6272"/>
    <w:rsid w:val="004A6B0C"/>
    <w:rsid w:val="004A76DA"/>
    <w:rsid w:val="004A7F59"/>
    <w:rsid w:val="004B0165"/>
    <w:rsid w:val="004B2E35"/>
    <w:rsid w:val="004B4C01"/>
    <w:rsid w:val="004C0BB0"/>
    <w:rsid w:val="004C164B"/>
    <w:rsid w:val="004C177C"/>
    <w:rsid w:val="004C2120"/>
    <w:rsid w:val="004C2965"/>
    <w:rsid w:val="004C4FE3"/>
    <w:rsid w:val="004C7C25"/>
    <w:rsid w:val="004D0063"/>
    <w:rsid w:val="004D05BD"/>
    <w:rsid w:val="004D0E41"/>
    <w:rsid w:val="004D2147"/>
    <w:rsid w:val="004D2CEB"/>
    <w:rsid w:val="004D2D79"/>
    <w:rsid w:val="004D40F3"/>
    <w:rsid w:val="004D4CDA"/>
    <w:rsid w:val="004D6900"/>
    <w:rsid w:val="004D6DC5"/>
    <w:rsid w:val="004D7825"/>
    <w:rsid w:val="004E0648"/>
    <w:rsid w:val="004E08D7"/>
    <w:rsid w:val="004E1149"/>
    <w:rsid w:val="004E1B4F"/>
    <w:rsid w:val="004E2B54"/>
    <w:rsid w:val="004E2B63"/>
    <w:rsid w:val="004E3319"/>
    <w:rsid w:val="004E37D0"/>
    <w:rsid w:val="004E3B7F"/>
    <w:rsid w:val="004E400C"/>
    <w:rsid w:val="004E62BB"/>
    <w:rsid w:val="004F0D33"/>
    <w:rsid w:val="004F25EE"/>
    <w:rsid w:val="004F3632"/>
    <w:rsid w:val="004F394D"/>
    <w:rsid w:val="004F3FB2"/>
    <w:rsid w:val="004F4B0B"/>
    <w:rsid w:val="004F5CB1"/>
    <w:rsid w:val="00502308"/>
    <w:rsid w:val="0050256E"/>
    <w:rsid w:val="005044FC"/>
    <w:rsid w:val="00504B58"/>
    <w:rsid w:val="00505C44"/>
    <w:rsid w:val="00507163"/>
    <w:rsid w:val="00510F5C"/>
    <w:rsid w:val="00512744"/>
    <w:rsid w:val="00512C2B"/>
    <w:rsid w:val="00512D40"/>
    <w:rsid w:val="005137CA"/>
    <w:rsid w:val="00513833"/>
    <w:rsid w:val="005147C6"/>
    <w:rsid w:val="00514AA6"/>
    <w:rsid w:val="00517624"/>
    <w:rsid w:val="0052001E"/>
    <w:rsid w:val="005202D7"/>
    <w:rsid w:val="00520906"/>
    <w:rsid w:val="00522824"/>
    <w:rsid w:val="00522971"/>
    <w:rsid w:val="00526172"/>
    <w:rsid w:val="00530182"/>
    <w:rsid w:val="00530B82"/>
    <w:rsid w:val="0053112F"/>
    <w:rsid w:val="005315FF"/>
    <w:rsid w:val="00532336"/>
    <w:rsid w:val="00532902"/>
    <w:rsid w:val="00534A97"/>
    <w:rsid w:val="0053555C"/>
    <w:rsid w:val="0053584A"/>
    <w:rsid w:val="00537196"/>
    <w:rsid w:val="00540B67"/>
    <w:rsid w:val="00540C07"/>
    <w:rsid w:val="0054115A"/>
    <w:rsid w:val="00541ED4"/>
    <w:rsid w:val="005424EC"/>
    <w:rsid w:val="00542612"/>
    <w:rsid w:val="00542A35"/>
    <w:rsid w:val="00542B1D"/>
    <w:rsid w:val="00542DCF"/>
    <w:rsid w:val="005433A6"/>
    <w:rsid w:val="00544475"/>
    <w:rsid w:val="00546729"/>
    <w:rsid w:val="00546C1F"/>
    <w:rsid w:val="00546D11"/>
    <w:rsid w:val="0054710C"/>
    <w:rsid w:val="0055027A"/>
    <w:rsid w:val="005510A0"/>
    <w:rsid w:val="005511A8"/>
    <w:rsid w:val="005513F1"/>
    <w:rsid w:val="00551C73"/>
    <w:rsid w:val="005533D7"/>
    <w:rsid w:val="00554C37"/>
    <w:rsid w:val="00555728"/>
    <w:rsid w:val="005560FE"/>
    <w:rsid w:val="005569C1"/>
    <w:rsid w:val="00557509"/>
    <w:rsid w:val="0056038A"/>
    <w:rsid w:val="00562E37"/>
    <w:rsid w:val="005650F2"/>
    <w:rsid w:val="00567464"/>
    <w:rsid w:val="00571EBF"/>
    <w:rsid w:val="005723BD"/>
    <w:rsid w:val="00572897"/>
    <w:rsid w:val="00573C66"/>
    <w:rsid w:val="0057420C"/>
    <w:rsid w:val="00576298"/>
    <w:rsid w:val="005763FE"/>
    <w:rsid w:val="00577447"/>
    <w:rsid w:val="0057786D"/>
    <w:rsid w:val="00580DE5"/>
    <w:rsid w:val="00582AC5"/>
    <w:rsid w:val="00582C63"/>
    <w:rsid w:val="00585E6B"/>
    <w:rsid w:val="00586F88"/>
    <w:rsid w:val="00586FA6"/>
    <w:rsid w:val="005876E5"/>
    <w:rsid w:val="00590246"/>
    <w:rsid w:val="005902EB"/>
    <w:rsid w:val="0059142F"/>
    <w:rsid w:val="005932BA"/>
    <w:rsid w:val="00593A31"/>
    <w:rsid w:val="00594B53"/>
    <w:rsid w:val="00595CF8"/>
    <w:rsid w:val="005972CE"/>
    <w:rsid w:val="00597912"/>
    <w:rsid w:val="00597CB0"/>
    <w:rsid w:val="00597FA9"/>
    <w:rsid w:val="005A047C"/>
    <w:rsid w:val="005A0ACF"/>
    <w:rsid w:val="005A0BC5"/>
    <w:rsid w:val="005A2441"/>
    <w:rsid w:val="005A2E4B"/>
    <w:rsid w:val="005A3142"/>
    <w:rsid w:val="005A33B7"/>
    <w:rsid w:val="005A34AF"/>
    <w:rsid w:val="005A3C4C"/>
    <w:rsid w:val="005A5B2B"/>
    <w:rsid w:val="005B182D"/>
    <w:rsid w:val="005B1B5D"/>
    <w:rsid w:val="005B2447"/>
    <w:rsid w:val="005B3D09"/>
    <w:rsid w:val="005B4A73"/>
    <w:rsid w:val="005B5940"/>
    <w:rsid w:val="005B655B"/>
    <w:rsid w:val="005B6684"/>
    <w:rsid w:val="005C0857"/>
    <w:rsid w:val="005C18B1"/>
    <w:rsid w:val="005C199C"/>
    <w:rsid w:val="005C245A"/>
    <w:rsid w:val="005C2DD0"/>
    <w:rsid w:val="005C3321"/>
    <w:rsid w:val="005C433D"/>
    <w:rsid w:val="005C4685"/>
    <w:rsid w:val="005C5257"/>
    <w:rsid w:val="005C68E8"/>
    <w:rsid w:val="005C6F38"/>
    <w:rsid w:val="005C74AE"/>
    <w:rsid w:val="005C7629"/>
    <w:rsid w:val="005D01D0"/>
    <w:rsid w:val="005D05A8"/>
    <w:rsid w:val="005D0725"/>
    <w:rsid w:val="005D0A35"/>
    <w:rsid w:val="005D1487"/>
    <w:rsid w:val="005D1648"/>
    <w:rsid w:val="005D2DE8"/>
    <w:rsid w:val="005D3914"/>
    <w:rsid w:val="005D509D"/>
    <w:rsid w:val="005D52F5"/>
    <w:rsid w:val="005D5625"/>
    <w:rsid w:val="005D6211"/>
    <w:rsid w:val="005D75E6"/>
    <w:rsid w:val="005D7B16"/>
    <w:rsid w:val="005E1924"/>
    <w:rsid w:val="005E5673"/>
    <w:rsid w:val="005E5F47"/>
    <w:rsid w:val="005E665F"/>
    <w:rsid w:val="005E674B"/>
    <w:rsid w:val="005F01BD"/>
    <w:rsid w:val="005F2184"/>
    <w:rsid w:val="005F21D2"/>
    <w:rsid w:val="005F2276"/>
    <w:rsid w:val="005F2AF4"/>
    <w:rsid w:val="005F39E8"/>
    <w:rsid w:val="005F41E0"/>
    <w:rsid w:val="005F4E29"/>
    <w:rsid w:val="005F54A9"/>
    <w:rsid w:val="005F6A58"/>
    <w:rsid w:val="005F7004"/>
    <w:rsid w:val="005F7675"/>
    <w:rsid w:val="005F779F"/>
    <w:rsid w:val="005F7E23"/>
    <w:rsid w:val="0060034B"/>
    <w:rsid w:val="006006FE"/>
    <w:rsid w:val="006022A1"/>
    <w:rsid w:val="00604F53"/>
    <w:rsid w:val="00606246"/>
    <w:rsid w:val="00606636"/>
    <w:rsid w:val="006070F8"/>
    <w:rsid w:val="006075D0"/>
    <w:rsid w:val="006122B4"/>
    <w:rsid w:val="006129BA"/>
    <w:rsid w:val="0061365C"/>
    <w:rsid w:val="00613DCA"/>
    <w:rsid w:val="00614C80"/>
    <w:rsid w:val="00615C8D"/>
    <w:rsid w:val="006161AD"/>
    <w:rsid w:val="00616B9B"/>
    <w:rsid w:val="00617C0C"/>
    <w:rsid w:val="006210FD"/>
    <w:rsid w:val="006226F0"/>
    <w:rsid w:val="00623C66"/>
    <w:rsid w:val="00624892"/>
    <w:rsid w:val="00624D91"/>
    <w:rsid w:val="0062549F"/>
    <w:rsid w:val="00625714"/>
    <w:rsid w:val="00625BC5"/>
    <w:rsid w:val="006260E8"/>
    <w:rsid w:val="00627865"/>
    <w:rsid w:val="0063096B"/>
    <w:rsid w:val="00630FC0"/>
    <w:rsid w:val="00631C0E"/>
    <w:rsid w:val="006326A1"/>
    <w:rsid w:val="006327F1"/>
    <w:rsid w:val="006341F9"/>
    <w:rsid w:val="00634361"/>
    <w:rsid w:val="00635165"/>
    <w:rsid w:val="0063533E"/>
    <w:rsid w:val="00637688"/>
    <w:rsid w:val="00640931"/>
    <w:rsid w:val="00643603"/>
    <w:rsid w:val="00643E2B"/>
    <w:rsid w:val="00644C89"/>
    <w:rsid w:val="00644E3A"/>
    <w:rsid w:val="006466C2"/>
    <w:rsid w:val="00647285"/>
    <w:rsid w:val="00647919"/>
    <w:rsid w:val="00650D92"/>
    <w:rsid w:val="00653A73"/>
    <w:rsid w:val="0065404C"/>
    <w:rsid w:val="00654228"/>
    <w:rsid w:val="00656467"/>
    <w:rsid w:val="00662601"/>
    <w:rsid w:val="00663A18"/>
    <w:rsid w:val="00664268"/>
    <w:rsid w:val="006644F6"/>
    <w:rsid w:val="00664BD9"/>
    <w:rsid w:val="00664E54"/>
    <w:rsid w:val="006652CE"/>
    <w:rsid w:val="00666082"/>
    <w:rsid w:val="00666336"/>
    <w:rsid w:val="00667DF0"/>
    <w:rsid w:val="00670822"/>
    <w:rsid w:val="00670F18"/>
    <w:rsid w:val="0067116F"/>
    <w:rsid w:val="006716DF"/>
    <w:rsid w:val="006717B2"/>
    <w:rsid w:val="00671FA8"/>
    <w:rsid w:val="00672600"/>
    <w:rsid w:val="00673A69"/>
    <w:rsid w:val="00673C87"/>
    <w:rsid w:val="00673C8C"/>
    <w:rsid w:val="006750F5"/>
    <w:rsid w:val="0067697A"/>
    <w:rsid w:val="00676AFA"/>
    <w:rsid w:val="006774B6"/>
    <w:rsid w:val="00677740"/>
    <w:rsid w:val="00680F64"/>
    <w:rsid w:val="006815DE"/>
    <w:rsid w:val="00681A90"/>
    <w:rsid w:val="00681BD8"/>
    <w:rsid w:val="00681FAA"/>
    <w:rsid w:val="00682A5E"/>
    <w:rsid w:val="0068340E"/>
    <w:rsid w:val="00685084"/>
    <w:rsid w:val="0068557E"/>
    <w:rsid w:val="00685CF1"/>
    <w:rsid w:val="006865F9"/>
    <w:rsid w:val="00686CBD"/>
    <w:rsid w:val="00687A01"/>
    <w:rsid w:val="00691202"/>
    <w:rsid w:val="00693E60"/>
    <w:rsid w:val="00694619"/>
    <w:rsid w:val="00694946"/>
    <w:rsid w:val="00694A6A"/>
    <w:rsid w:val="00694AD5"/>
    <w:rsid w:val="00694DCE"/>
    <w:rsid w:val="006A0EC0"/>
    <w:rsid w:val="006A1016"/>
    <w:rsid w:val="006A10FC"/>
    <w:rsid w:val="006A27EC"/>
    <w:rsid w:val="006A55E7"/>
    <w:rsid w:val="006A576C"/>
    <w:rsid w:val="006A74E5"/>
    <w:rsid w:val="006A76AF"/>
    <w:rsid w:val="006A77ED"/>
    <w:rsid w:val="006A7A3B"/>
    <w:rsid w:val="006A7A68"/>
    <w:rsid w:val="006B1AE3"/>
    <w:rsid w:val="006B1DB1"/>
    <w:rsid w:val="006B218E"/>
    <w:rsid w:val="006B2E59"/>
    <w:rsid w:val="006B36B1"/>
    <w:rsid w:val="006B37D6"/>
    <w:rsid w:val="006B5F1F"/>
    <w:rsid w:val="006B7274"/>
    <w:rsid w:val="006B7F21"/>
    <w:rsid w:val="006B7F48"/>
    <w:rsid w:val="006C1121"/>
    <w:rsid w:val="006C37AA"/>
    <w:rsid w:val="006C3BA6"/>
    <w:rsid w:val="006C53D7"/>
    <w:rsid w:val="006C5434"/>
    <w:rsid w:val="006C57ED"/>
    <w:rsid w:val="006C6879"/>
    <w:rsid w:val="006C69DF"/>
    <w:rsid w:val="006C6E64"/>
    <w:rsid w:val="006C7252"/>
    <w:rsid w:val="006C79A3"/>
    <w:rsid w:val="006D070D"/>
    <w:rsid w:val="006D0EC0"/>
    <w:rsid w:val="006D17A1"/>
    <w:rsid w:val="006D1F65"/>
    <w:rsid w:val="006D21D4"/>
    <w:rsid w:val="006D24C6"/>
    <w:rsid w:val="006D358C"/>
    <w:rsid w:val="006D40D7"/>
    <w:rsid w:val="006D7AD8"/>
    <w:rsid w:val="006E0960"/>
    <w:rsid w:val="006E0B56"/>
    <w:rsid w:val="006E1E76"/>
    <w:rsid w:val="006E3DB1"/>
    <w:rsid w:val="006E5CE2"/>
    <w:rsid w:val="006E7135"/>
    <w:rsid w:val="006E7740"/>
    <w:rsid w:val="006F0349"/>
    <w:rsid w:val="006F0A84"/>
    <w:rsid w:val="006F32CA"/>
    <w:rsid w:val="006F3916"/>
    <w:rsid w:val="006F3A1A"/>
    <w:rsid w:val="006F3C72"/>
    <w:rsid w:val="006F511F"/>
    <w:rsid w:val="006F5588"/>
    <w:rsid w:val="006F615D"/>
    <w:rsid w:val="006F68AA"/>
    <w:rsid w:val="00700BF2"/>
    <w:rsid w:val="00701320"/>
    <w:rsid w:val="007017AA"/>
    <w:rsid w:val="00702131"/>
    <w:rsid w:val="00702AB7"/>
    <w:rsid w:val="00704CA4"/>
    <w:rsid w:val="00706FBD"/>
    <w:rsid w:val="00707946"/>
    <w:rsid w:val="007111CF"/>
    <w:rsid w:val="007117F0"/>
    <w:rsid w:val="00713873"/>
    <w:rsid w:val="00714C52"/>
    <w:rsid w:val="00714D1A"/>
    <w:rsid w:val="007206A9"/>
    <w:rsid w:val="0072071C"/>
    <w:rsid w:val="00723E92"/>
    <w:rsid w:val="00724088"/>
    <w:rsid w:val="00724863"/>
    <w:rsid w:val="00726037"/>
    <w:rsid w:val="0072604E"/>
    <w:rsid w:val="00726387"/>
    <w:rsid w:val="00727A26"/>
    <w:rsid w:val="00727E96"/>
    <w:rsid w:val="007302E3"/>
    <w:rsid w:val="00731043"/>
    <w:rsid w:val="00733933"/>
    <w:rsid w:val="0073457D"/>
    <w:rsid w:val="007372B6"/>
    <w:rsid w:val="0074022A"/>
    <w:rsid w:val="0074139D"/>
    <w:rsid w:val="00741BAE"/>
    <w:rsid w:val="00742852"/>
    <w:rsid w:val="00744320"/>
    <w:rsid w:val="0074480D"/>
    <w:rsid w:val="007448C1"/>
    <w:rsid w:val="00744EB3"/>
    <w:rsid w:val="00745707"/>
    <w:rsid w:val="00745A63"/>
    <w:rsid w:val="00747187"/>
    <w:rsid w:val="00747C45"/>
    <w:rsid w:val="00750051"/>
    <w:rsid w:val="0075074E"/>
    <w:rsid w:val="00750D7C"/>
    <w:rsid w:val="0075237B"/>
    <w:rsid w:val="00753C51"/>
    <w:rsid w:val="0075425B"/>
    <w:rsid w:val="00754681"/>
    <w:rsid w:val="0075557E"/>
    <w:rsid w:val="00760377"/>
    <w:rsid w:val="007604FB"/>
    <w:rsid w:val="007608EC"/>
    <w:rsid w:val="0076094D"/>
    <w:rsid w:val="00762B84"/>
    <w:rsid w:val="00764249"/>
    <w:rsid w:val="0076449D"/>
    <w:rsid w:val="00765A83"/>
    <w:rsid w:val="00765F0F"/>
    <w:rsid w:val="0077026B"/>
    <w:rsid w:val="00770C90"/>
    <w:rsid w:val="00771C04"/>
    <w:rsid w:val="00771C34"/>
    <w:rsid w:val="007723B6"/>
    <w:rsid w:val="00772D02"/>
    <w:rsid w:val="00773282"/>
    <w:rsid w:val="00774E3B"/>
    <w:rsid w:val="007752ED"/>
    <w:rsid w:val="007760C3"/>
    <w:rsid w:val="00777C1C"/>
    <w:rsid w:val="00777F22"/>
    <w:rsid w:val="007801A8"/>
    <w:rsid w:val="0078212A"/>
    <w:rsid w:val="00782B48"/>
    <w:rsid w:val="00783498"/>
    <w:rsid w:val="0078391F"/>
    <w:rsid w:val="0078485E"/>
    <w:rsid w:val="007849EB"/>
    <w:rsid w:val="00785459"/>
    <w:rsid w:val="007872A6"/>
    <w:rsid w:val="00790D83"/>
    <w:rsid w:val="0079294C"/>
    <w:rsid w:val="00792EFE"/>
    <w:rsid w:val="00793244"/>
    <w:rsid w:val="00794118"/>
    <w:rsid w:val="00794194"/>
    <w:rsid w:val="007941A0"/>
    <w:rsid w:val="007943C4"/>
    <w:rsid w:val="0079518B"/>
    <w:rsid w:val="007958EB"/>
    <w:rsid w:val="00795DF2"/>
    <w:rsid w:val="00795EDD"/>
    <w:rsid w:val="00797270"/>
    <w:rsid w:val="007A073D"/>
    <w:rsid w:val="007A1653"/>
    <w:rsid w:val="007A25F6"/>
    <w:rsid w:val="007A2770"/>
    <w:rsid w:val="007A3226"/>
    <w:rsid w:val="007A5E09"/>
    <w:rsid w:val="007A6817"/>
    <w:rsid w:val="007A6C2B"/>
    <w:rsid w:val="007B0224"/>
    <w:rsid w:val="007B0240"/>
    <w:rsid w:val="007B0C56"/>
    <w:rsid w:val="007B16F8"/>
    <w:rsid w:val="007B1CEB"/>
    <w:rsid w:val="007B3E6E"/>
    <w:rsid w:val="007B44A6"/>
    <w:rsid w:val="007B44C2"/>
    <w:rsid w:val="007B4598"/>
    <w:rsid w:val="007B51B4"/>
    <w:rsid w:val="007B6236"/>
    <w:rsid w:val="007B6BAA"/>
    <w:rsid w:val="007B779D"/>
    <w:rsid w:val="007C1510"/>
    <w:rsid w:val="007C1DAA"/>
    <w:rsid w:val="007C246A"/>
    <w:rsid w:val="007C2626"/>
    <w:rsid w:val="007C38FD"/>
    <w:rsid w:val="007C3ED5"/>
    <w:rsid w:val="007C40E6"/>
    <w:rsid w:val="007C49E7"/>
    <w:rsid w:val="007C589F"/>
    <w:rsid w:val="007C6F97"/>
    <w:rsid w:val="007C76CF"/>
    <w:rsid w:val="007D0A57"/>
    <w:rsid w:val="007D44E5"/>
    <w:rsid w:val="007D56DB"/>
    <w:rsid w:val="007D56E9"/>
    <w:rsid w:val="007D58B8"/>
    <w:rsid w:val="007D60CE"/>
    <w:rsid w:val="007D64D7"/>
    <w:rsid w:val="007D777A"/>
    <w:rsid w:val="007E0583"/>
    <w:rsid w:val="007E2FD2"/>
    <w:rsid w:val="007E3A86"/>
    <w:rsid w:val="007E4A32"/>
    <w:rsid w:val="007E5E74"/>
    <w:rsid w:val="007E737F"/>
    <w:rsid w:val="007E7811"/>
    <w:rsid w:val="007E7FE6"/>
    <w:rsid w:val="007F7ED3"/>
    <w:rsid w:val="0080165B"/>
    <w:rsid w:val="00802C32"/>
    <w:rsid w:val="00802ECF"/>
    <w:rsid w:val="0080388D"/>
    <w:rsid w:val="00803F04"/>
    <w:rsid w:val="00804CED"/>
    <w:rsid w:val="008053EC"/>
    <w:rsid w:val="00805BAC"/>
    <w:rsid w:val="00806BC1"/>
    <w:rsid w:val="008140E9"/>
    <w:rsid w:val="0081439D"/>
    <w:rsid w:val="00815282"/>
    <w:rsid w:val="008176D5"/>
    <w:rsid w:val="008178A7"/>
    <w:rsid w:val="00820318"/>
    <w:rsid w:val="00820E36"/>
    <w:rsid w:val="008226FA"/>
    <w:rsid w:val="00823C94"/>
    <w:rsid w:val="0082489D"/>
    <w:rsid w:val="00824DE5"/>
    <w:rsid w:val="00825780"/>
    <w:rsid w:val="00826291"/>
    <w:rsid w:val="00826ECA"/>
    <w:rsid w:val="0082750E"/>
    <w:rsid w:val="008277C3"/>
    <w:rsid w:val="0083020E"/>
    <w:rsid w:val="00831F17"/>
    <w:rsid w:val="00832FD3"/>
    <w:rsid w:val="00833882"/>
    <w:rsid w:val="00834C25"/>
    <w:rsid w:val="008369A0"/>
    <w:rsid w:val="00837700"/>
    <w:rsid w:val="008403A8"/>
    <w:rsid w:val="0084043E"/>
    <w:rsid w:val="00840BE1"/>
    <w:rsid w:val="00840EE9"/>
    <w:rsid w:val="00841778"/>
    <w:rsid w:val="00842FED"/>
    <w:rsid w:val="0084538E"/>
    <w:rsid w:val="0084597F"/>
    <w:rsid w:val="00846822"/>
    <w:rsid w:val="00846946"/>
    <w:rsid w:val="00847236"/>
    <w:rsid w:val="00847808"/>
    <w:rsid w:val="008478D8"/>
    <w:rsid w:val="00851CAD"/>
    <w:rsid w:val="00851DFB"/>
    <w:rsid w:val="00853D16"/>
    <w:rsid w:val="00855977"/>
    <w:rsid w:val="00855BAF"/>
    <w:rsid w:val="00857F0B"/>
    <w:rsid w:val="008601D2"/>
    <w:rsid w:val="0086079E"/>
    <w:rsid w:val="00861E97"/>
    <w:rsid w:val="00861FB0"/>
    <w:rsid w:val="00862591"/>
    <w:rsid w:val="00862978"/>
    <w:rsid w:val="00862FDC"/>
    <w:rsid w:val="008632B8"/>
    <w:rsid w:val="008636DA"/>
    <w:rsid w:val="008639AC"/>
    <w:rsid w:val="008642E0"/>
    <w:rsid w:val="0086450A"/>
    <w:rsid w:val="00864AF5"/>
    <w:rsid w:val="00866165"/>
    <w:rsid w:val="008670DB"/>
    <w:rsid w:val="00867207"/>
    <w:rsid w:val="008678CA"/>
    <w:rsid w:val="00867E45"/>
    <w:rsid w:val="00870911"/>
    <w:rsid w:val="008727F0"/>
    <w:rsid w:val="00872FCD"/>
    <w:rsid w:val="00873047"/>
    <w:rsid w:val="0087343D"/>
    <w:rsid w:val="00873E79"/>
    <w:rsid w:val="00875627"/>
    <w:rsid w:val="00875635"/>
    <w:rsid w:val="00875934"/>
    <w:rsid w:val="0087593B"/>
    <w:rsid w:val="00875E60"/>
    <w:rsid w:val="008763C0"/>
    <w:rsid w:val="00880463"/>
    <w:rsid w:val="00881C59"/>
    <w:rsid w:val="00882312"/>
    <w:rsid w:val="00886063"/>
    <w:rsid w:val="008870C9"/>
    <w:rsid w:val="008871D8"/>
    <w:rsid w:val="00887A1E"/>
    <w:rsid w:val="00890C8D"/>
    <w:rsid w:val="00891CA7"/>
    <w:rsid w:val="0089234C"/>
    <w:rsid w:val="00892CEB"/>
    <w:rsid w:val="00892EE6"/>
    <w:rsid w:val="00893421"/>
    <w:rsid w:val="00895A05"/>
    <w:rsid w:val="00895A18"/>
    <w:rsid w:val="00896853"/>
    <w:rsid w:val="008A2734"/>
    <w:rsid w:val="008A3608"/>
    <w:rsid w:val="008A3737"/>
    <w:rsid w:val="008A4EF0"/>
    <w:rsid w:val="008B08A7"/>
    <w:rsid w:val="008B23C2"/>
    <w:rsid w:val="008B2642"/>
    <w:rsid w:val="008B372C"/>
    <w:rsid w:val="008B398C"/>
    <w:rsid w:val="008B4A6F"/>
    <w:rsid w:val="008B549E"/>
    <w:rsid w:val="008B6D84"/>
    <w:rsid w:val="008B7209"/>
    <w:rsid w:val="008B7544"/>
    <w:rsid w:val="008B79A8"/>
    <w:rsid w:val="008C0107"/>
    <w:rsid w:val="008C05AB"/>
    <w:rsid w:val="008C2449"/>
    <w:rsid w:val="008C39DD"/>
    <w:rsid w:val="008C5B52"/>
    <w:rsid w:val="008C6759"/>
    <w:rsid w:val="008D0A40"/>
    <w:rsid w:val="008D19ED"/>
    <w:rsid w:val="008D27D4"/>
    <w:rsid w:val="008D541A"/>
    <w:rsid w:val="008D6A7B"/>
    <w:rsid w:val="008E0D75"/>
    <w:rsid w:val="008E159A"/>
    <w:rsid w:val="008E1AB6"/>
    <w:rsid w:val="008E21CD"/>
    <w:rsid w:val="008E2445"/>
    <w:rsid w:val="008E390D"/>
    <w:rsid w:val="008E6F45"/>
    <w:rsid w:val="008E7896"/>
    <w:rsid w:val="008F0F16"/>
    <w:rsid w:val="008F1D6C"/>
    <w:rsid w:val="008F1F72"/>
    <w:rsid w:val="008F26EF"/>
    <w:rsid w:val="008F34A6"/>
    <w:rsid w:val="008F41FA"/>
    <w:rsid w:val="008F4355"/>
    <w:rsid w:val="008F4709"/>
    <w:rsid w:val="008F72E6"/>
    <w:rsid w:val="008F74C4"/>
    <w:rsid w:val="008F7AF6"/>
    <w:rsid w:val="0090149C"/>
    <w:rsid w:val="0090217A"/>
    <w:rsid w:val="0090398A"/>
    <w:rsid w:val="00903F08"/>
    <w:rsid w:val="00904495"/>
    <w:rsid w:val="00905264"/>
    <w:rsid w:val="00905B27"/>
    <w:rsid w:val="00905DA0"/>
    <w:rsid w:val="00905F8C"/>
    <w:rsid w:val="00906CC1"/>
    <w:rsid w:val="00906E62"/>
    <w:rsid w:val="009113D8"/>
    <w:rsid w:val="009145CB"/>
    <w:rsid w:val="009148D3"/>
    <w:rsid w:val="00915401"/>
    <w:rsid w:val="00915507"/>
    <w:rsid w:val="0091583A"/>
    <w:rsid w:val="009164C4"/>
    <w:rsid w:val="00916502"/>
    <w:rsid w:val="00917362"/>
    <w:rsid w:val="00917C11"/>
    <w:rsid w:val="009215D5"/>
    <w:rsid w:val="009222E4"/>
    <w:rsid w:val="009224E8"/>
    <w:rsid w:val="00922B60"/>
    <w:rsid w:val="0092301F"/>
    <w:rsid w:val="0092309D"/>
    <w:rsid w:val="00925243"/>
    <w:rsid w:val="00925649"/>
    <w:rsid w:val="00925DDB"/>
    <w:rsid w:val="00926199"/>
    <w:rsid w:val="00926F30"/>
    <w:rsid w:val="00927415"/>
    <w:rsid w:val="009318F8"/>
    <w:rsid w:val="0093437A"/>
    <w:rsid w:val="0093531C"/>
    <w:rsid w:val="00936D63"/>
    <w:rsid w:val="00937E6B"/>
    <w:rsid w:val="009403AD"/>
    <w:rsid w:val="009411DA"/>
    <w:rsid w:val="00942F2E"/>
    <w:rsid w:val="009436F5"/>
    <w:rsid w:val="00944313"/>
    <w:rsid w:val="00944BF7"/>
    <w:rsid w:val="00945A29"/>
    <w:rsid w:val="00947006"/>
    <w:rsid w:val="00950FE0"/>
    <w:rsid w:val="0095102D"/>
    <w:rsid w:val="00953DEB"/>
    <w:rsid w:val="0095453D"/>
    <w:rsid w:val="00954A41"/>
    <w:rsid w:val="00954BBB"/>
    <w:rsid w:val="00954D63"/>
    <w:rsid w:val="00954FA1"/>
    <w:rsid w:val="00955D3B"/>
    <w:rsid w:val="00956309"/>
    <w:rsid w:val="00956350"/>
    <w:rsid w:val="009569B6"/>
    <w:rsid w:val="00960D49"/>
    <w:rsid w:val="009642FF"/>
    <w:rsid w:val="009645FC"/>
    <w:rsid w:val="00966467"/>
    <w:rsid w:val="00967C8D"/>
    <w:rsid w:val="00967CD0"/>
    <w:rsid w:val="00967D25"/>
    <w:rsid w:val="009700FF"/>
    <w:rsid w:val="00970AA9"/>
    <w:rsid w:val="00972A5D"/>
    <w:rsid w:val="00973144"/>
    <w:rsid w:val="009738A7"/>
    <w:rsid w:val="00973ED3"/>
    <w:rsid w:val="00975A8D"/>
    <w:rsid w:val="00977EFC"/>
    <w:rsid w:val="0098004B"/>
    <w:rsid w:val="00982D74"/>
    <w:rsid w:val="00983F2B"/>
    <w:rsid w:val="00984B59"/>
    <w:rsid w:val="00987148"/>
    <w:rsid w:val="009878BB"/>
    <w:rsid w:val="00987F93"/>
    <w:rsid w:val="00990047"/>
    <w:rsid w:val="009905EC"/>
    <w:rsid w:val="009909ED"/>
    <w:rsid w:val="009912B2"/>
    <w:rsid w:val="00991F35"/>
    <w:rsid w:val="00992C51"/>
    <w:rsid w:val="009930C4"/>
    <w:rsid w:val="009939D7"/>
    <w:rsid w:val="009947E3"/>
    <w:rsid w:val="00995B92"/>
    <w:rsid w:val="009A1626"/>
    <w:rsid w:val="009A3D1A"/>
    <w:rsid w:val="009A6016"/>
    <w:rsid w:val="009A6451"/>
    <w:rsid w:val="009A673C"/>
    <w:rsid w:val="009A734F"/>
    <w:rsid w:val="009A7DC2"/>
    <w:rsid w:val="009B0085"/>
    <w:rsid w:val="009B1DEF"/>
    <w:rsid w:val="009B1FE9"/>
    <w:rsid w:val="009B2827"/>
    <w:rsid w:val="009B3ECE"/>
    <w:rsid w:val="009B5654"/>
    <w:rsid w:val="009B6103"/>
    <w:rsid w:val="009B66BC"/>
    <w:rsid w:val="009B706A"/>
    <w:rsid w:val="009C07D3"/>
    <w:rsid w:val="009C0D2F"/>
    <w:rsid w:val="009C1634"/>
    <w:rsid w:val="009C20C7"/>
    <w:rsid w:val="009C24F9"/>
    <w:rsid w:val="009C384A"/>
    <w:rsid w:val="009C3F97"/>
    <w:rsid w:val="009C5707"/>
    <w:rsid w:val="009C7231"/>
    <w:rsid w:val="009D061F"/>
    <w:rsid w:val="009D0846"/>
    <w:rsid w:val="009D09BF"/>
    <w:rsid w:val="009D0F96"/>
    <w:rsid w:val="009D111D"/>
    <w:rsid w:val="009D2B8C"/>
    <w:rsid w:val="009D2F95"/>
    <w:rsid w:val="009D3DAA"/>
    <w:rsid w:val="009D48F5"/>
    <w:rsid w:val="009D5682"/>
    <w:rsid w:val="009E1BDC"/>
    <w:rsid w:val="009E3ABC"/>
    <w:rsid w:val="009E5CC4"/>
    <w:rsid w:val="009E63C6"/>
    <w:rsid w:val="009E6D30"/>
    <w:rsid w:val="009E7C40"/>
    <w:rsid w:val="009F088E"/>
    <w:rsid w:val="009F1BA1"/>
    <w:rsid w:val="009F2885"/>
    <w:rsid w:val="009F2E5B"/>
    <w:rsid w:val="009F2EB3"/>
    <w:rsid w:val="009F373B"/>
    <w:rsid w:val="009F3887"/>
    <w:rsid w:val="009F43AF"/>
    <w:rsid w:val="009F4589"/>
    <w:rsid w:val="009F55E7"/>
    <w:rsid w:val="009F5FA5"/>
    <w:rsid w:val="009F6851"/>
    <w:rsid w:val="009F6E09"/>
    <w:rsid w:val="009F6F14"/>
    <w:rsid w:val="009F7C14"/>
    <w:rsid w:val="00A00258"/>
    <w:rsid w:val="00A01503"/>
    <w:rsid w:val="00A01892"/>
    <w:rsid w:val="00A02273"/>
    <w:rsid w:val="00A022E9"/>
    <w:rsid w:val="00A0332B"/>
    <w:rsid w:val="00A03425"/>
    <w:rsid w:val="00A03427"/>
    <w:rsid w:val="00A04C5A"/>
    <w:rsid w:val="00A04D19"/>
    <w:rsid w:val="00A0558D"/>
    <w:rsid w:val="00A066DC"/>
    <w:rsid w:val="00A07D82"/>
    <w:rsid w:val="00A109D1"/>
    <w:rsid w:val="00A11A6C"/>
    <w:rsid w:val="00A11F2D"/>
    <w:rsid w:val="00A124E5"/>
    <w:rsid w:val="00A13061"/>
    <w:rsid w:val="00A132F6"/>
    <w:rsid w:val="00A13A4B"/>
    <w:rsid w:val="00A14543"/>
    <w:rsid w:val="00A151F0"/>
    <w:rsid w:val="00A1578B"/>
    <w:rsid w:val="00A157A2"/>
    <w:rsid w:val="00A16E1B"/>
    <w:rsid w:val="00A176E4"/>
    <w:rsid w:val="00A203D3"/>
    <w:rsid w:val="00A21800"/>
    <w:rsid w:val="00A2433C"/>
    <w:rsid w:val="00A246E7"/>
    <w:rsid w:val="00A25D58"/>
    <w:rsid w:val="00A26715"/>
    <w:rsid w:val="00A27618"/>
    <w:rsid w:val="00A2763F"/>
    <w:rsid w:val="00A30E4E"/>
    <w:rsid w:val="00A31B7A"/>
    <w:rsid w:val="00A322FF"/>
    <w:rsid w:val="00A32DA1"/>
    <w:rsid w:val="00A34597"/>
    <w:rsid w:val="00A34A8C"/>
    <w:rsid w:val="00A34BD8"/>
    <w:rsid w:val="00A36828"/>
    <w:rsid w:val="00A37696"/>
    <w:rsid w:val="00A37B30"/>
    <w:rsid w:val="00A37C99"/>
    <w:rsid w:val="00A37E1A"/>
    <w:rsid w:val="00A4076A"/>
    <w:rsid w:val="00A40CBA"/>
    <w:rsid w:val="00A4177F"/>
    <w:rsid w:val="00A422F9"/>
    <w:rsid w:val="00A43887"/>
    <w:rsid w:val="00A442BA"/>
    <w:rsid w:val="00A45138"/>
    <w:rsid w:val="00A46365"/>
    <w:rsid w:val="00A50FE6"/>
    <w:rsid w:val="00A51068"/>
    <w:rsid w:val="00A51214"/>
    <w:rsid w:val="00A52120"/>
    <w:rsid w:val="00A53082"/>
    <w:rsid w:val="00A5400A"/>
    <w:rsid w:val="00A54829"/>
    <w:rsid w:val="00A553D0"/>
    <w:rsid w:val="00A556AF"/>
    <w:rsid w:val="00A55734"/>
    <w:rsid w:val="00A569AF"/>
    <w:rsid w:val="00A579A0"/>
    <w:rsid w:val="00A57E27"/>
    <w:rsid w:val="00A57FB5"/>
    <w:rsid w:val="00A61F84"/>
    <w:rsid w:val="00A623BA"/>
    <w:rsid w:val="00A62A75"/>
    <w:rsid w:val="00A638BA"/>
    <w:rsid w:val="00A63A27"/>
    <w:rsid w:val="00A652B0"/>
    <w:rsid w:val="00A65E71"/>
    <w:rsid w:val="00A66455"/>
    <w:rsid w:val="00A70A1A"/>
    <w:rsid w:val="00A71E6A"/>
    <w:rsid w:val="00A72C1C"/>
    <w:rsid w:val="00A73BC3"/>
    <w:rsid w:val="00A73CDE"/>
    <w:rsid w:val="00A74532"/>
    <w:rsid w:val="00A7508A"/>
    <w:rsid w:val="00A759AB"/>
    <w:rsid w:val="00A75A1C"/>
    <w:rsid w:val="00A75BF8"/>
    <w:rsid w:val="00A75FFF"/>
    <w:rsid w:val="00A769C1"/>
    <w:rsid w:val="00A80BCF"/>
    <w:rsid w:val="00A81408"/>
    <w:rsid w:val="00A81910"/>
    <w:rsid w:val="00A81A9C"/>
    <w:rsid w:val="00A82020"/>
    <w:rsid w:val="00A84A8D"/>
    <w:rsid w:val="00A85113"/>
    <w:rsid w:val="00A86A6F"/>
    <w:rsid w:val="00A87417"/>
    <w:rsid w:val="00A876A0"/>
    <w:rsid w:val="00A87CB1"/>
    <w:rsid w:val="00A9097B"/>
    <w:rsid w:val="00A90C95"/>
    <w:rsid w:val="00A90CB2"/>
    <w:rsid w:val="00A9135C"/>
    <w:rsid w:val="00A91611"/>
    <w:rsid w:val="00A91CA5"/>
    <w:rsid w:val="00A93C8E"/>
    <w:rsid w:val="00A94B7A"/>
    <w:rsid w:val="00A95403"/>
    <w:rsid w:val="00A956AD"/>
    <w:rsid w:val="00A95C57"/>
    <w:rsid w:val="00A95FE0"/>
    <w:rsid w:val="00AA025D"/>
    <w:rsid w:val="00AA1486"/>
    <w:rsid w:val="00AA1692"/>
    <w:rsid w:val="00AA19EB"/>
    <w:rsid w:val="00AA1B58"/>
    <w:rsid w:val="00AA1DC6"/>
    <w:rsid w:val="00AA259A"/>
    <w:rsid w:val="00AA34E0"/>
    <w:rsid w:val="00AA602F"/>
    <w:rsid w:val="00AA621D"/>
    <w:rsid w:val="00AA68AB"/>
    <w:rsid w:val="00AA7274"/>
    <w:rsid w:val="00AA756D"/>
    <w:rsid w:val="00AB2332"/>
    <w:rsid w:val="00AB2555"/>
    <w:rsid w:val="00AB2581"/>
    <w:rsid w:val="00AB293E"/>
    <w:rsid w:val="00AB352D"/>
    <w:rsid w:val="00AB354A"/>
    <w:rsid w:val="00AB46C6"/>
    <w:rsid w:val="00AB4715"/>
    <w:rsid w:val="00AB554C"/>
    <w:rsid w:val="00AB66A2"/>
    <w:rsid w:val="00AB67CC"/>
    <w:rsid w:val="00AB7D98"/>
    <w:rsid w:val="00AC0595"/>
    <w:rsid w:val="00AC3828"/>
    <w:rsid w:val="00AC4CFC"/>
    <w:rsid w:val="00AC6B36"/>
    <w:rsid w:val="00AD22ED"/>
    <w:rsid w:val="00AD275F"/>
    <w:rsid w:val="00AD371A"/>
    <w:rsid w:val="00AD3ECF"/>
    <w:rsid w:val="00AD52FA"/>
    <w:rsid w:val="00AD54BA"/>
    <w:rsid w:val="00AD5C91"/>
    <w:rsid w:val="00AD5CDA"/>
    <w:rsid w:val="00AD690C"/>
    <w:rsid w:val="00AD7A2E"/>
    <w:rsid w:val="00AE0151"/>
    <w:rsid w:val="00AE197B"/>
    <w:rsid w:val="00AE30E5"/>
    <w:rsid w:val="00AE332C"/>
    <w:rsid w:val="00AE3ED6"/>
    <w:rsid w:val="00AE44F2"/>
    <w:rsid w:val="00AE4AFC"/>
    <w:rsid w:val="00AE75B9"/>
    <w:rsid w:val="00AE785F"/>
    <w:rsid w:val="00AE7C32"/>
    <w:rsid w:val="00AF11D2"/>
    <w:rsid w:val="00AF1FBE"/>
    <w:rsid w:val="00AF34BA"/>
    <w:rsid w:val="00AF3E47"/>
    <w:rsid w:val="00AF3F21"/>
    <w:rsid w:val="00AF3F8B"/>
    <w:rsid w:val="00AF5678"/>
    <w:rsid w:val="00AF5CAE"/>
    <w:rsid w:val="00AF65D3"/>
    <w:rsid w:val="00AF674D"/>
    <w:rsid w:val="00AF76BA"/>
    <w:rsid w:val="00AF7BD2"/>
    <w:rsid w:val="00AF7D4A"/>
    <w:rsid w:val="00B0036B"/>
    <w:rsid w:val="00B01C30"/>
    <w:rsid w:val="00B024C3"/>
    <w:rsid w:val="00B02D7A"/>
    <w:rsid w:val="00B030FF"/>
    <w:rsid w:val="00B039CA"/>
    <w:rsid w:val="00B0403F"/>
    <w:rsid w:val="00B06EC1"/>
    <w:rsid w:val="00B073BC"/>
    <w:rsid w:val="00B07A37"/>
    <w:rsid w:val="00B07E12"/>
    <w:rsid w:val="00B10363"/>
    <w:rsid w:val="00B10A6C"/>
    <w:rsid w:val="00B10B1D"/>
    <w:rsid w:val="00B1198F"/>
    <w:rsid w:val="00B1263A"/>
    <w:rsid w:val="00B134B8"/>
    <w:rsid w:val="00B1529D"/>
    <w:rsid w:val="00B163BA"/>
    <w:rsid w:val="00B16C03"/>
    <w:rsid w:val="00B17B86"/>
    <w:rsid w:val="00B204F0"/>
    <w:rsid w:val="00B207A9"/>
    <w:rsid w:val="00B20D65"/>
    <w:rsid w:val="00B20EDD"/>
    <w:rsid w:val="00B21030"/>
    <w:rsid w:val="00B219A8"/>
    <w:rsid w:val="00B21B33"/>
    <w:rsid w:val="00B22073"/>
    <w:rsid w:val="00B223F3"/>
    <w:rsid w:val="00B22EFD"/>
    <w:rsid w:val="00B23EE8"/>
    <w:rsid w:val="00B24D6B"/>
    <w:rsid w:val="00B24F2F"/>
    <w:rsid w:val="00B30BC8"/>
    <w:rsid w:val="00B30E07"/>
    <w:rsid w:val="00B32B17"/>
    <w:rsid w:val="00B32E14"/>
    <w:rsid w:val="00B344E0"/>
    <w:rsid w:val="00B34B2E"/>
    <w:rsid w:val="00B36073"/>
    <w:rsid w:val="00B36347"/>
    <w:rsid w:val="00B376A1"/>
    <w:rsid w:val="00B40991"/>
    <w:rsid w:val="00B42D67"/>
    <w:rsid w:val="00B43205"/>
    <w:rsid w:val="00B43420"/>
    <w:rsid w:val="00B45B7D"/>
    <w:rsid w:val="00B467FC"/>
    <w:rsid w:val="00B46AF4"/>
    <w:rsid w:val="00B47FD0"/>
    <w:rsid w:val="00B51111"/>
    <w:rsid w:val="00B51A07"/>
    <w:rsid w:val="00B52C09"/>
    <w:rsid w:val="00B52CD7"/>
    <w:rsid w:val="00B541DE"/>
    <w:rsid w:val="00B54409"/>
    <w:rsid w:val="00B57576"/>
    <w:rsid w:val="00B57F43"/>
    <w:rsid w:val="00B602EE"/>
    <w:rsid w:val="00B627F2"/>
    <w:rsid w:val="00B62DF0"/>
    <w:rsid w:val="00B630A4"/>
    <w:rsid w:val="00B64FB3"/>
    <w:rsid w:val="00B66640"/>
    <w:rsid w:val="00B66646"/>
    <w:rsid w:val="00B66729"/>
    <w:rsid w:val="00B673F5"/>
    <w:rsid w:val="00B723D0"/>
    <w:rsid w:val="00B72AE4"/>
    <w:rsid w:val="00B72F9B"/>
    <w:rsid w:val="00B73783"/>
    <w:rsid w:val="00B738A3"/>
    <w:rsid w:val="00B7424E"/>
    <w:rsid w:val="00B74727"/>
    <w:rsid w:val="00B751E9"/>
    <w:rsid w:val="00B75665"/>
    <w:rsid w:val="00B75B8C"/>
    <w:rsid w:val="00B75BE6"/>
    <w:rsid w:val="00B763DD"/>
    <w:rsid w:val="00B76EDE"/>
    <w:rsid w:val="00B77252"/>
    <w:rsid w:val="00B8102D"/>
    <w:rsid w:val="00B819A5"/>
    <w:rsid w:val="00B83280"/>
    <w:rsid w:val="00B84E6B"/>
    <w:rsid w:val="00B869FD"/>
    <w:rsid w:val="00B879B2"/>
    <w:rsid w:val="00B9195D"/>
    <w:rsid w:val="00B92F8B"/>
    <w:rsid w:val="00B930D8"/>
    <w:rsid w:val="00B93587"/>
    <w:rsid w:val="00B93EA4"/>
    <w:rsid w:val="00B94253"/>
    <w:rsid w:val="00B94791"/>
    <w:rsid w:val="00B948BE"/>
    <w:rsid w:val="00B94EEB"/>
    <w:rsid w:val="00B958F7"/>
    <w:rsid w:val="00BA189D"/>
    <w:rsid w:val="00BA31CF"/>
    <w:rsid w:val="00BA3416"/>
    <w:rsid w:val="00BA3D55"/>
    <w:rsid w:val="00BA4AA2"/>
    <w:rsid w:val="00BA4C4B"/>
    <w:rsid w:val="00BA62B2"/>
    <w:rsid w:val="00BA7CB2"/>
    <w:rsid w:val="00BB00F4"/>
    <w:rsid w:val="00BB1DEF"/>
    <w:rsid w:val="00BB62E7"/>
    <w:rsid w:val="00BB7687"/>
    <w:rsid w:val="00BC056A"/>
    <w:rsid w:val="00BC08A6"/>
    <w:rsid w:val="00BC14DD"/>
    <w:rsid w:val="00BC173B"/>
    <w:rsid w:val="00BC1909"/>
    <w:rsid w:val="00BC268B"/>
    <w:rsid w:val="00BC27A2"/>
    <w:rsid w:val="00BC2C1F"/>
    <w:rsid w:val="00BC3187"/>
    <w:rsid w:val="00BC3CD2"/>
    <w:rsid w:val="00BC56BC"/>
    <w:rsid w:val="00BC5D11"/>
    <w:rsid w:val="00BC639F"/>
    <w:rsid w:val="00BC74D3"/>
    <w:rsid w:val="00BC7CC8"/>
    <w:rsid w:val="00BD0267"/>
    <w:rsid w:val="00BD19DB"/>
    <w:rsid w:val="00BD240A"/>
    <w:rsid w:val="00BD2654"/>
    <w:rsid w:val="00BD353F"/>
    <w:rsid w:val="00BD3B92"/>
    <w:rsid w:val="00BD3BC8"/>
    <w:rsid w:val="00BD435D"/>
    <w:rsid w:val="00BD4411"/>
    <w:rsid w:val="00BD51E1"/>
    <w:rsid w:val="00BD5EDE"/>
    <w:rsid w:val="00BD6728"/>
    <w:rsid w:val="00BD6F25"/>
    <w:rsid w:val="00BD6FA9"/>
    <w:rsid w:val="00BD735A"/>
    <w:rsid w:val="00BE1120"/>
    <w:rsid w:val="00BE132E"/>
    <w:rsid w:val="00BE4337"/>
    <w:rsid w:val="00BE4E84"/>
    <w:rsid w:val="00BE5859"/>
    <w:rsid w:val="00BE6271"/>
    <w:rsid w:val="00BE720A"/>
    <w:rsid w:val="00BE7337"/>
    <w:rsid w:val="00BE7951"/>
    <w:rsid w:val="00BF0F3B"/>
    <w:rsid w:val="00BF1219"/>
    <w:rsid w:val="00BF189A"/>
    <w:rsid w:val="00BF2772"/>
    <w:rsid w:val="00BF3B08"/>
    <w:rsid w:val="00BF4712"/>
    <w:rsid w:val="00BF631B"/>
    <w:rsid w:val="00BF6D55"/>
    <w:rsid w:val="00BF748D"/>
    <w:rsid w:val="00C0247D"/>
    <w:rsid w:val="00C05185"/>
    <w:rsid w:val="00C0557E"/>
    <w:rsid w:val="00C05EFB"/>
    <w:rsid w:val="00C06A7F"/>
    <w:rsid w:val="00C0779A"/>
    <w:rsid w:val="00C10216"/>
    <w:rsid w:val="00C11E7B"/>
    <w:rsid w:val="00C120F4"/>
    <w:rsid w:val="00C13922"/>
    <w:rsid w:val="00C13A4D"/>
    <w:rsid w:val="00C15203"/>
    <w:rsid w:val="00C15450"/>
    <w:rsid w:val="00C15D91"/>
    <w:rsid w:val="00C16438"/>
    <w:rsid w:val="00C1706C"/>
    <w:rsid w:val="00C170DD"/>
    <w:rsid w:val="00C208DA"/>
    <w:rsid w:val="00C2149B"/>
    <w:rsid w:val="00C23FFA"/>
    <w:rsid w:val="00C24376"/>
    <w:rsid w:val="00C245AA"/>
    <w:rsid w:val="00C24A24"/>
    <w:rsid w:val="00C27CED"/>
    <w:rsid w:val="00C27E34"/>
    <w:rsid w:val="00C306A2"/>
    <w:rsid w:val="00C3294C"/>
    <w:rsid w:val="00C32E48"/>
    <w:rsid w:val="00C34815"/>
    <w:rsid w:val="00C3535B"/>
    <w:rsid w:val="00C35785"/>
    <w:rsid w:val="00C359E3"/>
    <w:rsid w:val="00C36224"/>
    <w:rsid w:val="00C36606"/>
    <w:rsid w:val="00C36A7F"/>
    <w:rsid w:val="00C379FB"/>
    <w:rsid w:val="00C37C8D"/>
    <w:rsid w:val="00C43774"/>
    <w:rsid w:val="00C43C3F"/>
    <w:rsid w:val="00C44D82"/>
    <w:rsid w:val="00C45371"/>
    <w:rsid w:val="00C4644C"/>
    <w:rsid w:val="00C46D6B"/>
    <w:rsid w:val="00C518B4"/>
    <w:rsid w:val="00C522BE"/>
    <w:rsid w:val="00C532DF"/>
    <w:rsid w:val="00C55AC3"/>
    <w:rsid w:val="00C573EB"/>
    <w:rsid w:val="00C57A9A"/>
    <w:rsid w:val="00C617E3"/>
    <w:rsid w:val="00C6215F"/>
    <w:rsid w:val="00C624DC"/>
    <w:rsid w:val="00C6626F"/>
    <w:rsid w:val="00C67C4E"/>
    <w:rsid w:val="00C70D80"/>
    <w:rsid w:val="00C70F3A"/>
    <w:rsid w:val="00C7100C"/>
    <w:rsid w:val="00C71718"/>
    <w:rsid w:val="00C71951"/>
    <w:rsid w:val="00C73C74"/>
    <w:rsid w:val="00C753F1"/>
    <w:rsid w:val="00C757C2"/>
    <w:rsid w:val="00C77279"/>
    <w:rsid w:val="00C774E8"/>
    <w:rsid w:val="00C777F9"/>
    <w:rsid w:val="00C77B8F"/>
    <w:rsid w:val="00C80A4D"/>
    <w:rsid w:val="00C81D9E"/>
    <w:rsid w:val="00C82807"/>
    <w:rsid w:val="00C835D1"/>
    <w:rsid w:val="00C83719"/>
    <w:rsid w:val="00C84164"/>
    <w:rsid w:val="00C8437B"/>
    <w:rsid w:val="00C844BF"/>
    <w:rsid w:val="00C84B58"/>
    <w:rsid w:val="00C84FFF"/>
    <w:rsid w:val="00C85462"/>
    <w:rsid w:val="00C8574D"/>
    <w:rsid w:val="00C879E7"/>
    <w:rsid w:val="00C91281"/>
    <w:rsid w:val="00C922A4"/>
    <w:rsid w:val="00C92529"/>
    <w:rsid w:val="00C92A33"/>
    <w:rsid w:val="00C92E61"/>
    <w:rsid w:val="00C93A7C"/>
    <w:rsid w:val="00C93E8D"/>
    <w:rsid w:val="00C9468F"/>
    <w:rsid w:val="00C94DB8"/>
    <w:rsid w:val="00C95BC1"/>
    <w:rsid w:val="00C95D99"/>
    <w:rsid w:val="00C95F53"/>
    <w:rsid w:val="00C9672B"/>
    <w:rsid w:val="00CA1380"/>
    <w:rsid w:val="00CA29D9"/>
    <w:rsid w:val="00CA4C70"/>
    <w:rsid w:val="00CA5D44"/>
    <w:rsid w:val="00CA7F2F"/>
    <w:rsid w:val="00CB014A"/>
    <w:rsid w:val="00CB1FA0"/>
    <w:rsid w:val="00CB207F"/>
    <w:rsid w:val="00CB29B4"/>
    <w:rsid w:val="00CB3D56"/>
    <w:rsid w:val="00CB4742"/>
    <w:rsid w:val="00CB5957"/>
    <w:rsid w:val="00CB5CAC"/>
    <w:rsid w:val="00CB6C0C"/>
    <w:rsid w:val="00CB6FF4"/>
    <w:rsid w:val="00CB7DE9"/>
    <w:rsid w:val="00CC0896"/>
    <w:rsid w:val="00CC1046"/>
    <w:rsid w:val="00CC225C"/>
    <w:rsid w:val="00CC25A1"/>
    <w:rsid w:val="00CC371B"/>
    <w:rsid w:val="00CC38CD"/>
    <w:rsid w:val="00CC5001"/>
    <w:rsid w:val="00CC56FB"/>
    <w:rsid w:val="00CC6D04"/>
    <w:rsid w:val="00CC767F"/>
    <w:rsid w:val="00CD01D6"/>
    <w:rsid w:val="00CD14F0"/>
    <w:rsid w:val="00CD2817"/>
    <w:rsid w:val="00CD3FCD"/>
    <w:rsid w:val="00CD5477"/>
    <w:rsid w:val="00CD7263"/>
    <w:rsid w:val="00CD780B"/>
    <w:rsid w:val="00CE11CB"/>
    <w:rsid w:val="00CE1844"/>
    <w:rsid w:val="00CE26B7"/>
    <w:rsid w:val="00CE279B"/>
    <w:rsid w:val="00CE289B"/>
    <w:rsid w:val="00CE2F63"/>
    <w:rsid w:val="00CE3CAA"/>
    <w:rsid w:val="00CE3FEE"/>
    <w:rsid w:val="00CE7579"/>
    <w:rsid w:val="00CF25A3"/>
    <w:rsid w:val="00CF30FF"/>
    <w:rsid w:val="00CF3ACA"/>
    <w:rsid w:val="00CF4579"/>
    <w:rsid w:val="00CF4E8D"/>
    <w:rsid w:val="00CF60EF"/>
    <w:rsid w:val="00CF73FF"/>
    <w:rsid w:val="00CF7DEC"/>
    <w:rsid w:val="00D025C6"/>
    <w:rsid w:val="00D02E24"/>
    <w:rsid w:val="00D030DB"/>
    <w:rsid w:val="00D038AB"/>
    <w:rsid w:val="00D05AA7"/>
    <w:rsid w:val="00D06C17"/>
    <w:rsid w:val="00D07BBB"/>
    <w:rsid w:val="00D1002C"/>
    <w:rsid w:val="00D1074F"/>
    <w:rsid w:val="00D1118B"/>
    <w:rsid w:val="00D12693"/>
    <w:rsid w:val="00D12BB0"/>
    <w:rsid w:val="00D138FD"/>
    <w:rsid w:val="00D13DC5"/>
    <w:rsid w:val="00D15046"/>
    <w:rsid w:val="00D150FD"/>
    <w:rsid w:val="00D1513D"/>
    <w:rsid w:val="00D15831"/>
    <w:rsid w:val="00D17C52"/>
    <w:rsid w:val="00D20A93"/>
    <w:rsid w:val="00D2119B"/>
    <w:rsid w:val="00D213E0"/>
    <w:rsid w:val="00D227C3"/>
    <w:rsid w:val="00D234CD"/>
    <w:rsid w:val="00D23D24"/>
    <w:rsid w:val="00D24607"/>
    <w:rsid w:val="00D254FE"/>
    <w:rsid w:val="00D25707"/>
    <w:rsid w:val="00D263DA"/>
    <w:rsid w:val="00D26AF1"/>
    <w:rsid w:val="00D27CA0"/>
    <w:rsid w:val="00D27E3B"/>
    <w:rsid w:val="00D27E84"/>
    <w:rsid w:val="00D27F34"/>
    <w:rsid w:val="00D30345"/>
    <w:rsid w:val="00D305B1"/>
    <w:rsid w:val="00D30E1A"/>
    <w:rsid w:val="00D317EF"/>
    <w:rsid w:val="00D3228D"/>
    <w:rsid w:val="00D32DDD"/>
    <w:rsid w:val="00D330FC"/>
    <w:rsid w:val="00D33123"/>
    <w:rsid w:val="00D35156"/>
    <w:rsid w:val="00D35506"/>
    <w:rsid w:val="00D37D2E"/>
    <w:rsid w:val="00D4395F"/>
    <w:rsid w:val="00D44195"/>
    <w:rsid w:val="00D4535C"/>
    <w:rsid w:val="00D4646D"/>
    <w:rsid w:val="00D508F2"/>
    <w:rsid w:val="00D51930"/>
    <w:rsid w:val="00D524E5"/>
    <w:rsid w:val="00D5463B"/>
    <w:rsid w:val="00D55C0B"/>
    <w:rsid w:val="00D561D4"/>
    <w:rsid w:val="00D57154"/>
    <w:rsid w:val="00D5718D"/>
    <w:rsid w:val="00D57896"/>
    <w:rsid w:val="00D57ADC"/>
    <w:rsid w:val="00D60A92"/>
    <w:rsid w:val="00D61627"/>
    <w:rsid w:val="00D629FC"/>
    <w:rsid w:val="00D6341A"/>
    <w:rsid w:val="00D63E32"/>
    <w:rsid w:val="00D6538D"/>
    <w:rsid w:val="00D65C21"/>
    <w:rsid w:val="00D65DF3"/>
    <w:rsid w:val="00D66640"/>
    <w:rsid w:val="00D66710"/>
    <w:rsid w:val="00D6696C"/>
    <w:rsid w:val="00D66BF6"/>
    <w:rsid w:val="00D67018"/>
    <w:rsid w:val="00D67B5D"/>
    <w:rsid w:val="00D70676"/>
    <w:rsid w:val="00D71296"/>
    <w:rsid w:val="00D71B40"/>
    <w:rsid w:val="00D71BB5"/>
    <w:rsid w:val="00D720D1"/>
    <w:rsid w:val="00D72F2F"/>
    <w:rsid w:val="00D761EC"/>
    <w:rsid w:val="00D769D5"/>
    <w:rsid w:val="00D80856"/>
    <w:rsid w:val="00D81CAF"/>
    <w:rsid w:val="00D82159"/>
    <w:rsid w:val="00D8375B"/>
    <w:rsid w:val="00D8398B"/>
    <w:rsid w:val="00D844D2"/>
    <w:rsid w:val="00D854CA"/>
    <w:rsid w:val="00D86135"/>
    <w:rsid w:val="00D876DA"/>
    <w:rsid w:val="00D877B5"/>
    <w:rsid w:val="00D9064F"/>
    <w:rsid w:val="00D907C7"/>
    <w:rsid w:val="00D911EB"/>
    <w:rsid w:val="00D91384"/>
    <w:rsid w:val="00D91F3A"/>
    <w:rsid w:val="00D93CA7"/>
    <w:rsid w:val="00D97D36"/>
    <w:rsid w:val="00DA3BA3"/>
    <w:rsid w:val="00DA4296"/>
    <w:rsid w:val="00DA49C2"/>
    <w:rsid w:val="00DA4BD9"/>
    <w:rsid w:val="00DA6D27"/>
    <w:rsid w:val="00DA6E7D"/>
    <w:rsid w:val="00DB382C"/>
    <w:rsid w:val="00DB40A8"/>
    <w:rsid w:val="00DB4A0C"/>
    <w:rsid w:val="00DB54D8"/>
    <w:rsid w:val="00DB55FB"/>
    <w:rsid w:val="00DB63BD"/>
    <w:rsid w:val="00DC0800"/>
    <w:rsid w:val="00DC0E04"/>
    <w:rsid w:val="00DC16CB"/>
    <w:rsid w:val="00DC3207"/>
    <w:rsid w:val="00DC3266"/>
    <w:rsid w:val="00DC32E6"/>
    <w:rsid w:val="00DC456E"/>
    <w:rsid w:val="00DC4B1F"/>
    <w:rsid w:val="00DC4B7C"/>
    <w:rsid w:val="00DC6319"/>
    <w:rsid w:val="00DC6926"/>
    <w:rsid w:val="00DC692F"/>
    <w:rsid w:val="00DC723B"/>
    <w:rsid w:val="00DC741B"/>
    <w:rsid w:val="00DD1417"/>
    <w:rsid w:val="00DD15BE"/>
    <w:rsid w:val="00DD168C"/>
    <w:rsid w:val="00DD2D79"/>
    <w:rsid w:val="00DD2EDD"/>
    <w:rsid w:val="00DD475B"/>
    <w:rsid w:val="00DD56CE"/>
    <w:rsid w:val="00DD63BA"/>
    <w:rsid w:val="00DD7C4E"/>
    <w:rsid w:val="00DD7E5F"/>
    <w:rsid w:val="00DE1359"/>
    <w:rsid w:val="00DE1518"/>
    <w:rsid w:val="00DE165B"/>
    <w:rsid w:val="00DE299D"/>
    <w:rsid w:val="00DE3D29"/>
    <w:rsid w:val="00DE569A"/>
    <w:rsid w:val="00DE7048"/>
    <w:rsid w:val="00DE7CA7"/>
    <w:rsid w:val="00DF079C"/>
    <w:rsid w:val="00DF0AEA"/>
    <w:rsid w:val="00DF1908"/>
    <w:rsid w:val="00DF397A"/>
    <w:rsid w:val="00DF43CE"/>
    <w:rsid w:val="00DF53FD"/>
    <w:rsid w:val="00DF58BA"/>
    <w:rsid w:val="00DF592C"/>
    <w:rsid w:val="00DF5BB9"/>
    <w:rsid w:val="00DF6DD0"/>
    <w:rsid w:val="00DF75E8"/>
    <w:rsid w:val="00DF7D47"/>
    <w:rsid w:val="00E00FAD"/>
    <w:rsid w:val="00E04B94"/>
    <w:rsid w:val="00E07199"/>
    <w:rsid w:val="00E07359"/>
    <w:rsid w:val="00E108BC"/>
    <w:rsid w:val="00E1104A"/>
    <w:rsid w:val="00E113CC"/>
    <w:rsid w:val="00E115FD"/>
    <w:rsid w:val="00E1231F"/>
    <w:rsid w:val="00E14611"/>
    <w:rsid w:val="00E14774"/>
    <w:rsid w:val="00E17ADF"/>
    <w:rsid w:val="00E210D9"/>
    <w:rsid w:val="00E248A2"/>
    <w:rsid w:val="00E25726"/>
    <w:rsid w:val="00E258B9"/>
    <w:rsid w:val="00E26C2D"/>
    <w:rsid w:val="00E26E55"/>
    <w:rsid w:val="00E272CB"/>
    <w:rsid w:val="00E302E7"/>
    <w:rsid w:val="00E30487"/>
    <w:rsid w:val="00E3074C"/>
    <w:rsid w:val="00E3083C"/>
    <w:rsid w:val="00E32466"/>
    <w:rsid w:val="00E32DB1"/>
    <w:rsid w:val="00E341BE"/>
    <w:rsid w:val="00E36E43"/>
    <w:rsid w:val="00E37B69"/>
    <w:rsid w:val="00E404A0"/>
    <w:rsid w:val="00E42009"/>
    <w:rsid w:val="00E42B9C"/>
    <w:rsid w:val="00E42C3D"/>
    <w:rsid w:val="00E439CE"/>
    <w:rsid w:val="00E43E18"/>
    <w:rsid w:val="00E441D7"/>
    <w:rsid w:val="00E45850"/>
    <w:rsid w:val="00E4644E"/>
    <w:rsid w:val="00E509BA"/>
    <w:rsid w:val="00E51B95"/>
    <w:rsid w:val="00E53BFB"/>
    <w:rsid w:val="00E54C08"/>
    <w:rsid w:val="00E55D0F"/>
    <w:rsid w:val="00E57EAA"/>
    <w:rsid w:val="00E6028F"/>
    <w:rsid w:val="00E60458"/>
    <w:rsid w:val="00E62645"/>
    <w:rsid w:val="00E628CB"/>
    <w:rsid w:val="00E62B1D"/>
    <w:rsid w:val="00E632BB"/>
    <w:rsid w:val="00E63AA6"/>
    <w:rsid w:val="00E655B8"/>
    <w:rsid w:val="00E66A06"/>
    <w:rsid w:val="00E66CAD"/>
    <w:rsid w:val="00E67338"/>
    <w:rsid w:val="00E700C5"/>
    <w:rsid w:val="00E7058B"/>
    <w:rsid w:val="00E70B04"/>
    <w:rsid w:val="00E70BF7"/>
    <w:rsid w:val="00E715EC"/>
    <w:rsid w:val="00E71D78"/>
    <w:rsid w:val="00E744A9"/>
    <w:rsid w:val="00E77763"/>
    <w:rsid w:val="00E77DD4"/>
    <w:rsid w:val="00E77F5A"/>
    <w:rsid w:val="00E803FF"/>
    <w:rsid w:val="00E82746"/>
    <w:rsid w:val="00E82825"/>
    <w:rsid w:val="00E82F29"/>
    <w:rsid w:val="00E851E4"/>
    <w:rsid w:val="00E86321"/>
    <w:rsid w:val="00E86846"/>
    <w:rsid w:val="00E8751E"/>
    <w:rsid w:val="00E941A3"/>
    <w:rsid w:val="00E96BFB"/>
    <w:rsid w:val="00E96D56"/>
    <w:rsid w:val="00EA1244"/>
    <w:rsid w:val="00EA16B3"/>
    <w:rsid w:val="00EA217C"/>
    <w:rsid w:val="00EA23DD"/>
    <w:rsid w:val="00EA382E"/>
    <w:rsid w:val="00EA4334"/>
    <w:rsid w:val="00EA5031"/>
    <w:rsid w:val="00EA5471"/>
    <w:rsid w:val="00EA7C02"/>
    <w:rsid w:val="00EB14C7"/>
    <w:rsid w:val="00EB3BCD"/>
    <w:rsid w:val="00EB53D3"/>
    <w:rsid w:val="00EB7B64"/>
    <w:rsid w:val="00EC1E60"/>
    <w:rsid w:val="00EC3E03"/>
    <w:rsid w:val="00EC49D0"/>
    <w:rsid w:val="00EC4B3D"/>
    <w:rsid w:val="00EC4E82"/>
    <w:rsid w:val="00EC672F"/>
    <w:rsid w:val="00EC7A98"/>
    <w:rsid w:val="00EC7B6B"/>
    <w:rsid w:val="00ED00EE"/>
    <w:rsid w:val="00ED0849"/>
    <w:rsid w:val="00ED0D8D"/>
    <w:rsid w:val="00ED106D"/>
    <w:rsid w:val="00ED12E0"/>
    <w:rsid w:val="00ED210E"/>
    <w:rsid w:val="00ED431F"/>
    <w:rsid w:val="00EE0DC1"/>
    <w:rsid w:val="00EE18D3"/>
    <w:rsid w:val="00EE2DFF"/>
    <w:rsid w:val="00EE3456"/>
    <w:rsid w:val="00EE4E0B"/>
    <w:rsid w:val="00EE5C26"/>
    <w:rsid w:val="00EE60F7"/>
    <w:rsid w:val="00EE6C58"/>
    <w:rsid w:val="00EE6F06"/>
    <w:rsid w:val="00EE77B1"/>
    <w:rsid w:val="00EE78F2"/>
    <w:rsid w:val="00EF116A"/>
    <w:rsid w:val="00EF13F3"/>
    <w:rsid w:val="00EF1A2A"/>
    <w:rsid w:val="00EF23DA"/>
    <w:rsid w:val="00EF3A9A"/>
    <w:rsid w:val="00EF552B"/>
    <w:rsid w:val="00EF56CC"/>
    <w:rsid w:val="00EF63BC"/>
    <w:rsid w:val="00F00185"/>
    <w:rsid w:val="00F004B6"/>
    <w:rsid w:val="00F00755"/>
    <w:rsid w:val="00F00961"/>
    <w:rsid w:val="00F01547"/>
    <w:rsid w:val="00F030E8"/>
    <w:rsid w:val="00F06A61"/>
    <w:rsid w:val="00F108E0"/>
    <w:rsid w:val="00F11037"/>
    <w:rsid w:val="00F11EE5"/>
    <w:rsid w:val="00F11FB5"/>
    <w:rsid w:val="00F13458"/>
    <w:rsid w:val="00F134AA"/>
    <w:rsid w:val="00F13706"/>
    <w:rsid w:val="00F15666"/>
    <w:rsid w:val="00F1787B"/>
    <w:rsid w:val="00F20D00"/>
    <w:rsid w:val="00F20F7A"/>
    <w:rsid w:val="00F21454"/>
    <w:rsid w:val="00F219C2"/>
    <w:rsid w:val="00F2233C"/>
    <w:rsid w:val="00F223D7"/>
    <w:rsid w:val="00F2360D"/>
    <w:rsid w:val="00F252E7"/>
    <w:rsid w:val="00F25F89"/>
    <w:rsid w:val="00F26B89"/>
    <w:rsid w:val="00F273BE"/>
    <w:rsid w:val="00F33629"/>
    <w:rsid w:val="00F34D40"/>
    <w:rsid w:val="00F35AB5"/>
    <w:rsid w:val="00F3688B"/>
    <w:rsid w:val="00F401A9"/>
    <w:rsid w:val="00F40B70"/>
    <w:rsid w:val="00F43837"/>
    <w:rsid w:val="00F43BF2"/>
    <w:rsid w:val="00F44DB6"/>
    <w:rsid w:val="00F44E85"/>
    <w:rsid w:val="00F46858"/>
    <w:rsid w:val="00F53185"/>
    <w:rsid w:val="00F53507"/>
    <w:rsid w:val="00F553EB"/>
    <w:rsid w:val="00F55FE3"/>
    <w:rsid w:val="00F56DCD"/>
    <w:rsid w:val="00F5786C"/>
    <w:rsid w:val="00F6245F"/>
    <w:rsid w:val="00F63592"/>
    <w:rsid w:val="00F638DA"/>
    <w:rsid w:val="00F64CD8"/>
    <w:rsid w:val="00F6562B"/>
    <w:rsid w:val="00F65E7D"/>
    <w:rsid w:val="00F66903"/>
    <w:rsid w:val="00F66E3C"/>
    <w:rsid w:val="00F67356"/>
    <w:rsid w:val="00F67DD6"/>
    <w:rsid w:val="00F71760"/>
    <w:rsid w:val="00F72B50"/>
    <w:rsid w:val="00F733F7"/>
    <w:rsid w:val="00F759BA"/>
    <w:rsid w:val="00F76EA8"/>
    <w:rsid w:val="00F76EB5"/>
    <w:rsid w:val="00F7797E"/>
    <w:rsid w:val="00F81807"/>
    <w:rsid w:val="00F827FE"/>
    <w:rsid w:val="00F82ED9"/>
    <w:rsid w:val="00F83ED1"/>
    <w:rsid w:val="00F843AE"/>
    <w:rsid w:val="00F85082"/>
    <w:rsid w:val="00F869DF"/>
    <w:rsid w:val="00F86A2C"/>
    <w:rsid w:val="00F9289B"/>
    <w:rsid w:val="00F93C1D"/>
    <w:rsid w:val="00F93D22"/>
    <w:rsid w:val="00F94EB7"/>
    <w:rsid w:val="00F95BF4"/>
    <w:rsid w:val="00F95DDB"/>
    <w:rsid w:val="00F97732"/>
    <w:rsid w:val="00F97D34"/>
    <w:rsid w:val="00FA070D"/>
    <w:rsid w:val="00FA15BF"/>
    <w:rsid w:val="00FA18A6"/>
    <w:rsid w:val="00FA2406"/>
    <w:rsid w:val="00FA255B"/>
    <w:rsid w:val="00FA3210"/>
    <w:rsid w:val="00FA3883"/>
    <w:rsid w:val="00FA4EE2"/>
    <w:rsid w:val="00FA58D1"/>
    <w:rsid w:val="00FA682F"/>
    <w:rsid w:val="00FA75F8"/>
    <w:rsid w:val="00FA7A03"/>
    <w:rsid w:val="00FA7C0A"/>
    <w:rsid w:val="00FA7CB7"/>
    <w:rsid w:val="00FB1A7F"/>
    <w:rsid w:val="00FB2176"/>
    <w:rsid w:val="00FB284A"/>
    <w:rsid w:val="00FB2A57"/>
    <w:rsid w:val="00FB3C96"/>
    <w:rsid w:val="00FB6CEC"/>
    <w:rsid w:val="00FC083A"/>
    <w:rsid w:val="00FC10D0"/>
    <w:rsid w:val="00FC2DA4"/>
    <w:rsid w:val="00FC37D3"/>
    <w:rsid w:val="00FC3CFA"/>
    <w:rsid w:val="00FC3DC3"/>
    <w:rsid w:val="00FC58C8"/>
    <w:rsid w:val="00FC694D"/>
    <w:rsid w:val="00FC6D60"/>
    <w:rsid w:val="00FC7157"/>
    <w:rsid w:val="00FD1BAC"/>
    <w:rsid w:val="00FD4E20"/>
    <w:rsid w:val="00FD509E"/>
    <w:rsid w:val="00FD53DC"/>
    <w:rsid w:val="00FD57B4"/>
    <w:rsid w:val="00FD5903"/>
    <w:rsid w:val="00FD59E8"/>
    <w:rsid w:val="00FD71C9"/>
    <w:rsid w:val="00FE126E"/>
    <w:rsid w:val="00FE33DE"/>
    <w:rsid w:val="00FE3AAE"/>
    <w:rsid w:val="00FE3D92"/>
    <w:rsid w:val="00FE59D9"/>
    <w:rsid w:val="00FE6028"/>
    <w:rsid w:val="00FE6753"/>
    <w:rsid w:val="00FF1785"/>
    <w:rsid w:val="00FF23EA"/>
    <w:rsid w:val="00FF26EA"/>
    <w:rsid w:val="00FF2CB8"/>
    <w:rsid w:val="00FF378F"/>
    <w:rsid w:val="00FF39A5"/>
    <w:rsid w:val="00FF4DFD"/>
    <w:rsid w:val="00FF516D"/>
    <w:rsid w:val="00FF543D"/>
    <w:rsid w:val="00FF5EEF"/>
    <w:rsid w:val="00FF6228"/>
    <w:rsid w:val="00FF70BE"/>
    <w:rsid w:val="00FF7675"/>
    <w:rsid w:val="00FF7E3C"/>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5731D"/>
  <w15:docId w15:val="{EA680E95-FD02-4164-A8D4-67C15024E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40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400A"/>
    <w:pPr>
      <w:ind w:left="720"/>
      <w:contextualSpacing/>
    </w:pPr>
  </w:style>
  <w:style w:type="character" w:styleId="Hyperlink">
    <w:name w:val="Hyperlink"/>
    <w:basedOn w:val="DefaultParagraphFont"/>
    <w:uiPriority w:val="99"/>
    <w:unhideWhenUsed/>
    <w:rsid w:val="00D66BF6"/>
    <w:rPr>
      <w:color w:val="0000FF" w:themeColor="hyperlink"/>
      <w:u w:val="single"/>
    </w:rPr>
  </w:style>
  <w:style w:type="paragraph" w:styleId="Header">
    <w:name w:val="header"/>
    <w:basedOn w:val="Normal"/>
    <w:link w:val="HeaderChar"/>
    <w:uiPriority w:val="99"/>
    <w:unhideWhenUsed/>
    <w:rsid w:val="00B22EFD"/>
    <w:pPr>
      <w:tabs>
        <w:tab w:val="center" w:pos="4513"/>
        <w:tab w:val="right" w:pos="9026"/>
      </w:tabs>
    </w:pPr>
  </w:style>
  <w:style w:type="character" w:customStyle="1" w:styleId="HeaderChar">
    <w:name w:val="Header Char"/>
    <w:basedOn w:val="DefaultParagraphFont"/>
    <w:link w:val="Header"/>
    <w:uiPriority w:val="99"/>
    <w:rsid w:val="00B22EFD"/>
  </w:style>
  <w:style w:type="paragraph" w:styleId="Footer">
    <w:name w:val="footer"/>
    <w:basedOn w:val="Normal"/>
    <w:link w:val="FooterChar"/>
    <w:uiPriority w:val="99"/>
    <w:unhideWhenUsed/>
    <w:rsid w:val="00B22EFD"/>
    <w:pPr>
      <w:tabs>
        <w:tab w:val="center" w:pos="4513"/>
        <w:tab w:val="right" w:pos="9026"/>
      </w:tabs>
    </w:pPr>
  </w:style>
  <w:style w:type="character" w:customStyle="1" w:styleId="FooterChar">
    <w:name w:val="Footer Char"/>
    <w:basedOn w:val="DefaultParagraphFont"/>
    <w:link w:val="Footer"/>
    <w:uiPriority w:val="99"/>
    <w:rsid w:val="00B22EFD"/>
  </w:style>
  <w:style w:type="character" w:styleId="PlaceholderText">
    <w:name w:val="Placeholder Text"/>
    <w:basedOn w:val="DefaultParagraphFont"/>
    <w:uiPriority w:val="99"/>
    <w:semiHidden/>
    <w:rsid w:val="00A07D82"/>
    <w:rPr>
      <w:color w:val="808080"/>
    </w:rPr>
  </w:style>
  <w:style w:type="paragraph" w:styleId="FootnoteText">
    <w:name w:val="footnote text"/>
    <w:basedOn w:val="Normal"/>
    <w:link w:val="FootnoteTextChar"/>
    <w:uiPriority w:val="99"/>
    <w:semiHidden/>
    <w:unhideWhenUsed/>
    <w:rsid w:val="001212A0"/>
    <w:rPr>
      <w:sz w:val="20"/>
      <w:szCs w:val="20"/>
    </w:rPr>
  </w:style>
  <w:style w:type="character" w:customStyle="1" w:styleId="FootnoteTextChar">
    <w:name w:val="Footnote Text Char"/>
    <w:basedOn w:val="DefaultParagraphFont"/>
    <w:link w:val="FootnoteText"/>
    <w:uiPriority w:val="99"/>
    <w:semiHidden/>
    <w:rsid w:val="001212A0"/>
    <w:rPr>
      <w:sz w:val="20"/>
      <w:szCs w:val="20"/>
    </w:rPr>
  </w:style>
  <w:style w:type="character" w:styleId="FootnoteReference">
    <w:name w:val="footnote reference"/>
    <w:basedOn w:val="DefaultParagraphFont"/>
    <w:uiPriority w:val="99"/>
    <w:semiHidden/>
    <w:unhideWhenUsed/>
    <w:rsid w:val="001212A0"/>
    <w:rPr>
      <w:vertAlign w:val="superscript"/>
    </w:rPr>
  </w:style>
  <w:style w:type="paragraph" w:styleId="BalloonText">
    <w:name w:val="Balloon Text"/>
    <w:basedOn w:val="Normal"/>
    <w:link w:val="BalloonTextChar"/>
    <w:uiPriority w:val="99"/>
    <w:semiHidden/>
    <w:unhideWhenUsed/>
    <w:rsid w:val="00443AFE"/>
    <w:rPr>
      <w:rFonts w:ascii="Tahoma" w:hAnsi="Tahoma" w:cs="Tahoma"/>
      <w:sz w:val="16"/>
      <w:szCs w:val="16"/>
    </w:rPr>
  </w:style>
  <w:style w:type="character" w:customStyle="1" w:styleId="BalloonTextChar">
    <w:name w:val="Balloon Text Char"/>
    <w:basedOn w:val="DefaultParagraphFont"/>
    <w:link w:val="BalloonText"/>
    <w:uiPriority w:val="99"/>
    <w:semiHidden/>
    <w:rsid w:val="00443AFE"/>
    <w:rPr>
      <w:rFonts w:ascii="Tahoma" w:hAnsi="Tahoma" w:cs="Tahoma"/>
      <w:sz w:val="16"/>
      <w:szCs w:val="16"/>
    </w:rPr>
  </w:style>
  <w:style w:type="character" w:styleId="CommentReference">
    <w:name w:val="annotation reference"/>
    <w:basedOn w:val="DefaultParagraphFont"/>
    <w:uiPriority w:val="99"/>
    <w:semiHidden/>
    <w:unhideWhenUsed/>
    <w:rsid w:val="000E004C"/>
    <w:rPr>
      <w:sz w:val="16"/>
      <w:szCs w:val="16"/>
    </w:rPr>
  </w:style>
  <w:style w:type="paragraph" w:styleId="CommentText">
    <w:name w:val="annotation text"/>
    <w:basedOn w:val="Normal"/>
    <w:link w:val="CommentTextChar"/>
    <w:uiPriority w:val="99"/>
    <w:semiHidden/>
    <w:unhideWhenUsed/>
    <w:rsid w:val="000E004C"/>
    <w:rPr>
      <w:sz w:val="20"/>
      <w:szCs w:val="20"/>
    </w:rPr>
  </w:style>
  <w:style w:type="character" w:customStyle="1" w:styleId="CommentTextChar">
    <w:name w:val="Comment Text Char"/>
    <w:basedOn w:val="DefaultParagraphFont"/>
    <w:link w:val="CommentText"/>
    <w:uiPriority w:val="99"/>
    <w:semiHidden/>
    <w:rsid w:val="000E004C"/>
    <w:rPr>
      <w:sz w:val="20"/>
      <w:szCs w:val="20"/>
    </w:rPr>
  </w:style>
  <w:style w:type="paragraph" w:styleId="CommentSubject">
    <w:name w:val="annotation subject"/>
    <w:basedOn w:val="CommentText"/>
    <w:next w:val="CommentText"/>
    <w:link w:val="CommentSubjectChar"/>
    <w:uiPriority w:val="99"/>
    <w:semiHidden/>
    <w:unhideWhenUsed/>
    <w:rsid w:val="000E004C"/>
    <w:rPr>
      <w:b/>
      <w:bCs/>
    </w:rPr>
  </w:style>
  <w:style w:type="character" w:customStyle="1" w:styleId="CommentSubjectChar">
    <w:name w:val="Comment Subject Char"/>
    <w:basedOn w:val="CommentTextChar"/>
    <w:link w:val="CommentSubject"/>
    <w:uiPriority w:val="99"/>
    <w:semiHidden/>
    <w:rsid w:val="000E004C"/>
    <w:rPr>
      <w:b/>
      <w:bCs/>
      <w:sz w:val="20"/>
      <w:szCs w:val="20"/>
    </w:rPr>
  </w:style>
  <w:style w:type="paragraph" w:styleId="Revision">
    <w:name w:val="Revision"/>
    <w:hidden/>
    <w:uiPriority w:val="99"/>
    <w:semiHidden/>
    <w:rsid w:val="000E004C"/>
  </w:style>
  <w:style w:type="paragraph" w:customStyle="1" w:styleId="EndNoteBibliographyTitle">
    <w:name w:val="EndNote Bibliography Title"/>
    <w:basedOn w:val="Normal"/>
    <w:link w:val="EndNoteBibliographyTitleChar"/>
    <w:rsid w:val="00390C78"/>
    <w:pPr>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90C78"/>
    <w:rPr>
      <w:rFonts w:ascii="Calibri" w:hAnsi="Calibri" w:cs="Calibri"/>
      <w:noProof/>
      <w:lang w:val="en-US"/>
    </w:rPr>
  </w:style>
  <w:style w:type="paragraph" w:customStyle="1" w:styleId="EndNoteBibliography">
    <w:name w:val="EndNote Bibliography"/>
    <w:basedOn w:val="Normal"/>
    <w:link w:val="EndNoteBibliographyChar"/>
    <w:rsid w:val="00390C78"/>
    <w:rPr>
      <w:rFonts w:ascii="Calibri" w:hAnsi="Calibri" w:cs="Calibri"/>
      <w:noProof/>
      <w:lang w:val="en-US"/>
    </w:rPr>
  </w:style>
  <w:style w:type="character" w:customStyle="1" w:styleId="EndNoteBibliographyChar">
    <w:name w:val="EndNote Bibliography Char"/>
    <w:basedOn w:val="DefaultParagraphFont"/>
    <w:link w:val="EndNoteBibliography"/>
    <w:rsid w:val="00390C78"/>
    <w:rPr>
      <w:rFonts w:ascii="Calibri" w:hAnsi="Calibri" w:cs="Calibri"/>
      <w:noProof/>
      <w:lang w:val="en-US"/>
    </w:rPr>
  </w:style>
  <w:style w:type="table" w:styleId="TableGrid">
    <w:name w:val="Table Grid"/>
    <w:basedOn w:val="TableNormal"/>
    <w:uiPriority w:val="59"/>
    <w:rsid w:val="000E6A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638407">
      <w:bodyDiv w:val="1"/>
      <w:marLeft w:val="0"/>
      <w:marRight w:val="0"/>
      <w:marTop w:val="0"/>
      <w:marBottom w:val="0"/>
      <w:divBdr>
        <w:top w:val="none" w:sz="0" w:space="0" w:color="auto"/>
        <w:left w:val="none" w:sz="0" w:space="0" w:color="auto"/>
        <w:bottom w:val="none" w:sz="0" w:space="0" w:color="auto"/>
        <w:right w:val="none" w:sz="0" w:space="0" w:color="auto"/>
      </w:divBdr>
    </w:div>
    <w:div w:id="186725115">
      <w:bodyDiv w:val="1"/>
      <w:marLeft w:val="0"/>
      <w:marRight w:val="0"/>
      <w:marTop w:val="0"/>
      <w:marBottom w:val="0"/>
      <w:divBdr>
        <w:top w:val="none" w:sz="0" w:space="0" w:color="auto"/>
        <w:left w:val="none" w:sz="0" w:space="0" w:color="auto"/>
        <w:bottom w:val="none" w:sz="0" w:space="0" w:color="auto"/>
        <w:right w:val="none" w:sz="0" w:space="0" w:color="auto"/>
      </w:divBdr>
    </w:div>
    <w:div w:id="340862889">
      <w:bodyDiv w:val="1"/>
      <w:marLeft w:val="0"/>
      <w:marRight w:val="0"/>
      <w:marTop w:val="0"/>
      <w:marBottom w:val="0"/>
      <w:divBdr>
        <w:top w:val="none" w:sz="0" w:space="0" w:color="auto"/>
        <w:left w:val="none" w:sz="0" w:space="0" w:color="auto"/>
        <w:bottom w:val="none" w:sz="0" w:space="0" w:color="auto"/>
        <w:right w:val="none" w:sz="0" w:space="0" w:color="auto"/>
      </w:divBdr>
    </w:div>
    <w:div w:id="488209385">
      <w:bodyDiv w:val="1"/>
      <w:marLeft w:val="0"/>
      <w:marRight w:val="0"/>
      <w:marTop w:val="0"/>
      <w:marBottom w:val="0"/>
      <w:divBdr>
        <w:top w:val="none" w:sz="0" w:space="0" w:color="auto"/>
        <w:left w:val="none" w:sz="0" w:space="0" w:color="auto"/>
        <w:bottom w:val="none" w:sz="0" w:space="0" w:color="auto"/>
        <w:right w:val="none" w:sz="0" w:space="0" w:color="auto"/>
      </w:divBdr>
    </w:div>
    <w:div w:id="489827120">
      <w:bodyDiv w:val="1"/>
      <w:marLeft w:val="0"/>
      <w:marRight w:val="0"/>
      <w:marTop w:val="0"/>
      <w:marBottom w:val="0"/>
      <w:divBdr>
        <w:top w:val="none" w:sz="0" w:space="0" w:color="auto"/>
        <w:left w:val="none" w:sz="0" w:space="0" w:color="auto"/>
        <w:bottom w:val="none" w:sz="0" w:space="0" w:color="auto"/>
        <w:right w:val="none" w:sz="0" w:space="0" w:color="auto"/>
      </w:divBdr>
    </w:div>
    <w:div w:id="696004357">
      <w:bodyDiv w:val="1"/>
      <w:marLeft w:val="0"/>
      <w:marRight w:val="0"/>
      <w:marTop w:val="0"/>
      <w:marBottom w:val="0"/>
      <w:divBdr>
        <w:top w:val="none" w:sz="0" w:space="0" w:color="auto"/>
        <w:left w:val="none" w:sz="0" w:space="0" w:color="auto"/>
        <w:bottom w:val="none" w:sz="0" w:space="0" w:color="auto"/>
        <w:right w:val="none" w:sz="0" w:space="0" w:color="auto"/>
      </w:divBdr>
    </w:div>
    <w:div w:id="968897366">
      <w:bodyDiv w:val="1"/>
      <w:marLeft w:val="0"/>
      <w:marRight w:val="0"/>
      <w:marTop w:val="0"/>
      <w:marBottom w:val="0"/>
      <w:divBdr>
        <w:top w:val="none" w:sz="0" w:space="0" w:color="auto"/>
        <w:left w:val="none" w:sz="0" w:space="0" w:color="auto"/>
        <w:bottom w:val="none" w:sz="0" w:space="0" w:color="auto"/>
        <w:right w:val="none" w:sz="0" w:space="0" w:color="auto"/>
      </w:divBdr>
    </w:div>
    <w:div w:id="1060324975">
      <w:bodyDiv w:val="1"/>
      <w:marLeft w:val="0"/>
      <w:marRight w:val="0"/>
      <w:marTop w:val="0"/>
      <w:marBottom w:val="0"/>
      <w:divBdr>
        <w:top w:val="none" w:sz="0" w:space="0" w:color="auto"/>
        <w:left w:val="none" w:sz="0" w:space="0" w:color="auto"/>
        <w:bottom w:val="none" w:sz="0" w:space="0" w:color="auto"/>
        <w:right w:val="none" w:sz="0" w:space="0" w:color="auto"/>
      </w:divBdr>
    </w:div>
    <w:div w:id="1118139757">
      <w:bodyDiv w:val="1"/>
      <w:marLeft w:val="0"/>
      <w:marRight w:val="0"/>
      <w:marTop w:val="0"/>
      <w:marBottom w:val="0"/>
      <w:divBdr>
        <w:top w:val="none" w:sz="0" w:space="0" w:color="auto"/>
        <w:left w:val="none" w:sz="0" w:space="0" w:color="auto"/>
        <w:bottom w:val="none" w:sz="0" w:space="0" w:color="auto"/>
        <w:right w:val="none" w:sz="0" w:space="0" w:color="auto"/>
      </w:divBdr>
    </w:div>
    <w:div w:id="1142115034">
      <w:bodyDiv w:val="1"/>
      <w:marLeft w:val="0"/>
      <w:marRight w:val="0"/>
      <w:marTop w:val="0"/>
      <w:marBottom w:val="0"/>
      <w:divBdr>
        <w:top w:val="none" w:sz="0" w:space="0" w:color="auto"/>
        <w:left w:val="none" w:sz="0" w:space="0" w:color="auto"/>
        <w:bottom w:val="none" w:sz="0" w:space="0" w:color="auto"/>
        <w:right w:val="none" w:sz="0" w:space="0" w:color="auto"/>
      </w:divBdr>
    </w:div>
    <w:div w:id="1568691071">
      <w:bodyDiv w:val="1"/>
      <w:marLeft w:val="0"/>
      <w:marRight w:val="0"/>
      <w:marTop w:val="0"/>
      <w:marBottom w:val="0"/>
      <w:divBdr>
        <w:top w:val="none" w:sz="0" w:space="0" w:color="auto"/>
        <w:left w:val="none" w:sz="0" w:space="0" w:color="auto"/>
        <w:bottom w:val="none" w:sz="0" w:space="0" w:color="auto"/>
        <w:right w:val="none" w:sz="0" w:space="0" w:color="auto"/>
      </w:divBdr>
    </w:div>
    <w:div w:id="1930650616">
      <w:bodyDiv w:val="1"/>
      <w:marLeft w:val="0"/>
      <w:marRight w:val="0"/>
      <w:marTop w:val="0"/>
      <w:marBottom w:val="0"/>
      <w:divBdr>
        <w:top w:val="none" w:sz="0" w:space="0" w:color="auto"/>
        <w:left w:val="none" w:sz="0" w:space="0" w:color="auto"/>
        <w:bottom w:val="none" w:sz="0" w:space="0" w:color="auto"/>
        <w:right w:val="none" w:sz="0" w:space="0" w:color="auto"/>
      </w:divBdr>
    </w:div>
    <w:div w:id="200457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G.Chen@massey.ac.nz" TargetMode="External"/><Relationship Id="rId13" Type="http://schemas.openxmlformats.org/officeDocument/2006/relationships/hyperlink" Target="http://ssrn.com/paper=2020127" TargetMode="Externa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apers.ssrn.com/sol3/papers.cfm?abstract_id=3005686" TargetMode="Externa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2139/ssrn.2587124"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srn.com/abstract=2587124" TargetMode="Externa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https://papers.ssrn.com/sol3/papers.cfm?abstract_id=2788381" TargetMode="External"/><Relationship Id="rId14" Type="http://schemas.openxmlformats.org/officeDocument/2006/relationships/footer" Target="footer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9297318269998852E-2"/>
          <c:y val="0.12417798697200463"/>
          <c:w val="0.83289107611548552"/>
          <c:h val="0.58043402303418701"/>
        </c:manualLayout>
      </c:layout>
      <c:scatterChart>
        <c:scatterStyle val="lineMarker"/>
        <c:varyColors val="0"/>
        <c:ser>
          <c:idx val="0"/>
          <c:order val="0"/>
          <c:tx>
            <c:v>Full sample</c:v>
          </c:tx>
          <c:spPr>
            <a:ln w="25400" cap="rnd">
              <a:solidFill>
                <a:srgbClr val="4F81BD"/>
              </a:solidFill>
              <a:round/>
            </a:ln>
            <a:effectLst/>
          </c:spPr>
          <c:marker>
            <c:symbol val="none"/>
          </c:marker>
          <c:xVal>
            <c:numRef>
              <c:f>EventAllCAR!$B$9:$B$51</c:f>
              <c:numCache>
                <c:formatCode>General</c:formatCode>
                <c:ptCount val="43"/>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pt idx="41">
                  <c:v>21</c:v>
                </c:pt>
                <c:pt idx="42">
                  <c:v>22</c:v>
                </c:pt>
              </c:numCache>
            </c:numRef>
          </c:xVal>
          <c:yVal>
            <c:numRef>
              <c:f>EventAllCAR!$L$9:$L$51</c:f>
              <c:numCache>
                <c:formatCode>General</c:formatCode>
                <c:ptCount val="43"/>
                <c:pt idx="0">
                  <c:v>-0.01</c:v>
                </c:pt>
                <c:pt idx="1">
                  <c:v>0.16999999999999998</c:v>
                </c:pt>
                <c:pt idx="2">
                  <c:v>0.05</c:v>
                </c:pt>
                <c:pt idx="3">
                  <c:v>-0.35000000000000003</c:v>
                </c:pt>
                <c:pt idx="4">
                  <c:v>-0.57000000000000006</c:v>
                </c:pt>
                <c:pt idx="5">
                  <c:v>-0.48000000000000004</c:v>
                </c:pt>
                <c:pt idx="6">
                  <c:v>-0.69</c:v>
                </c:pt>
                <c:pt idx="7">
                  <c:v>-0.66</c:v>
                </c:pt>
                <c:pt idx="8">
                  <c:v>-0.89</c:v>
                </c:pt>
                <c:pt idx="9">
                  <c:v>-0.89999999999999991</c:v>
                </c:pt>
                <c:pt idx="10">
                  <c:v>-0.96999999999999986</c:v>
                </c:pt>
                <c:pt idx="11">
                  <c:v>-0.88999999999999979</c:v>
                </c:pt>
                <c:pt idx="12">
                  <c:v>-0.85999999999999988</c:v>
                </c:pt>
                <c:pt idx="13">
                  <c:v>-0.5099999999999999</c:v>
                </c:pt>
                <c:pt idx="14">
                  <c:v>-0.98</c:v>
                </c:pt>
                <c:pt idx="15">
                  <c:v>-0.78999999999999992</c:v>
                </c:pt>
                <c:pt idx="16">
                  <c:v>-0.39999999999999991</c:v>
                </c:pt>
                <c:pt idx="17">
                  <c:v>-0.78999999999999992</c:v>
                </c:pt>
                <c:pt idx="18">
                  <c:v>-1.1099999999999999</c:v>
                </c:pt>
                <c:pt idx="19">
                  <c:v>-0.93999999999999984</c:v>
                </c:pt>
                <c:pt idx="20">
                  <c:v>-0.1199999999999998</c:v>
                </c:pt>
                <c:pt idx="21">
                  <c:v>0.12000000000000019</c:v>
                </c:pt>
                <c:pt idx="22">
                  <c:v>0.25000000000000017</c:v>
                </c:pt>
                <c:pt idx="23">
                  <c:v>0.38000000000000017</c:v>
                </c:pt>
                <c:pt idx="24">
                  <c:v>0.18000000000000016</c:v>
                </c:pt>
                <c:pt idx="25">
                  <c:v>0.28000000000000019</c:v>
                </c:pt>
                <c:pt idx="26">
                  <c:v>0.18000000000000016</c:v>
                </c:pt>
                <c:pt idx="27">
                  <c:v>0.5900000000000003</c:v>
                </c:pt>
                <c:pt idx="28">
                  <c:v>0.39000000000000024</c:v>
                </c:pt>
                <c:pt idx="29">
                  <c:v>0.26000000000000023</c:v>
                </c:pt>
                <c:pt idx="30">
                  <c:v>2.0000000000000268E-2</c:v>
                </c:pt>
                <c:pt idx="31">
                  <c:v>-0.11999999999999973</c:v>
                </c:pt>
                <c:pt idx="32">
                  <c:v>-4.9999999999999732E-2</c:v>
                </c:pt>
                <c:pt idx="33">
                  <c:v>0.38000000000000028</c:v>
                </c:pt>
                <c:pt idx="34">
                  <c:v>-0.21999999999999975</c:v>
                </c:pt>
                <c:pt idx="35">
                  <c:v>-0.4799999999999997</c:v>
                </c:pt>
                <c:pt idx="36">
                  <c:v>-3.9999999999999675E-2</c:v>
                </c:pt>
                <c:pt idx="37">
                  <c:v>-0.26999999999999968</c:v>
                </c:pt>
                <c:pt idx="38">
                  <c:v>0.25000000000000033</c:v>
                </c:pt>
                <c:pt idx="39">
                  <c:v>0.7100000000000003</c:v>
                </c:pt>
                <c:pt idx="40">
                  <c:v>0.8300000000000004</c:v>
                </c:pt>
                <c:pt idx="41">
                  <c:v>0.68000000000000038</c:v>
                </c:pt>
                <c:pt idx="42">
                  <c:v>0.73000000000000043</c:v>
                </c:pt>
              </c:numCache>
            </c:numRef>
          </c:yVal>
          <c:smooth val="0"/>
          <c:extLst>
            <c:ext xmlns:c16="http://schemas.microsoft.com/office/drawing/2014/chart" uri="{C3380CC4-5D6E-409C-BE32-E72D297353CC}">
              <c16:uniqueId val="{00000000-1100-4907-9D2C-F8CBD0BDC294}"/>
            </c:ext>
          </c:extLst>
        </c:ser>
        <c:ser>
          <c:idx val="1"/>
          <c:order val="1"/>
          <c:tx>
            <c:v>Positive CAR</c:v>
          </c:tx>
          <c:spPr>
            <a:ln w="25400" cap="rnd">
              <a:solidFill>
                <a:srgbClr val="F79646">
                  <a:lumMod val="75000"/>
                </a:srgbClr>
              </a:solidFill>
              <a:prstDash val="sysDash"/>
              <a:round/>
            </a:ln>
            <a:effectLst/>
          </c:spPr>
          <c:marker>
            <c:symbol val="none"/>
          </c:marker>
          <c:xVal>
            <c:numRef>
              <c:f>EventAllCAR!$B$9:$B$51</c:f>
              <c:numCache>
                <c:formatCode>General</c:formatCode>
                <c:ptCount val="43"/>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pt idx="41">
                  <c:v>21</c:v>
                </c:pt>
                <c:pt idx="42">
                  <c:v>22</c:v>
                </c:pt>
              </c:numCache>
            </c:numRef>
          </c:xVal>
          <c:yVal>
            <c:numRef>
              <c:f>'HD3'!$L$9:$L$51</c:f>
              <c:numCache>
                <c:formatCode>General</c:formatCode>
                <c:ptCount val="43"/>
                <c:pt idx="0">
                  <c:v>0.24</c:v>
                </c:pt>
                <c:pt idx="1">
                  <c:v>0.31</c:v>
                </c:pt>
                <c:pt idx="2">
                  <c:v>-7.9999999999999988E-2</c:v>
                </c:pt>
                <c:pt idx="3">
                  <c:v>-0.37</c:v>
                </c:pt>
                <c:pt idx="4">
                  <c:v>-0.84</c:v>
                </c:pt>
                <c:pt idx="5">
                  <c:v>-0.69</c:v>
                </c:pt>
                <c:pt idx="6">
                  <c:v>-0.77999999999999992</c:v>
                </c:pt>
                <c:pt idx="7">
                  <c:v>-0.91</c:v>
                </c:pt>
                <c:pt idx="8">
                  <c:v>-1.0900000000000001</c:v>
                </c:pt>
                <c:pt idx="9">
                  <c:v>-0.94000000000000006</c:v>
                </c:pt>
                <c:pt idx="10">
                  <c:v>-0.94000000000000006</c:v>
                </c:pt>
                <c:pt idx="11">
                  <c:v>-1.1000000000000001</c:v>
                </c:pt>
                <c:pt idx="12">
                  <c:v>-1.0300000000000002</c:v>
                </c:pt>
                <c:pt idx="13">
                  <c:v>-0.98000000000000009</c:v>
                </c:pt>
                <c:pt idx="14">
                  <c:v>-1.77</c:v>
                </c:pt>
                <c:pt idx="15">
                  <c:v>-1.43</c:v>
                </c:pt>
                <c:pt idx="16">
                  <c:v>-0.8</c:v>
                </c:pt>
                <c:pt idx="17">
                  <c:v>-1.1400000000000001</c:v>
                </c:pt>
                <c:pt idx="18">
                  <c:v>-1.9300000000000002</c:v>
                </c:pt>
                <c:pt idx="19">
                  <c:v>-2.0500000000000003</c:v>
                </c:pt>
                <c:pt idx="20">
                  <c:v>0.72999999999999976</c:v>
                </c:pt>
                <c:pt idx="21">
                  <c:v>1.92</c:v>
                </c:pt>
                <c:pt idx="22">
                  <c:v>3.2199999999999998</c:v>
                </c:pt>
                <c:pt idx="23">
                  <c:v>3.09</c:v>
                </c:pt>
                <c:pt idx="24">
                  <c:v>2.5700000000000003</c:v>
                </c:pt>
                <c:pt idx="25">
                  <c:v>2.2600000000000002</c:v>
                </c:pt>
                <c:pt idx="26">
                  <c:v>2.37</c:v>
                </c:pt>
                <c:pt idx="27">
                  <c:v>2.7500000000000004</c:v>
                </c:pt>
                <c:pt idx="28">
                  <c:v>2.4200000000000004</c:v>
                </c:pt>
                <c:pt idx="29">
                  <c:v>2.14</c:v>
                </c:pt>
                <c:pt idx="30">
                  <c:v>1.86</c:v>
                </c:pt>
                <c:pt idx="31">
                  <c:v>1.6300000000000001</c:v>
                </c:pt>
                <c:pt idx="32">
                  <c:v>1.6200000000000003</c:v>
                </c:pt>
                <c:pt idx="33">
                  <c:v>2.1300000000000003</c:v>
                </c:pt>
                <c:pt idx="34">
                  <c:v>1.3000000000000003</c:v>
                </c:pt>
                <c:pt idx="35">
                  <c:v>1.0400000000000003</c:v>
                </c:pt>
                <c:pt idx="36">
                  <c:v>1.6900000000000002</c:v>
                </c:pt>
                <c:pt idx="37">
                  <c:v>1.2600000000000002</c:v>
                </c:pt>
                <c:pt idx="38">
                  <c:v>2.0500000000000003</c:v>
                </c:pt>
                <c:pt idx="39">
                  <c:v>2.3900000000000006</c:v>
                </c:pt>
                <c:pt idx="40">
                  <c:v>2.7900000000000005</c:v>
                </c:pt>
              </c:numCache>
            </c:numRef>
          </c:yVal>
          <c:smooth val="0"/>
          <c:extLst>
            <c:ext xmlns:c16="http://schemas.microsoft.com/office/drawing/2014/chart" uri="{C3380CC4-5D6E-409C-BE32-E72D297353CC}">
              <c16:uniqueId val="{00000001-1100-4907-9D2C-F8CBD0BDC294}"/>
            </c:ext>
          </c:extLst>
        </c:ser>
        <c:ser>
          <c:idx val="2"/>
          <c:order val="2"/>
          <c:tx>
            <c:v>Negative CAR</c:v>
          </c:tx>
          <c:spPr>
            <a:ln w="25400" cap="rnd">
              <a:solidFill>
                <a:sysClr val="windowText" lastClr="000000"/>
              </a:solidFill>
              <a:prstDash val="sysDot"/>
              <a:round/>
            </a:ln>
            <a:effectLst/>
          </c:spPr>
          <c:marker>
            <c:symbol val="none"/>
          </c:marker>
          <c:xVal>
            <c:numRef>
              <c:f>EventAllCAR!$B$9:$B$51</c:f>
              <c:numCache>
                <c:formatCode>General</c:formatCode>
                <c:ptCount val="43"/>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pt idx="41">
                  <c:v>21</c:v>
                </c:pt>
                <c:pt idx="42">
                  <c:v>22</c:v>
                </c:pt>
              </c:numCache>
            </c:numRef>
          </c:xVal>
          <c:yVal>
            <c:numRef>
              <c:f>'LD3'!$L$9:$L$51</c:f>
              <c:numCache>
                <c:formatCode>General</c:formatCode>
                <c:ptCount val="43"/>
                <c:pt idx="0">
                  <c:v>-0.32</c:v>
                </c:pt>
                <c:pt idx="1">
                  <c:v>-1.0000000000000026E-2</c:v>
                </c:pt>
                <c:pt idx="2">
                  <c:v>0.19999999999999996</c:v>
                </c:pt>
                <c:pt idx="3">
                  <c:v>-0.35000000000000003</c:v>
                </c:pt>
                <c:pt idx="4">
                  <c:v>-0.26</c:v>
                </c:pt>
                <c:pt idx="5">
                  <c:v>-0.25</c:v>
                </c:pt>
                <c:pt idx="6">
                  <c:v>-0.6</c:v>
                </c:pt>
                <c:pt idx="7">
                  <c:v>-0.37</c:v>
                </c:pt>
                <c:pt idx="8">
                  <c:v>-0.65</c:v>
                </c:pt>
                <c:pt idx="9">
                  <c:v>-0.86</c:v>
                </c:pt>
                <c:pt idx="10">
                  <c:v>-1.01</c:v>
                </c:pt>
                <c:pt idx="11">
                  <c:v>-0.62</c:v>
                </c:pt>
                <c:pt idx="12">
                  <c:v>-0.65</c:v>
                </c:pt>
                <c:pt idx="13">
                  <c:v>7.0000000000000007E-2</c:v>
                </c:pt>
                <c:pt idx="14">
                  <c:v>-1.9999999999999987E-2</c:v>
                </c:pt>
                <c:pt idx="15">
                  <c:v>-9.9999999999999863E-3</c:v>
                </c:pt>
                <c:pt idx="16">
                  <c:v>9.0000000000000024E-2</c:v>
                </c:pt>
                <c:pt idx="17">
                  <c:v>-0.38</c:v>
                </c:pt>
                <c:pt idx="18">
                  <c:v>-0.12000000000000001</c:v>
                </c:pt>
                <c:pt idx="19">
                  <c:v>0.40999999999999992</c:v>
                </c:pt>
                <c:pt idx="20">
                  <c:v>-1.1900000000000002</c:v>
                </c:pt>
                <c:pt idx="21">
                  <c:v>-2.11</c:v>
                </c:pt>
                <c:pt idx="22">
                  <c:v>-3.4099999999999997</c:v>
                </c:pt>
                <c:pt idx="23">
                  <c:v>-2.9699999999999998</c:v>
                </c:pt>
                <c:pt idx="24">
                  <c:v>-2.78</c:v>
                </c:pt>
                <c:pt idx="25">
                  <c:v>-2.19</c:v>
                </c:pt>
                <c:pt idx="26">
                  <c:v>-2.5599999999999996</c:v>
                </c:pt>
                <c:pt idx="27">
                  <c:v>-2.11</c:v>
                </c:pt>
                <c:pt idx="28">
                  <c:v>-2.1599999999999997</c:v>
                </c:pt>
                <c:pt idx="29">
                  <c:v>-2.11</c:v>
                </c:pt>
                <c:pt idx="30">
                  <c:v>-2.3099999999999996</c:v>
                </c:pt>
                <c:pt idx="31">
                  <c:v>-2.3499999999999996</c:v>
                </c:pt>
                <c:pt idx="32">
                  <c:v>-2.1899999999999995</c:v>
                </c:pt>
                <c:pt idx="33">
                  <c:v>-1.8599999999999994</c:v>
                </c:pt>
                <c:pt idx="34">
                  <c:v>-2.1599999999999993</c:v>
                </c:pt>
                <c:pt idx="35">
                  <c:v>-2.419999999999999</c:v>
                </c:pt>
                <c:pt idx="36">
                  <c:v>-2.2399999999999993</c:v>
                </c:pt>
                <c:pt idx="37">
                  <c:v>-2.2199999999999993</c:v>
                </c:pt>
                <c:pt idx="38">
                  <c:v>-2.0399999999999996</c:v>
                </c:pt>
                <c:pt idx="39">
                  <c:v>-1.4499999999999995</c:v>
                </c:pt>
                <c:pt idx="40">
                  <c:v>-1.6699999999999997</c:v>
                </c:pt>
                <c:pt idx="41">
                  <c:v>-1.7899999999999996</c:v>
                </c:pt>
                <c:pt idx="42">
                  <c:v>-2.11</c:v>
                </c:pt>
              </c:numCache>
            </c:numRef>
          </c:yVal>
          <c:smooth val="0"/>
          <c:extLst>
            <c:ext xmlns:c16="http://schemas.microsoft.com/office/drawing/2014/chart" uri="{C3380CC4-5D6E-409C-BE32-E72D297353CC}">
              <c16:uniqueId val="{00000002-1100-4907-9D2C-F8CBD0BDC294}"/>
            </c:ext>
          </c:extLst>
        </c:ser>
        <c:dLbls>
          <c:showLegendKey val="0"/>
          <c:showVal val="0"/>
          <c:showCatName val="0"/>
          <c:showSerName val="0"/>
          <c:showPercent val="0"/>
          <c:showBubbleSize val="0"/>
        </c:dLbls>
        <c:axId val="417310088"/>
        <c:axId val="417307136"/>
      </c:scatterChart>
      <c:valAx>
        <c:axId val="417310088"/>
        <c:scaling>
          <c:orientation val="minMax"/>
          <c:max val="22"/>
          <c:min val="-20"/>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Event</a:t>
                </a:r>
                <a:r>
                  <a:rPr lang="en-US" b="1" baseline="0"/>
                  <a:t> Days</a:t>
                </a:r>
                <a:endParaRPr lang="en-US" b="1"/>
              </a:p>
            </c:rich>
          </c:tx>
          <c:layout>
            <c:manualLayout>
              <c:xMode val="edge"/>
              <c:yMode val="edge"/>
              <c:x val="0.43561538285975121"/>
              <c:y val="0.79462375948670105"/>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2">
                <a:lumMod val="90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307136"/>
        <c:crossesAt val="-4"/>
        <c:crossBetween val="midCat"/>
        <c:majorUnit val="5"/>
      </c:valAx>
      <c:valAx>
        <c:axId val="417307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NZ" b="1"/>
                  <a:t>Abnormal Return (%)</a:t>
                </a:r>
              </a:p>
            </c:rich>
          </c:tx>
          <c:layout>
            <c:manualLayout>
              <c:xMode val="edge"/>
              <c:yMode val="edge"/>
              <c:x val="4.4032774164099057E-2"/>
              <c:y val="0.29182307113929545"/>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w="9525" cap="flat" cmpd="sng" algn="ctr">
            <a:solidFill>
              <a:schemeClr val="bg2">
                <a:lumMod val="90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310088"/>
        <c:crossesAt val="0"/>
        <c:crossBetween val="midCat"/>
      </c:valAx>
      <c:spPr>
        <a:noFill/>
        <a:ln>
          <a:noFill/>
        </a:ln>
        <a:effectLst/>
      </c:spPr>
    </c:plotArea>
    <c:legend>
      <c:legendPos val="b"/>
      <c:layout>
        <c:manualLayout>
          <c:xMode val="edge"/>
          <c:yMode val="edge"/>
          <c:x val="0.17663667693712196"/>
          <c:y val="0.88360373156751437"/>
          <c:w val="0.6420887823804633"/>
          <c:h val="6.162175683854745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850400679751061E-2"/>
          <c:y val="0.13166606847188558"/>
          <c:w val="0.78333670694762125"/>
          <c:h val="0.57919854686281724"/>
        </c:manualLayout>
      </c:layout>
      <c:scatterChart>
        <c:scatterStyle val="lineMarker"/>
        <c:varyColors val="0"/>
        <c:ser>
          <c:idx val="0"/>
          <c:order val="0"/>
          <c:tx>
            <c:strRef>
              <c:f>'#LN00048'!$L$2</c:f>
              <c:strCache>
                <c:ptCount val="1"/>
                <c:pt idx="0">
                  <c:v>Full Sample</c:v>
                </c:pt>
              </c:strCache>
            </c:strRef>
          </c:tx>
          <c:spPr>
            <a:ln w="25400" cap="rnd">
              <a:solidFill>
                <a:srgbClr val="4F81BD"/>
              </a:solidFill>
              <a:round/>
            </a:ln>
            <a:effectLst/>
          </c:spPr>
          <c:marker>
            <c:symbol val="none"/>
          </c:marker>
          <c:xVal>
            <c:numRef>
              <c:f>'#LN00048'!$K$3:$K$43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'#LN00048'!$Q$3:$Q$43</c:f>
              <c:numCache>
                <c:formatCode>General</c:formatCode>
                <c:ptCount val="41"/>
                <c:pt idx="0">
                  <c:v>6.5027745357971014</c:v>
                </c:pt>
                <c:pt idx="1">
                  <c:v>6.7679078856872046</c:v>
                </c:pt>
                <c:pt idx="2">
                  <c:v>6.5540361503301865</c:v>
                </c:pt>
                <c:pt idx="3">
                  <c:v>6.3222560083098607</c:v>
                </c:pt>
                <c:pt idx="4">
                  <c:v>6.1666073139814852</c:v>
                </c:pt>
                <c:pt idx="5">
                  <c:v>6.2295266901395303</c:v>
                </c:pt>
                <c:pt idx="6">
                  <c:v>5.916610017188936</c:v>
                </c:pt>
                <c:pt idx="7">
                  <c:v>6.1576512353181778</c:v>
                </c:pt>
                <c:pt idx="8">
                  <c:v>6.4433667243891364</c:v>
                </c:pt>
                <c:pt idx="9">
                  <c:v>6.2565210008597303</c:v>
                </c:pt>
                <c:pt idx="10">
                  <c:v>5.9380852234821413</c:v>
                </c:pt>
                <c:pt idx="11">
                  <c:v>5.853259831244447</c:v>
                </c:pt>
                <c:pt idx="12">
                  <c:v>6.1472530745132765</c:v>
                </c:pt>
                <c:pt idx="13">
                  <c:v>6.2331681469777784</c:v>
                </c:pt>
                <c:pt idx="14">
                  <c:v>6.4633150395132732</c:v>
                </c:pt>
                <c:pt idx="15">
                  <c:v>6.598309374513275</c:v>
                </c:pt>
                <c:pt idx="16">
                  <c:v>6.7625593076548656</c:v>
                </c:pt>
                <c:pt idx="17">
                  <c:v>6.211700245065499</c:v>
                </c:pt>
                <c:pt idx="18">
                  <c:v>5.806939398318967</c:v>
                </c:pt>
                <c:pt idx="19">
                  <c:v>5.4813615424358968</c:v>
                </c:pt>
                <c:pt idx="20">
                  <c:v>5.6156683870762745</c:v>
                </c:pt>
                <c:pt idx="21">
                  <c:v>5.0599049353846182</c:v>
                </c:pt>
                <c:pt idx="22">
                  <c:v>5.2171503826315764</c:v>
                </c:pt>
                <c:pt idx="23">
                  <c:v>4.9571052615858981</c:v>
                </c:pt>
                <c:pt idx="24">
                  <c:v>5.2711302793749963</c:v>
                </c:pt>
                <c:pt idx="25">
                  <c:v>5.6074141604000012</c:v>
                </c:pt>
                <c:pt idx="26">
                  <c:v>5.7741340776785721</c:v>
                </c:pt>
                <c:pt idx="27">
                  <c:v>5.9623529892792764</c:v>
                </c:pt>
                <c:pt idx="28">
                  <c:v>6.4597925998214274</c:v>
                </c:pt>
                <c:pt idx="29">
                  <c:v>6.2310543615315268</c:v>
                </c:pt>
                <c:pt idx="30">
                  <c:v>6.2867026502262418</c:v>
                </c:pt>
                <c:pt idx="31">
                  <c:v>6.4495061222374428</c:v>
                </c:pt>
                <c:pt idx="32">
                  <c:v>5.4518223959907832</c:v>
                </c:pt>
                <c:pt idx="33">
                  <c:v>5.654241262027651</c:v>
                </c:pt>
                <c:pt idx="34">
                  <c:v>6.1320244869907414</c:v>
                </c:pt>
                <c:pt idx="35">
                  <c:v>6.1478272294859844</c:v>
                </c:pt>
                <c:pt idx="36">
                  <c:v>6.0884899838497644</c:v>
                </c:pt>
                <c:pt idx="37">
                  <c:v>5.7450109555660411</c:v>
                </c:pt>
                <c:pt idx="38">
                  <c:v>5.6177166004265384</c:v>
                </c:pt>
                <c:pt idx="39">
                  <c:v>5.479461048490565</c:v>
                </c:pt>
                <c:pt idx="40">
                  <c:v>5.409404071682693</c:v>
                </c:pt>
              </c:numCache>
            </c:numRef>
          </c:yVal>
          <c:smooth val="0"/>
          <c:extLst>
            <c:ext xmlns:c16="http://schemas.microsoft.com/office/drawing/2014/chart" uri="{C3380CC4-5D6E-409C-BE32-E72D297353CC}">
              <c16:uniqueId val="{00000000-23CD-4677-8031-15FCD70050DA}"/>
            </c:ext>
          </c:extLst>
        </c:ser>
        <c:ser>
          <c:idx val="1"/>
          <c:order val="1"/>
          <c:tx>
            <c:strRef>
              <c:f>'#LN00048'!$O$2</c:f>
              <c:strCache>
                <c:ptCount val="1"/>
                <c:pt idx="0">
                  <c:v>Positive CAR</c:v>
                </c:pt>
              </c:strCache>
            </c:strRef>
          </c:tx>
          <c:spPr>
            <a:ln w="25400" cap="rnd">
              <a:solidFill>
                <a:srgbClr val="F79646">
                  <a:lumMod val="75000"/>
                </a:srgbClr>
              </a:solidFill>
              <a:prstDash val="dash"/>
              <a:round/>
            </a:ln>
            <a:effectLst/>
          </c:spPr>
          <c:marker>
            <c:symbol val="none"/>
          </c:marker>
          <c:xVal>
            <c:numRef>
              <c:f>'#LN00048'!$K$3:$K$42</c:f>
              <c:numCache>
                <c:formatCode>General</c:formatCode>
                <c:ptCount val="40"/>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numCache>
            </c:numRef>
          </c:xVal>
          <c:yVal>
            <c:numRef>
              <c:f>'#LN00048'!$R$3:$R$43</c:f>
              <c:numCache>
                <c:formatCode>General</c:formatCode>
                <c:ptCount val="41"/>
                <c:pt idx="0">
                  <c:v>4.5719571372807026</c:v>
                </c:pt>
                <c:pt idx="1">
                  <c:v>5.2008857194871787</c:v>
                </c:pt>
                <c:pt idx="2">
                  <c:v>5.9281895115254226</c:v>
                </c:pt>
                <c:pt idx="3">
                  <c:v>5.4699730852941189</c:v>
                </c:pt>
                <c:pt idx="4">
                  <c:v>4.9697481092500011</c:v>
                </c:pt>
                <c:pt idx="5">
                  <c:v>6.4086020869166678</c:v>
                </c:pt>
                <c:pt idx="6">
                  <c:v>5.9361044596666694</c:v>
                </c:pt>
                <c:pt idx="7">
                  <c:v>5.6279606935537201</c:v>
                </c:pt>
                <c:pt idx="8">
                  <c:v>5.674433267213117</c:v>
                </c:pt>
                <c:pt idx="9">
                  <c:v>5.8603975477049168</c:v>
                </c:pt>
                <c:pt idx="10">
                  <c:v>5.5665862289430903</c:v>
                </c:pt>
                <c:pt idx="11">
                  <c:v>5.4424165250406507</c:v>
                </c:pt>
                <c:pt idx="12">
                  <c:v>5.7195733550806453</c:v>
                </c:pt>
                <c:pt idx="13">
                  <c:v>5.8668007779032232</c:v>
                </c:pt>
                <c:pt idx="14">
                  <c:v>5.8223908097580654</c:v>
                </c:pt>
                <c:pt idx="15">
                  <c:v>6.4622945348387102</c:v>
                </c:pt>
                <c:pt idx="16">
                  <c:v>6.4094206281451642</c:v>
                </c:pt>
                <c:pt idx="17">
                  <c:v>5.6374432766400018</c:v>
                </c:pt>
                <c:pt idx="18">
                  <c:v>5.6170030303968215</c:v>
                </c:pt>
                <c:pt idx="19">
                  <c:v>5.1123764798449605</c:v>
                </c:pt>
                <c:pt idx="20">
                  <c:v>5.7878559328461527</c:v>
                </c:pt>
                <c:pt idx="21">
                  <c:v>4.7546337878461564</c:v>
                </c:pt>
                <c:pt idx="22">
                  <c:v>5.138924849603173</c:v>
                </c:pt>
                <c:pt idx="23">
                  <c:v>4.7675631024799987</c:v>
                </c:pt>
                <c:pt idx="24">
                  <c:v>5.3816692153225834</c:v>
                </c:pt>
                <c:pt idx="25">
                  <c:v>5.8811521006400023</c:v>
                </c:pt>
                <c:pt idx="26">
                  <c:v>5.9047607628799996</c:v>
                </c:pt>
                <c:pt idx="27">
                  <c:v>6.5081364525806471</c:v>
                </c:pt>
                <c:pt idx="28">
                  <c:v>7.4712102185599978</c:v>
                </c:pt>
                <c:pt idx="29">
                  <c:v>7.2237347514400003</c:v>
                </c:pt>
                <c:pt idx="30">
                  <c:v>7.1232839335483895</c:v>
                </c:pt>
                <c:pt idx="31">
                  <c:v>6.7393462956910577</c:v>
                </c:pt>
                <c:pt idx="32">
                  <c:v>5.8224445709917392</c:v>
                </c:pt>
                <c:pt idx="33">
                  <c:v>5.9537466040495906</c:v>
                </c:pt>
                <c:pt idx="34">
                  <c:v>6.3968460214049641</c:v>
                </c:pt>
                <c:pt idx="35">
                  <c:v>6.9823419129166702</c:v>
                </c:pt>
                <c:pt idx="36">
                  <c:v>6.8393615719491523</c:v>
                </c:pt>
                <c:pt idx="37">
                  <c:v>6.1339304655932221</c:v>
                </c:pt>
                <c:pt idx="38">
                  <c:v>5.8912242957264942</c:v>
                </c:pt>
                <c:pt idx="39">
                  <c:v>5.8321228674576275</c:v>
                </c:pt>
                <c:pt idx="40">
                  <c:v>5.7935071227586201</c:v>
                </c:pt>
              </c:numCache>
            </c:numRef>
          </c:yVal>
          <c:smooth val="0"/>
          <c:extLst>
            <c:ext xmlns:c16="http://schemas.microsoft.com/office/drawing/2014/chart" uri="{C3380CC4-5D6E-409C-BE32-E72D297353CC}">
              <c16:uniqueId val="{00000001-23CD-4677-8031-15FCD70050DA}"/>
            </c:ext>
          </c:extLst>
        </c:ser>
        <c:ser>
          <c:idx val="2"/>
          <c:order val="2"/>
          <c:tx>
            <c:strRef>
              <c:f>'#LN00048'!$P$2</c:f>
              <c:strCache>
                <c:ptCount val="1"/>
                <c:pt idx="0">
                  <c:v>Negative CAR</c:v>
                </c:pt>
              </c:strCache>
            </c:strRef>
          </c:tx>
          <c:spPr>
            <a:ln w="25400" cap="rnd">
              <a:solidFill>
                <a:sysClr val="windowText" lastClr="000000"/>
              </a:solidFill>
              <a:prstDash val="sysDot"/>
              <a:round/>
            </a:ln>
            <a:effectLst/>
          </c:spPr>
          <c:marker>
            <c:symbol val="none"/>
          </c:marker>
          <c:xVal>
            <c:numRef>
              <c:f>'#LN00048'!$K$3:$K$43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'#LN00048'!$S$3:$S$43</c:f>
              <c:numCache>
                <c:formatCode>General</c:formatCode>
                <c:ptCount val="41"/>
                <c:pt idx="0">
                  <c:v>8.8695829597849478</c:v>
                </c:pt>
                <c:pt idx="1">
                  <c:v>8.7183503691489346</c:v>
                </c:pt>
                <c:pt idx="2">
                  <c:v>7.3396734203191452</c:v>
                </c:pt>
                <c:pt idx="3">
                  <c:v>7.4012099214893627</c:v>
                </c:pt>
                <c:pt idx="4">
                  <c:v>7.6626813198958326</c:v>
                </c:pt>
                <c:pt idx="5">
                  <c:v>6.0033261889473692</c:v>
                </c:pt>
                <c:pt idx="6">
                  <c:v>5.8924931811340207</c:v>
                </c:pt>
                <c:pt idx="7">
                  <c:v>6.8050507863636351</c:v>
                </c:pt>
                <c:pt idx="8">
                  <c:v>7.3909412877777774</c:v>
                </c:pt>
                <c:pt idx="9">
                  <c:v>6.7446731350505047</c:v>
                </c:pt>
                <c:pt idx="10">
                  <c:v>6.3905047910891088</c:v>
                </c:pt>
                <c:pt idx="11">
                  <c:v>6.3486885240196091</c:v>
                </c:pt>
                <c:pt idx="12">
                  <c:v>6.6671774393137246</c:v>
                </c:pt>
                <c:pt idx="13">
                  <c:v>6.6829657090098999</c:v>
                </c:pt>
                <c:pt idx="14">
                  <c:v>7.2424778286274512</c:v>
                </c:pt>
                <c:pt idx="15">
                  <c:v>6.763660748235294</c:v>
                </c:pt>
                <c:pt idx="16">
                  <c:v>7.1918651533333318</c:v>
                </c:pt>
                <c:pt idx="17">
                  <c:v>6.9019129474999978</c:v>
                </c:pt>
                <c:pt idx="18">
                  <c:v>6.0327128167924533</c:v>
                </c:pt>
                <c:pt idx="19">
                  <c:v>5.9346860479047612</c:v>
                </c:pt>
                <c:pt idx="20">
                  <c:v>5.404494981886792</c:v>
                </c:pt>
                <c:pt idx="21">
                  <c:v>5.4414938698076902</c:v>
                </c:pt>
                <c:pt idx="22">
                  <c:v>5.3137819234313719</c:v>
                </c:pt>
                <c:pt idx="23">
                  <c:v>5.1893873193137274</c:v>
                </c:pt>
                <c:pt idx="24">
                  <c:v>5.1340619987999991</c:v>
                </c:pt>
                <c:pt idx="25">
                  <c:v>5.2652417351000009</c:v>
                </c:pt>
                <c:pt idx="26">
                  <c:v>5.609201394343434</c:v>
                </c:pt>
                <c:pt idx="27">
                  <c:v>5.2717698316326533</c:v>
                </c:pt>
                <c:pt idx="28">
                  <c:v>5.1827501519191923</c:v>
                </c:pt>
                <c:pt idx="29">
                  <c:v>4.9518270549484535</c:v>
                </c:pt>
                <c:pt idx="30">
                  <c:v>5.2172585354639169</c:v>
                </c:pt>
                <c:pt idx="31">
                  <c:v>6.0781484000000008</c:v>
                </c:pt>
                <c:pt idx="32">
                  <c:v>4.9846840295833337</c:v>
                </c:pt>
                <c:pt idx="33">
                  <c:v>5.2767397371875004</c:v>
                </c:pt>
                <c:pt idx="34">
                  <c:v>5.7947254800000012</c:v>
                </c:pt>
                <c:pt idx="35">
                  <c:v>5.0824893357446825</c:v>
                </c:pt>
                <c:pt idx="36">
                  <c:v>5.155828432315789</c:v>
                </c:pt>
                <c:pt idx="37">
                  <c:v>5.2567928472340411</c:v>
                </c:pt>
                <c:pt idx="38">
                  <c:v>5.2772868094680838</c:v>
                </c:pt>
                <c:pt idx="39">
                  <c:v>5.0367579140425525</c:v>
                </c:pt>
                <c:pt idx="40">
                  <c:v>4.9251002246739146</c:v>
                </c:pt>
              </c:numCache>
            </c:numRef>
          </c:yVal>
          <c:smooth val="0"/>
          <c:extLst>
            <c:ext xmlns:c16="http://schemas.microsoft.com/office/drawing/2014/chart" uri="{C3380CC4-5D6E-409C-BE32-E72D297353CC}">
              <c16:uniqueId val="{00000002-23CD-4677-8031-15FCD70050DA}"/>
            </c:ext>
          </c:extLst>
        </c:ser>
        <c:dLbls>
          <c:showLegendKey val="0"/>
          <c:showVal val="0"/>
          <c:showCatName val="0"/>
          <c:showSerName val="0"/>
          <c:showPercent val="0"/>
          <c:showBubbleSize val="0"/>
        </c:dLbls>
        <c:axId val="312982128"/>
        <c:axId val="312977536"/>
      </c:scatterChart>
      <c:valAx>
        <c:axId val="312982128"/>
        <c:scaling>
          <c:orientation val="minMax"/>
          <c:max val="20"/>
          <c:min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Event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77536"/>
        <c:crosses val="autoZero"/>
        <c:crossBetween val="midCat"/>
      </c:valAx>
      <c:valAx>
        <c:axId val="312977536"/>
        <c:scaling>
          <c:orientation val="minMax"/>
          <c:max val="12"/>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Average Bid-Ask Spread (%)</a:t>
                </a:r>
              </a:p>
            </c:rich>
          </c:tx>
          <c:layout>
            <c:manualLayout>
              <c:xMode val="edge"/>
              <c:yMode val="edge"/>
              <c:x val="4.0997224117204717E-2"/>
              <c:y val="0.198048851096764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82128"/>
        <c:crosses val="autoZero"/>
        <c:crossBetween val="midCat"/>
      </c:valAx>
      <c:spPr>
        <a:noFill/>
        <a:ln>
          <a:noFill/>
        </a:ln>
        <a:effectLst/>
      </c:spPr>
    </c:plotArea>
    <c:legend>
      <c:legendPos val="r"/>
      <c:layout>
        <c:manualLayout>
          <c:xMode val="edge"/>
          <c:yMode val="edge"/>
          <c:x val="0.19592951944600986"/>
          <c:y val="0.87164128400663476"/>
          <c:w val="0.57270796645277955"/>
          <c:h val="8.67418368133798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497837513241413E-2"/>
          <c:y val="0.2179538854358947"/>
          <c:w val="0.78333670694762125"/>
          <c:h val="0.56469002310510974"/>
        </c:manualLayout>
      </c:layout>
      <c:scatterChart>
        <c:scatterStyle val="lineMarker"/>
        <c:varyColors val="0"/>
        <c:ser>
          <c:idx val="0"/>
          <c:order val="0"/>
          <c:tx>
            <c:strRef>
              <c:f>posCAR02!$I$2</c:f>
              <c:strCache>
                <c:ptCount val="1"/>
                <c:pt idx="0">
                  <c:v>All positive CAR</c:v>
                </c:pt>
              </c:strCache>
            </c:strRef>
          </c:tx>
          <c:spPr>
            <a:ln w="25400" cap="rnd">
              <a:solidFill>
                <a:schemeClr val="accent1"/>
              </a:solidFill>
              <a:round/>
            </a:ln>
            <a:effectLst/>
          </c:spPr>
          <c:marker>
            <c:symbol val="none"/>
          </c:marker>
          <c:xVal>
            <c:numRef>
              <c:f>posCAR02!$H$3:$H$43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posCAR02!$L$3:$L$43</c:f>
              <c:numCache>
                <c:formatCode>General</c:formatCode>
                <c:ptCount val="41"/>
                <c:pt idx="0">
                  <c:v>4.5719571372807026</c:v>
                </c:pt>
                <c:pt idx="1">
                  <c:v>5.2008857194871787</c:v>
                </c:pt>
                <c:pt idx="2">
                  <c:v>5.9281895115254226</c:v>
                </c:pt>
                <c:pt idx="3">
                  <c:v>5.4699730852941189</c:v>
                </c:pt>
                <c:pt idx="4">
                  <c:v>4.9697481092500011</c:v>
                </c:pt>
                <c:pt idx="5">
                  <c:v>6.4086020869166678</c:v>
                </c:pt>
                <c:pt idx="6">
                  <c:v>5.9361044596666694</c:v>
                </c:pt>
                <c:pt idx="7">
                  <c:v>5.6279606935537201</c:v>
                </c:pt>
                <c:pt idx="8">
                  <c:v>5.674433267213117</c:v>
                </c:pt>
                <c:pt idx="9">
                  <c:v>5.8603975477049168</c:v>
                </c:pt>
                <c:pt idx="10">
                  <c:v>5.5665862289430903</c:v>
                </c:pt>
                <c:pt idx="11">
                  <c:v>5.4424165250406507</c:v>
                </c:pt>
                <c:pt idx="12">
                  <c:v>5.7195733550806453</c:v>
                </c:pt>
                <c:pt idx="13">
                  <c:v>5.8668007779032232</c:v>
                </c:pt>
                <c:pt idx="14">
                  <c:v>5.8223908097580654</c:v>
                </c:pt>
                <c:pt idx="15">
                  <c:v>6.4622945348387102</c:v>
                </c:pt>
                <c:pt idx="16">
                  <c:v>6.4094206281451642</c:v>
                </c:pt>
                <c:pt idx="17">
                  <c:v>5.6374432766400018</c:v>
                </c:pt>
                <c:pt idx="18">
                  <c:v>5.6170030303968215</c:v>
                </c:pt>
                <c:pt idx="19">
                  <c:v>5.1123764798449605</c:v>
                </c:pt>
                <c:pt idx="20">
                  <c:v>5.7878559328461527</c:v>
                </c:pt>
                <c:pt idx="21">
                  <c:v>4.7546337878461564</c:v>
                </c:pt>
                <c:pt idx="22">
                  <c:v>5.138924849603173</c:v>
                </c:pt>
                <c:pt idx="23">
                  <c:v>4.7675631024799987</c:v>
                </c:pt>
                <c:pt idx="24">
                  <c:v>5.3816692153225834</c:v>
                </c:pt>
                <c:pt idx="25">
                  <c:v>5.8811521006400023</c:v>
                </c:pt>
                <c:pt idx="26">
                  <c:v>5.9047607628799996</c:v>
                </c:pt>
                <c:pt idx="27">
                  <c:v>6.5081364525806471</c:v>
                </c:pt>
                <c:pt idx="28">
                  <c:v>7.4712102185599978</c:v>
                </c:pt>
                <c:pt idx="29">
                  <c:v>7.2237347514400003</c:v>
                </c:pt>
                <c:pt idx="30">
                  <c:v>7.1232839335483895</c:v>
                </c:pt>
                <c:pt idx="31">
                  <c:v>6.7393462956910577</c:v>
                </c:pt>
                <c:pt idx="32">
                  <c:v>5.8224445709917392</c:v>
                </c:pt>
                <c:pt idx="33">
                  <c:v>5.9537466040495906</c:v>
                </c:pt>
                <c:pt idx="34">
                  <c:v>6.3968460214049641</c:v>
                </c:pt>
                <c:pt idx="35">
                  <c:v>6.9823419129166702</c:v>
                </c:pt>
                <c:pt idx="36">
                  <c:v>6.8393615719491523</c:v>
                </c:pt>
                <c:pt idx="37">
                  <c:v>6.1339304655932221</c:v>
                </c:pt>
                <c:pt idx="38">
                  <c:v>5.8912242957264942</c:v>
                </c:pt>
                <c:pt idx="39">
                  <c:v>5.8321228674576275</c:v>
                </c:pt>
                <c:pt idx="40">
                  <c:v>5.7935071227586201</c:v>
                </c:pt>
              </c:numCache>
            </c:numRef>
          </c:yVal>
          <c:smooth val="0"/>
          <c:extLst>
            <c:ext xmlns:c16="http://schemas.microsoft.com/office/drawing/2014/chart" uri="{C3380CC4-5D6E-409C-BE32-E72D297353CC}">
              <c16:uniqueId val="{00000000-2528-4DAA-96D3-81FED8B737DB}"/>
            </c:ext>
          </c:extLst>
        </c:ser>
        <c:ser>
          <c:idx val="1"/>
          <c:order val="1"/>
          <c:tx>
            <c:strRef>
              <c:f>posCAR02!$J$2</c:f>
              <c:strCache>
                <c:ptCount val="1"/>
                <c:pt idx="0">
                  <c:v>High tranparency</c:v>
                </c:pt>
              </c:strCache>
            </c:strRef>
          </c:tx>
          <c:spPr>
            <a:ln w="25400" cap="rnd">
              <a:solidFill>
                <a:schemeClr val="accent2"/>
              </a:solidFill>
              <a:prstDash val="dash"/>
              <a:round/>
            </a:ln>
            <a:effectLst/>
          </c:spPr>
          <c:marker>
            <c:symbol val="none"/>
          </c:marker>
          <c:xVal>
            <c:numRef>
              <c:f>posCAR02!$H$3:$H$43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posCAR02!$M$3:$M$43</c:f>
              <c:numCache>
                <c:formatCode>General</c:formatCode>
                <c:ptCount val="41"/>
                <c:pt idx="0">
                  <c:v>4.4975638047916657</c:v>
                </c:pt>
                <c:pt idx="1">
                  <c:v>4.7147167904166665</c:v>
                </c:pt>
                <c:pt idx="2">
                  <c:v>5.6240228854166681</c:v>
                </c:pt>
                <c:pt idx="3">
                  <c:v>4.3894955441666657</c:v>
                </c:pt>
                <c:pt idx="4">
                  <c:v>4.8333766054166674</c:v>
                </c:pt>
                <c:pt idx="5">
                  <c:v>5.4196883895833343</c:v>
                </c:pt>
                <c:pt idx="6">
                  <c:v>5.4812114628571402</c:v>
                </c:pt>
                <c:pt idx="7">
                  <c:v>4.8436495891836726</c:v>
                </c:pt>
                <c:pt idx="8">
                  <c:v>5.3793954686000003</c:v>
                </c:pt>
                <c:pt idx="9">
                  <c:v>5.4382529874000003</c:v>
                </c:pt>
                <c:pt idx="10">
                  <c:v>5.4017297508000013</c:v>
                </c:pt>
                <c:pt idx="11">
                  <c:v>4.9695712366000002</c:v>
                </c:pt>
                <c:pt idx="12">
                  <c:v>4.7613614645098048</c:v>
                </c:pt>
                <c:pt idx="13">
                  <c:v>4.8762223143137255</c:v>
                </c:pt>
                <c:pt idx="14">
                  <c:v>4.1424537417647054</c:v>
                </c:pt>
                <c:pt idx="15">
                  <c:v>5.8624585988235305</c:v>
                </c:pt>
                <c:pt idx="16">
                  <c:v>5.6029646364705883</c:v>
                </c:pt>
                <c:pt idx="17">
                  <c:v>3.9953693154901959</c:v>
                </c:pt>
                <c:pt idx="18">
                  <c:v>4.306004330961537</c:v>
                </c:pt>
                <c:pt idx="19">
                  <c:v>4.374384539272727</c:v>
                </c:pt>
                <c:pt idx="20">
                  <c:v>5.2610771136363637</c:v>
                </c:pt>
                <c:pt idx="21">
                  <c:v>3.5945772771428572</c:v>
                </c:pt>
                <c:pt idx="22">
                  <c:v>3.8216507415384613</c:v>
                </c:pt>
                <c:pt idx="23">
                  <c:v>3.5049778967307703</c:v>
                </c:pt>
                <c:pt idx="24">
                  <c:v>3.9787888976923083</c:v>
                </c:pt>
                <c:pt idx="25">
                  <c:v>4.4627485623076932</c:v>
                </c:pt>
                <c:pt idx="26">
                  <c:v>4.0516638378846155</c:v>
                </c:pt>
                <c:pt idx="27">
                  <c:v>6.8262828209615396</c:v>
                </c:pt>
                <c:pt idx="28">
                  <c:v>7.7561476738461561</c:v>
                </c:pt>
                <c:pt idx="29">
                  <c:v>5.5776867534615384</c:v>
                </c:pt>
                <c:pt idx="30">
                  <c:v>5.7536976213461539</c:v>
                </c:pt>
                <c:pt idx="31">
                  <c:v>5.9397591221568629</c:v>
                </c:pt>
                <c:pt idx="32">
                  <c:v>3.6672843314000003</c:v>
                </c:pt>
                <c:pt idx="33">
                  <c:v>4.8840827011764718</c:v>
                </c:pt>
                <c:pt idx="34">
                  <c:v>5.0801881477999977</c:v>
                </c:pt>
                <c:pt idx="35">
                  <c:v>5.430724558399997</c:v>
                </c:pt>
                <c:pt idx="36">
                  <c:v>5.6208715243749978</c:v>
                </c:pt>
                <c:pt idx="37">
                  <c:v>5.5228951251020399</c:v>
                </c:pt>
                <c:pt idx="38">
                  <c:v>4.7530739724489788</c:v>
                </c:pt>
                <c:pt idx="39">
                  <c:v>4.7715084083673487</c:v>
                </c:pt>
                <c:pt idx="40">
                  <c:v>5.1450559102083329</c:v>
                </c:pt>
              </c:numCache>
            </c:numRef>
          </c:yVal>
          <c:smooth val="0"/>
          <c:extLst>
            <c:ext xmlns:c16="http://schemas.microsoft.com/office/drawing/2014/chart" uri="{C3380CC4-5D6E-409C-BE32-E72D297353CC}">
              <c16:uniqueId val="{00000001-2528-4DAA-96D3-81FED8B737DB}"/>
            </c:ext>
          </c:extLst>
        </c:ser>
        <c:ser>
          <c:idx val="2"/>
          <c:order val="2"/>
          <c:tx>
            <c:strRef>
              <c:f>posCAR02!$K$2</c:f>
              <c:strCache>
                <c:ptCount val="1"/>
                <c:pt idx="0">
                  <c:v>Low transparency</c:v>
                </c:pt>
              </c:strCache>
            </c:strRef>
          </c:tx>
          <c:spPr>
            <a:ln w="25400" cap="rnd">
              <a:solidFill>
                <a:schemeClr val="tx1"/>
              </a:solidFill>
              <a:prstDash val="sysDot"/>
              <a:round/>
            </a:ln>
            <a:effectLst/>
          </c:spPr>
          <c:marker>
            <c:symbol val="none"/>
          </c:marker>
          <c:xVal>
            <c:numRef>
              <c:f>posCAR02!$H$3:$H$43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posCAR02!$N$3:$N$43</c:f>
              <c:numCache>
                <c:formatCode>General</c:formatCode>
                <c:ptCount val="41"/>
                <c:pt idx="0">
                  <c:v>4.6260613790909098</c:v>
                </c:pt>
                <c:pt idx="1">
                  <c:v>5.5390901918840578</c:v>
                </c:pt>
                <c:pt idx="2">
                  <c:v>6.1367609122857134</c:v>
                </c:pt>
                <c:pt idx="3">
                  <c:v>6.2004367750704219</c:v>
                </c:pt>
                <c:pt idx="4">
                  <c:v>5.0606624451388891</c:v>
                </c:pt>
                <c:pt idx="5">
                  <c:v>7.0678778851388913</c:v>
                </c:pt>
                <c:pt idx="6">
                  <c:v>6.2500446969014121</c:v>
                </c:pt>
                <c:pt idx="7">
                  <c:v>6.1617279729166672</c:v>
                </c:pt>
                <c:pt idx="8">
                  <c:v>5.8793206273611096</c:v>
                </c:pt>
                <c:pt idx="9">
                  <c:v>6.1535534923611106</c:v>
                </c:pt>
                <c:pt idx="10">
                  <c:v>5.6795016249315067</c:v>
                </c:pt>
                <c:pt idx="11">
                  <c:v>5.7662831609589027</c:v>
                </c:pt>
                <c:pt idx="12">
                  <c:v>6.3890090594520554</c:v>
                </c:pt>
                <c:pt idx="13">
                  <c:v>6.5588487456164382</c:v>
                </c:pt>
                <c:pt idx="14">
                  <c:v>6.9960454736986328</c:v>
                </c:pt>
                <c:pt idx="15">
                  <c:v>6.881357996986301</c:v>
                </c:pt>
                <c:pt idx="16">
                  <c:v>6.9728350880821921</c:v>
                </c:pt>
                <c:pt idx="17">
                  <c:v>6.7691428985135156</c:v>
                </c:pt>
                <c:pt idx="18">
                  <c:v>6.5382453597297285</c:v>
                </c:pt>
                <c:pt idx="19">
                  <c:v>5.6608840032432441</c:v>
                </c:pt>
                <c:pt idx="20">
                  <c:v>6.1741604002666648</c:v>
                </c:pt>
                <c:pt idx="21">
                  <c:v>5.6325143905405399</c:v>
                </c:pt>
                <c:pt idx="22">
                  <c:v>6.0645769255405408</c:v>
                </c:pt>
                <c:pt idx="23">
                  <c:v>5.6669388654794535</c:v>
                </c:pt>
                <c:pt idx="24">
                  <c:v>6.3948605558333327</c:v>
                </c:pt>
                <c:pt idx="25">
                  <c:v>6.891521744383561</c:v>
                </c:pt>
                <c:pt idx="26">
                  <c:v>7.2247750108219195</c:v>
                </c:pt>
                <c:pt idx="27">
                  <c:v>6.2783640754166674</c:v>
                </c:pt>
                <c:pt idx="28">
                  <c:v>7.2682410723287667</c:v>
                </c:pt>
                <c:pt idx="29">
                  <c:v>8.3962620924657543</c:v>
                </c:pt>
                <c:pt idx="30">
                  <c:v>8.1124296034722256</c:v>
                </c:pt>
                <c:pt idx="31">
                  <c:v>7.3057205436111108</c:v>
                </c:pt>
                <c:pt idx="32">
                  <c:v>7.3401630495774626</c:v>
                </c:pt>
                <c:pt idx="33">
                  <c:v>6.7330731618571438</c:v>
                </c:pt>
                <c:pt idx="34">
                  <c:v>7.3240698760563383</c:v>
                </c:pt>
                <c:pt idx="35">
                  <c:v>8.090640023285717</c:v>
                </c:pt>
                <c:pt idx="36">
                  <c:v>7.674897604571429</c:v>
                </c:pt>
                <c:pt idx="37">
                  <c:v>6.5678541131884041</c:v>
                </c:pt>
                <c:pt idx="38">
                  <c:v>6.7113620286764721</c:v>
                </c:pt>
                <c:pt idx="39">
                  <c:v>6.5853128456521732</c:v>
                </c:pt>
                <c:pt idx="40">
                  <c:v>6.251237390441176</c:v>
                </c:pt>
              </c:numCache>
            </c:numRef>
          </c:yVal>
          <c:smooth val="0"/>
          <c:extLst>
            <c:ext xmlns:c16="http://schemas.microsoft.com/office/drawing/2014/chart" uri="{C3380CC4-5D6E-409C-BE32-E72D297353CC}">
              <c16:uniqueId val="{00000002-2528-4DAA-96D3-81FED8B737DB}"/>
            </c:ext>
          </c:extLst>
        </c:ser>
        <c:dLbls>
          <c:showLegendKey val="0"/>
          <c:showVal val="0"/>
          <c:showCatName val="0"/>
          <c:showSerName val="0"/>
          <c:showPercent val="0"/>
          <c:showBubbleSize val="0"/>
        </c:dLbls>
        <c:axId val="312982128"/>
        <c:axId val="312977536"/>
      </c:scatterChart>
      <c:valAx>
        <c:axId val="312982128"/>
        <c:scaling>
          <c:orientation val="minMax"/>
          <c:max val="20"/>
          <c:min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Event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77536"/>
        <c:crossesAt val="0"/>
        <c:crossBetween val="midCat"/>
      </c:valAx>
      <c:valAx>
        <c:axId val="312977536"/>
        <c:scaling>
          <c:orientation val="minMax"/>
          <c:max val="12"/>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Average Bid-Ask Spread (%)</a:t>
                </a:r>
              </a:p>
            </c:rich>
          </c:tx>
          <c:layout>
            <c:manualLayout>
              <c:xMode val="edge"/>
              <c:yMode val="edge"/>
              <c:x val="4.978695625771714E-2"/>
              <c:y val="0.2865430586138648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82128"/>
        <c:crosses val="autoZero"/>
        <c:crossBetween val="midCat"/>
      </c:valAx>
      <c:spPr>
        <a:noFill/>
        <a:ln>
          <a:noFill/>
        </a:ln>
        <a:effectLst/>
      </c:spPr>
    </c:plotArea>
    <c:legend>
      <c:legendPos val="r"/>
      <c:layout>
        <c:manualLayout>
          <c:xMode val="edge"/>
          <c:yMode val="edge"/>
          <c:x val="0.16379588958835156"/>
          <c:y val="0.90202805171660416"/>
          <c:w val="0.62840633834652426"/>
          <c:h val="9.399609869223365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497837513241413E-2"/>
          <c:y val="0.2179538854358947"/>
          <c:w val="0.78333670694762125"/>
          <c:h val="0.62272407058970392"/>
        </c:manualLayout>
      </c:layout>
      <c:scatterChart>
        <c:scatterStyle val="lineMarker"/>
        <c:varyColors val="0"/>
        <c:ser>
          <c:idx val="0"/>
          <c:order val="0"/>
          <c:tx>
            <c:strRef>
              <c:f>negCar02!$I$2</c:f>
              <c:strCache>
                <c:ptCount val="1"/>
                <c:pt idx="0">
                  <c:v>All negative CAR</c:v>
                </c:pt>
              </c:strCache>
            </c:strRef>
          </c:tx>
          <c:spPr>
            <a:ln w="25400" cap="rnd">
              <a:solidFill>
                <a:schemeClr val="accent1"/>
              </a:solidFill>
              <a:round/>
            </a:ln>
            <a:effectLst/>
          </c:spPr>
          <c:marker>
            <c:symbol val="none"/>
          </c:marker>
          <c:xVal>
            <c:numRef>
              <c:f>negCar02!$H$3:$H$43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negCar02!$L$3:$L$43</c:f>
              <c:numCache>
                <c:formatCode>General</c:formatCode>
                <c:ptCount val="41"/>
                <c:pt idx="0">
                  <c:v>8.8695829597849478</c:v>
                </c:pt>
                <c:pt idx="1">
                  <c:v>8.7183503691489346</c:v>
                </c:pt>
                <c:pt idx="2">
                  <c:v>7.3396734203191452</c:v>
                </c:pt>
                <c:pt idx="3">
                  <c:v>7.4012099214893627</c:v>
                </c:pt>
                <c:pt idx="4">
                  <c:v>7.6626813198958326</c:v>
                </c:pt>
                <c:pt idx="5">
                  <c:v>6.0033261889473692</c:v>
                </c:pt>
                <c:pt idx="6">
                  <c:v>5.8924931811340207</c:v>
                </c:pt>
                <c:pt idx="7">
                  <c:v>6.8050507863636351</c:v>
                </c:pt>
                <c:pt idx="8">
                  <c:v>7.3909412877777774</c:v>
                </c:pt>
                <c:pt idx="9">
                  <c:v>6.7446731350505047</c:v>
                </c:pt>
                <c:pt idx="10">
                  <c:v>6.3905047910891088</c:v>
                </c:pt>
                <c:pt idx="11">
                  <c:v>6.3486885240196091</c:v>
                </c:pt>
                <c:pt idx="12">
                  <c:v>6.6671774393137246</c:v>
                </c:pt>
                <c:pt idx="13">
                  <c:v>6.6829657090098999</c:v>
                </c:pt>
                <c:pt idx="14">
                  <c:v>7.2424778286274512</c:v>
                </c:pt>
                <c:pt idx="15">
                  <c:v>6.763660748235294</c:v>
                </c:pt>
                <c:pt idx="16">
                  <c:v>7.1918651533333318</c:v>
                </c:pt>
                <c:pt idx="17">
                  <c:v>6.9019129474999978</c:v>
                </c:pt>
                <c:pt idx="18">
                  <c:v>6.0327128167924533</c:v>
                </c:pt>
                <c:pt idx="19">
                  <c:v>5.9346860479047612</c:v>
                </c:pt>
                <c:pt idx="20">
                  <c:v>5.404494981886792</c:v>
                </c:pt>
                <c:pt idx="21">
                  <c:v>5.4414938698076902</c:v>
                </c:pt>
                <c:pt idx="22">
                  <c:v>5.3137819234313719</c:v>
                </c:pt>
                <c:pt idx="23">
                  <c:v>5.1893873193137274</c:v>
                </c:pt>
                <c:pt idx="24">
                  <c:v>5.1340619987999991</c:v>
                </c:pt>
                <c:pt idx="25">
                  <c:v>5.2652417351000009</c:v>
                </c:pt>
                <c:pt idx="26">
                  <c:v>5.609201394343434</c:v>
                </c:pt>
                <c:pt idx="27">
                  <c:v>5.2717698316326533</c:v>
                </c:pt>
                <c:pt idx="28">
                  <c:v>5.1827501519191923</c:v>
                </c:pt>
                <c:pt idx="29">
                  <c:v>4.9518270549484535</c:v>
                </c:pt>
                <c:pt idx="30">
                  <c:v>5.2172585354639169</c:v>
                </c:pt>
                <c:pt idx="31">
                  <c:v>6.0781484000000008</c:v>
                </c:pt>
                <c:pt idx="32">
                  <c:v>4.9846840295833337</c:v>
                </c:pt>
                <c:pt idx="33">
                  <c:v>5.2767397371875004</c:v>
                </c:pt>
                <c:pt idx="34">
                  <c:v>5.7947254800000012</c:v>
                </c:pt>
                <c:pt idx="35">
                  <c:v>5.0824893357446825</c:v>
                </c:pt>
                <c:pt idx="36">
                  <c:v>5.155828432315789</c:v>
                </c:pt>
                <c:pt idx="37">
                  <c:v>5.2567928472340411</c:v>
                </c:pt>
                <c:pt idx="38">
                  <c:v>5.2772868094680838</c:v>
                </c:pt>
                <c:pt idx="39">
                  <c:v>5.0367579140425525</c:v>
                </c:pt>
                <c:pt idx="40">
                  <c:v>4.9251002246739146</c:v>
                </c:pt>
              </c:numCache>
            </c:numRef>
          </c:yVal>
          <c:smooth val="0"/>
          <c:extLst>
            <c:ext xmlns:c16="http://schemas.microsoft.com/office/drawing/2014/chart" uri="{C3380CC4-5D6E-409C-BE32-E72D297353CC}">
              <c16:uniqueId val="{00000000-4B31-452F-A395-E3911FE18391}"/>
            </c:ext>
          </c:extLst>
        </c:ser>
        <c:ser>
          <c:idx val="1"/>
          <c:order val="1"/>
          <c:tx>
            <c:strRef>
              <c:f>negCar02!$J$2</c:f>
              <c:strCache>
                <c:ptCount val="1"/>
                <c:pt idx="0">
                  <c:v>High transparency</c:v>
                </c:pt>
              </c:strCache>
            </c:strRef>
          </c:tx>
          <c:spPr>
            <a:ln w="25400" cap="rnd">
              <a:solidFill>
                <a:schemeClr val="accent2"/>
              </a:solidFill>
              <a:prstDash val="dash"/>
              <a:round/>
            </a:ln>
            <a:effectLst/>
          </c:spPr>
          <c:marker>
            <c:symbol val="none"/>
          </c:marker>
          <c:xVal>
            <c:numRef>
              <c:f>negCar02!$H$3:$H$43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negCar02!$M$3:$M$43</c:f>
              <c:numCache>
                <c:formatCode>General</c:formatCode>
                <c:ptCount val="41"/>
                <c:pt idx="0">
                  <c:v>6.1592341505405415</c:v>
                </c:pt>
                <c:pt idx="1">
                  <c:v>5.5285642739473673</c:v>
                </c:pt>
                <c:pt idx="2">
                  <c:v>4.7186226263157911</c:v>
                </c:pt>
                <c:pt idx="3">
                  <c:v>2.4212406786842102</c:v>
                </c:pt>
                <c:pt idx="4">
                  <c:v>3.4285074907894728</c:v>
                </c:pt>
                <c:pt idx="5">
                  <c:v>2.9086681981081086</c:v>
                </c:pt>
                <c:pt idx="6">
                  <c:v>2.8233442426315785</c:v>
                </c:pt>
                <c:pt idx="7">
                  <c:v>3.5840848476315799</c:v>
                </c:pt>
                <c:pt idx="8">
                  <c:v>4.6030907552631577</c:v>
                </c:pt>
                <c:pt idx="9">
                  <c:v>3.58224167263158</c:v>
                </c:pt>
                <c:pt idx="10">
                  <c:v>3.7536497978947376</c:v>
                </c:pt>
                <c:pt idx="11">
                  <c:v>3.5280210955263165</c:v>
                </c:pt>
                <c:pt idx="12">
                  <c:v>5.026371653157895</c:v>
                </c:pt>
                <c:pt idx="13">
                  <c:v>4.3247230815789486</c:v>
                </c:pt>
                <c:pt idx="14">
                  <c:v>3.365837862368422</c:v>
                </c:pt>
                <c:pt idx="15">
                  <c:v>3.4932576423684214</c:v>
                </c:pt>
                <c:pt idx="16">
                  <c:v>3.4183179778947368</c:v>
                </c:pt>
                <c:pt idx="17">
                  <c:v>3.2493611923076919</c:v>
                </c:pt>
                <c:pt idx="18">
                  <c:v>3.3519156663414638</c:v>
                </c:pt>
                <c:pt idx="19">
                  <c:v>3.456204205121951</c:v>
                </c:pt>
                <c:pt idx="20">
                  <c:v>2.4335718590243895</c:v>
                </c:pt>
                <c:pt idx="21">
                  <c:v>3.6713787927500006</c:v>
                </c:pt>
                <c:pt idx="22">
                  <c:v>2.7981045900000003</c:v>
                </c:pt>
                <c:pt idx="23">
                  <c:v>2.9851422115789483</c:v>
                </c:pt>
                <c:pt idx="24">
                  <c:v>2.987841759210526</c:v>
                </c:pt>
                <c:pt idx="25">
                  <c:v>3.5699915305263161</c:v>
                </c:pt>
                <c:pt idx="26">
                  <c:v>4.280404427105263</c:v>
                </c:pt>
                <c:pt idx="27">
                  <c:v>3.8768711476315798</c:v>
                </c:pt>
                <c:pt idx="28">
                  <c:v>4.6091646423684214</c:v>
                </c:pt>
                <c:pt idx="29">
                  <c:v>4.1056019763888889</c:v>
                </c:pt>
                <c:pt idx="30">
                  <c:v>3.5144847311111103</c:v>
                </c:pt>
                <c:pt idx="31">
                  <c:v>3.5143155669444455</c:v>
                </c:pt>
                <c:pt idx="32">
                  <c:v>3.6388764870270269</c:v>
                </c:pt>
                <c:pt idx="33">
                  <c:v>3.8354691575000004</c:v>
                </c:pt>
                <c:pt idx="34">
                  <c:v>4.5072067438888892</c:v>
                </c:pt>
                <c:pt idx="35">
                  <c:v>4.2998696097222222</c:v>
                </c:pt>
                <c:pt idx="36">
                  <c:v>4.3347308613513507</c:v>
                </c:pt>
                <c:pt idx="37">
                  <c:v>4.2555685966666674</c:v>
                </c:pt>
                <c:pt idx="38">
                  <c:v>3.5323303175000009</c:v>
                </c:pt>
                <c:pt idx="39">
                  <c:v>3.0537172341666659</c:v>
                </c:pt>
                <c:pt idx="40">
                  <c:v>2.7705398525000002</c:v>
                </c:pt>
              </c:numCache>
            </c:numRef>
          </c:yVal>
          <c:smooth val="0"/>
          <c:extLst>
            <c:ext xmlns:c16="http://schemas.microsoft.com/office/drawing/2014/chart" uri="{C3380CC4-5D6E-409C-BE32-E72D297353CC}">
              <c16:uniqueId val="{00000001-4B31-452F-A395-E3911FE18391}"/>
            </c:ext>
          </c:extLst>
        </c:ser>
        <c:ser>
          <c:idx val="2"/>
          <c:order val="2"/>
          <c:tx>
            <c:strRef>
              <c:f>negCar02!$K$2</c:f>
              <c:strCache>
                <c:ptCount val="1"/>
                <c:pt idx="0">
                  <c:v>Low transparency</c:v>
                </c:pt>
              </c:strCache>
            </c:strRef>
          </c:tx>
          <c:spPr>
            <a:ln w="25400" cap="rnd">
              <a:solidFill>
                <a:schemeClr val="tx1"/>
              </a:solidFill>
              <a:prstDash val="sysDot"/>
              <a:round/>
            </a:ln>
            <a:effectLst/>
          </c:spPr>
          <c:marker>
            <c:symbol val="none"/>
          </c:marker>
          <c:xVal>
            <c:numRef>
              <c:f>negCar02!$H$3:$H$43</c:f>
              <c:numCache>
                <c:formatCode>General</c:formatCode>
                <c:ptCount val="41"/>
                <c:pt idx="0">
                  <c:v>-20</c:v>
                </c:pt>
                <c:pt idx="1">
                  <c:v>-19</c:v>
                </c:pt>
                <c:pt idx="2">
                  <c:v>-18</c:v>
                </c:pt>
                <c:pt idx="3">
                  <c:v>-17</c:v>
                </c:pt>
                <c:pt idx="4">
                  <c:v>-16</c:v>
                </c:pt>
                <c:pt idx="5">
                  <c:v>-15</c:v>
                </c:pt>
                <c:pt idx="6">
                  <c:v>-14</c:v>
                </c:pt>
                <c:pt idx="7">
                  <c:v>-13</c:v>
                </c:pt>
                <c:pt idx="8">
                  <c:v>-12</c:v>
                </c:pt>
                <c:pt idx="9">
                  <c:v>-11</c:v>
                </c:pt>
                <c:pt idx="10">
                  <c:v>-10</c:v>
                </c:pt>
                <c:pt idx="11">
                  <c:v>-9</c:v>
                </c:pt>
                <c:pt idx="12">
                  <c:v>-8</c:v>
                </c:pt>
                <c:pt idx="13">
                  <c:v>-7</c:v>
                </c:pt>
                <c:pt idx="14">
                  <c:v>-6</c:v>
                </c:pt>
                <c:pt idx="15">
                  <c:v>-5</c:v>
                </c:pt>
                <c:pt idx="16">
                  <c:v>-4</c:v>
                </c:pt>
                <c:pt idx="17">
                  <c:v>-3</c:v>
                </c:pt>
                <c:pt idx="18">
                  <c:v>-2</c:v>
                </c:pt>
                <c:pt idx="19">
                  <c:v>-1</c:v>
                </c:pt>
                <c:pt idx="20">
                  <c:v>0</c:v>
                </c:pt>
                <c:pt idx="21">
                  <c:v>1</c:v>
                </c:pt>
                <c:pt idx="22">
                  <c:v>2</c:v>
                </c:pt>
                <c:pt idx="23">
                  <c:v>3</c:v>
                </c:pt>
                <c:pt idx="24">
                  <c:v>4</c:v>
                </c:pt>
                <c:pt idx="25">
                  <c:v>5</c:v>
                </c:pt>
                <c:pt idx="26">
                  <c:v>6</c:v>
                </c:pt>
                <c:pt idx="27">
                  <c:v>7</c:v>
                </c:pt>
                <c:pt idx="28">
                  <c:v>8</c:v>
                </c:pt>
                <c:pt idx="29">
                  <c:v>9</c:v>
                </c:pt>
                <c:pt idx="30">
                  <c:v>10</c:v>
                </c:pt>
                <c:pt idx="31">
                  <c:v>11</c:v>
                </c:pt>
                <c:pt idx="32">
                  <c:v>12</c:v>
                </c:pt>
                <c:pt idx="33">
                  <c:v>13</c:v>
                </c:pt>
                <c:pt idx="34">
                  <c:v>14</c:v>
                </c:pt>
                <c:pt idx="35">
                  <c:v>15</c:v>
                </c:pt>
                <c:pt idx="36">
                  <c:v>16</c:v>
                </c:pt>
                <c:pt idx="37">
                  <c:v>17</c:v>
                </c:pt>
                <c:pt idx="38">
                  <c:v>18</c:v>
                </c:pt>
                <c:pt idx="39">
                  <c:v>19</c:v>
                </c:pt>
                <c:pt idx="40">
                  <c:v>20</c:v>
                </c:pt>
              </c:numCache>
            </c:numRef>
          </c:xVal>
          <c:yVal>
            <c:numRef>
              <c:f>negCar02!$N$3:$N$43</c:f>
              <c:numCache>
                <c:formatCode>General</c:formatCode>
                <c:ptCount val="41"/>
                <c:pt idx="0">
                  <c:v>10.660349137321427</c:v>
                </c:pt>
                <c:pt idx="1">
                  <c:v>10.882848076607141</c:v>
                </c:pt>
                <c:pt idx="2">
                  <c:v>9.1182436019642807</c:v>
                </c:pt>
                <c:pt idx="3">
                  <c:v>10.780474764821433</c:v>
                </c:pt>
                <c:pt idx="4">
                  <c:v>10.436795207931034</c:v>
                </c:pt>
                <c:pt idx="5">
                  <c:v>7.9775045624137952</c:v>
                </c:pt>
                <c:pt idx="6">
                  <c:v>7.8692331754237301</c:v>
                </c:pt>
                <c:pt idx="7">
                  <c:v>8.8115541580327879</c:v>
                </c:pt>
                <c:pt idx="8">
                  <c:v>9.1276350621311462</c:v>
                </c:pt>
                <c:pt idx="9">
                  <c:v>8.7147124067213113</c:v>
                </c:pt>
                <c:pt idx="10">
                  <c:v>7.9809887552380987</c:v>
                </c:pt>
                <c:pt idx="11">
                  <c:v>8.0234598096875018</c:v>
                </c:pt>
                <c:pt idx="12">
                  <c:v>7.6414058748437501</c:v>
                </c:pt>
                <c:pt idx="13">
                  <c:v>8.1053977699999979</c:v>
                </c:pt>
                <c:pt idx="14">
                  <c:v>9.5442328085937493</c:v>
                </c:pt>
                <c:pt idx="15">
                  <c:v>8.7054625923437499</c:v>
                </c:pt>
                <c:pt idx="16">
                  <c:v>9.4324087887499974</c:v>
                </c:pt>
                <c:pt idx="17">
                  <c:v>9.0934440006153814</c:v>
                </c:pt>
                <c:pt idx="18">
                  <c:v>7.7236771732307696</c:v>
                </c:pt>
                <c:pt idx="19">
                  <c:v>7.5224634784374977</c:v>
                </c:pt>
                <c:pt idx="20">
                  <c:v>7.2784618747692296</c:v>
                </c:pt>
                <c:pt idx="21">
                  <c:v>6.5478157929687475</c:v>
                </c:pt>
                <c:pt idx="22">
                  <c:v>6.8711059869841247</c:v>
                </c:pt>
                <c:pt idx="23">
                  <c:v>6.49815785203125</c:v>
                </c:pt>
                <c:pt idx="24">
                  <c:v>6.4494873069354846</c:v>
                </c:pt>
                <c:pt idx="25">
                  <c:v>6.3042660540322597</c:v>
                </c:pt>
                <c:pt idx="26">
                  <c:v>6.4369765542622952</c:v>
                </c:pt>
                <c:pt idx="27">
                  <c:v>6.1552056648333346</c:v>
                </c:pt>
                <c:pt idx="28">
                  <c:v>5.5400657152459027</c:v>
                </c:pt>
                <c:pt idx="29">
                  <c:v>5.4512385767213107</c:v>
                </c:pt>
                <c:pt idx="30">
                  <c:v>6.2221742232786896</c:v>
                </c:pt>
                <c:pt idx="31">
                  <c:v>7.6164480998333328</c:v>
                </c:pt>
                <c:pt idx="32">
                  <c:v>5.8286650308474579</c:v>
                </c:pt>
                <c:pt idx="33">
                  <c:v>6.1415020849999991</c:v>
                </c:pt>
                <c:pt idx="34">
                  <c:v>6.5803301325423709</c:v>
                </c:pt>
                <c:pt idx="35">
                  <c:v>5.5682533036206907</c:v>
                </c:pt>
                <c:pt idx="36">
                  <c:v>5.6796320551724113</c:v>
                </c:pt>
                <c:pt idx="37">
                  <c:v>5.8782423820689642</c:v>
                </c:pt>
                <c:pt idx="38">
                  <c:v>6.3603632527586207</c:v>
                </c:pt>
                <c:pt idx="39">
                  <c:v>6.267610749827587</c:v>
                </c:pt>
                <c:pt idx="40">
                  <c:v>6.310174749642858</c:v>
                </c:pt>
              </c:numCache>
            </c:numRef>
          </c:yVal>
          <c:smooth val="0"/>
          <c:extLst>
            <c:ext xmlns:c16="http://schemas.microsoft.com/office/drawing/2014/chart" uri="{C3380CC4-5D6E-409C-BE32-E72D297353CC}">
              <c16:uniqueId val="{00000002-4B31-452F-A395-E3911FE18391}"/>
            </c:ext>
          </c:extLst>
        </c:ser>
        <c:dLbls>
          <c:showLegendKey val="0"/>
          <c:showVal val="0"/>
          <c:showCatName val="0"/>
          <c:showSerName val="0"/>
          <c:showPercent val="0"/>
          <c:showBubbleSize val="0"/>
        </c:dLbls>
        <c:axId val="312982128"/>
        <c:axId val="312977536"/>
      </c:scatterChart>
      <c:valAx>
        <c:axId val="312982128"/>
        <c:scaling>
          <c:orientation val="minMax"/>
          <c:max val="20"/>
          <c:min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Event Days</a:t>
                </a:r>
              </a:p>
            </c:rich>
          </c:tx>
          <c:layout>
            <c:manualLayout>
              <c:xMode val="edge"/>
              <c:yMode val="edge"/>
              <c:x val="0.44578264477865714"/>
              <c:y val="0.8885499758667272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77536"/>
        <c:crosses val="autoZero"/>
        <c:crossBetween val="midCat"/>
      </c:valAx>
      <c:valAx>
        <c:axId val="312977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a:t>Average Bid-Ask Spread (%)</a:t>
                </a:r>
              </a:p>
            </c:rich>
          </c:tx>
          <c:layout>
            <c:manualLayout>
              <c:xMode val="edge"/>
              <c:yMode val="edge"/>
              <c:x val="4.1217975966371813E-2"/>
              <c:y val="0.3155601061292800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982128"/>
        <c:crosses val="autoZero"/>
        <c:crossBetween val="midCat"/>
      </c:valAx>
      <c:spPr>
        <a:noFill/>
        <a:ln>
          <a:noFill/>
        </a:ln>
        <a:effectLst/>
      </c:spPr>
    </c:plotArea>
    <c:legend>
      <c:legendPos val="r"/>
      <c:layout>
        <c:manualLayout>
          <c:xMode val="edge"/>
          <c:yMode val="edge"/>
          <c:x val="0.11704297820295176"/>
          <c:y val="0.9455538468212179"/>
          <c:w val="0.74628623172602004"/>
          <c:h val="5.40976583585376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2C88E1-7A36-4418-859A-E83583528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27401</Words>
  <Characters>156186</Characters>
  <Application>Microsoft Office Word</Application>
  <DocSecurity>0</DocSecurity>
  <Lines>1301</Lines>
  <Paragraphs>366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Wirth, Carolyn</dc:creator>
  <cp:keywords/>
  <dc:description/>
  <cp:lastModifiedBy>Wirth, Carolyn</cp:lastModifiedBy>
  <cp:revision>2</cp:revision>
  <cp:lastPrinted>2018-10-11T03:31:00Z</cp:lastPrinted>
  <dcterms:created xsi:type="dcterms:W3CDTF">2018-11-21T21:53:00Z</dcterms:created>
  <dcterms:modified xsi:type="dcterms:W3CDTF">2018-11-21T21:53:00Z</dcterms:modified>
</cp:coreProperties>
</file>