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9368F" w14:textId="08930678" w:rsidR="00836F87" w:rsidRDefault="00E255E7" w:rsidP="00EA4946">
      <w:pPr>
        <w:rPr>
          <w:rFonts w:ascii="Times New Roman" w:hAnsi="Times New Roman" w:cs="Times New Roman"/>
          <w:b/>
          <w:bCs/>
          <w:sz w:val="28"/>
        </w:rPr>
      </w:pPr>
      <w:r w:rsidRPr="00A7556C">
        <w:rPr>
          <w:rFonts w:ascii="Times New Roman" w:hAnsi="Times New Roman" w:cs="Times New Roman"/>
          <w:b/>
          <w:bCs/>
          <w:sz w:val="28"/>
        </w:rPr>
        <w:t>Supplementary Material</w:t>
      </w:r>
    </w:p>
    <w:p w14:paraId="6923FCEB" w14:textId="77777777" w:rsidR="00EA4946" w:rsidRDefault="00EA4946" w:rsidP="00EA4946">
      <w:pPr>
        <w:rPr>
          <w:rFonts w:ascii="Times New Roman" w:hAnsi="Times New Roman" w:cs="Times New Roman"/>
          <w:b/>
          <w:bCs/>
          <w:sz w:val="28"/>
        </w:rPr>
      </w:pPr>
    </w:p>
    <w:p w14:paraId="5E4A82A2" w14:textId="22011FE2" w:rsidR="00EA4946" w:rsidRPr="00EA4946" w:rsidRDefault="00EA4946" w:rsidP="00EA49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946">
        <w:rPr>
          <w:rFonts w:ascii="Times New Roman" w:hAnsi="Times New Roman" w:cs="Times New Roman"/>
          <w:b/>
          <w:bCs/>
          <w:sz w:val="24"/>
          <w:szCs w:val="24"/>
        </w:rPr>
        <w:t xml:space="preserve">Towards a dynamic model of indispensable amino acid requirements of the adult human: A factorial estimate of oxidative amino acid losses </w:t>
      </w:r>
    </w:p>
    <w:p w14:paraId="27898852" w14:textId="77777777" w:rsidR="00B536C6" w:rsidRPr="00105A5B" w:rsidRDefault="00B536C6" w:rsidP="00B536C6">
      <w:pPr>
        <w:suppressLineNumbers/>
        <w:spacing w:line="240" w:lineRule="auto"/>
        <w:rPr>
          <w:rFonts w:ascii="Times New Roman" w:hAnsi="Times New Roman"/>
          <w:sz w:val="24"/>
          <w:szCs w:val="24"/>
        </w:rPr>
      </w:pPr>
      <w:r w:rsidRPr="00105A5B">
        <w:rPr>
          <w:rFonts w:ascii="Times New Roman" w:hAnsi="Times New Roman"/>
          <w:sz w:val="24"/>
          <w:szCs w:val="24"/>
        </w:rPr>
        <w:t>Carlene S Starck</w:t>
      </w:r>
      <w:r w:rsidRPr="00105A5B">
        <w:rPr>
          <w:rFonts w:ascii="Times New Roman" w:hAnsi="Times New Roman"/>
          <w:sz w:val="24"/>
          <w:szCs w:val="24"/>
          <w:vertAlign w:val="superscript"/>
        </w:rPr>
        <w:t>1</w:t>
      </w:r>
      <w:r w:rsidRPr="00105A5B">
        <w:rPr>
          <w:rFonts w:ascii="Times New Roman" w:hAnsi="Times New Roman"/>
          <w:sz w:val="24"/>
          <w:szCs w:val="24"/>
        </w:rPr>
        <w:t>, Robert R Wolfe</w:t>
      </w:r>
      <w:r w:rsidRPr="00105A5B">
        <w:rPr>
          <w:rFonts w:ascii="Times New Roman" w:hAnsi="Times New Roman"/>
          <w:sz w:val="24"/>
          <w:szCs w:val="24"/>
          <w:vertAlign w:val="superscript"/>
        </w:rPr>
        <w:t>2</w:t>
      </w:r>
      <w:r w:rsidRPr="00105A5B">
        <w:rPr>
          <w:rFonts w:ascii="Times New Roman" w:hAnsi="Times New Roman"/>
          <w:sz w:val="24"/>
          <w:szCs w:val="24"/>
        </w:rPr>
        <w:t>, &amp; Paul J Moughan</w:t>
      </w:r>
      <w:r w:rsidRPr="00105A5B"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45F571E2" w14:textId="77777777" w:rsidR="00EA4946" w:rsidRPr="00A7556C" w:rsidRDefault="00EA4946" w:rsidP="00EA4946">
      <w:pPr>
        <w:rPr>
          <w:rFonts w:ascii="Times New Roman" w:hAnsi="Times New Roman" w:cs="Times New Roman"/>
          <w:b/>
          <w:bCs/>
          <w:sz w:val="28"/>
        </w:rPr>
      </w:pPr>
    </w:p>
    <w:p w14:paraId="60EA9243" w14:textId="77777777" w:rsidR="00E255E7" w:rsidRPr="00A7556C" w:rsidRDefault="00E255E7">
      <w:pPr>
        <w:rPr>
          <w:rFonts w:ascii="Times New Roman" w:hAnsi="Times New Roman" w:cs="Times New Roman"/>
          <w:sz w:val="24"/>
          <w:szCs w:val="24"/>
        </w:rPr>
      </w:pPr>
    </w:p>
    <w:p w14:paraId="7248D439" w14:textId="77777777" w:rsidR="00EA4946" w:rsidRDefault="00EA4946">
      <w:pPr>
        <w:rPr>
          <w:rFonts w:ascii="Times New Roman" w:hAnsi="Times New Roman" w:cs="Times New Roman"/>
          <w:b/>
          <w:bCs/>
          <w:sz w:val="24"/>
          <w:szCs w:val="24"/>
        </w:rPr>
        <w:sectPr w:rsidR="00EA494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E39D73" w14:textId="31E4170B" w:rsidR="00E255E7" w:rsidRPr="00384C30" w:rsidRDefault="00E255E7">
      <w:pPr>
        <w:rPr>
          <w:rFonts w:ascii="Times New Roman" w:hAnsi="Times New Roman" w:cs="Times New Roman"/>
          <w:sz w:val="24"/>
          <w:szCs w:val="24"/>
        </w:rPr>
      </w:pPr>
      <w:r w:rsidRPr="00A7556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1.</w:t>
      </w:r>
      <w:r w:rsidR="00384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4C30">
        <w:rPr>
          <w:rFonts w:ascii="Times New Roman" w:hAnsi="Times New Roman" w:cs="Times New Roman"/>
          <w:sz w:val="24"/>
          <w:szCs w:val="24"/>
        </w:rPr>
        <w:t>Data</w:t>
      </w:r>
      <w:r w:rsidR="00FA5743" w:rsidRPr="00FA5743">
        <w:rPr>
          <w:rFonts w:ascii="Times New Roman" w:hAnsi="Times New Roman"/>
          <w:sz w:val="24"/>
          <w:szCs w:val="24"/>
          <w:vertAlign w:val="superscript"/>
        </w:rPr>
        <w:t>1</w:t>
      </w:r>
      <w:r w:rsidR="00384C30">
        <w:rPr>
          <w:rFonts w:ascii="Times New Roman" w:hAnsi="Times New Roman" w:cs="Times New Roman"/>
          <w:sz w:val="24"/>
          <w:szCs w:val="24"/>
        </w:rPr>
        <w:t xml:space="preserve"> used for the estimation of the model parameter: inevitable oxidation (IO).</w:t>
      </w: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1681"/>
        <w:gridCol w:w="1203"/>
        <w:gridCol w:w="2299"/>
        <w:gridCol w:w="2176"/>
        <w:gridCol w:w="1667"/>
      </w:tblGrid>
      <w:tr w:rsidR="00C13E15" w:rsidRPr="00E255E7" w14:paraId="548FFED4" w14:textId="27BEFAF4" w:rsidTr="00955BC6">
        <w:trPr>
          <w:trHeight w:val="650"/>
        </w:trPr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4B3DA" w14:textId="77777777" w:rsidR="00C13E15" w:rsidRPr="00E255E7" w:rsidRDefault="00C13E15" w:rsidP="00C13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Study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4AB81" w14:textId="77777777" w:rsidR="00C13E15" w:rsidRPr="00E255E7" w:rsidRDefault="00C13E15" w:rsidP="00C13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IDAA 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E2C11" w14:textId="77777777" w:rsidR="00C13E15" w:rsidRDefault="00C13E15" w:rsidP="00C1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IDAA intake </w:t>
            </w:r>
          </w:p>
          <w:p w14:paraId="003450B4" w14:textId="7744F2A9" w:rsidR="00C13E15" w:rsidRPr="00E255E7" w:rsidRDefault="00C13E15" w:rsidP="00C1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(% of requirement)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8BEE3" w14:textId="4E37AB8C" w:rsidR="00C13E15" w:rsidRPr="00E255E7" w:rsidRDefault="00C13E15" w:rsidP="00C1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IDAA utilisation efficiency</w:t>
            </w:r>
            <w:r w:rsidR="00FA57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NZ" w:bidi="ar-SA"/>
                <w14:ligatures w14:val="none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E221A" w14:textId="146DA53C" w:rsidR="00C13E15" w:rsidRPr="00E255E7" w:rsidRDefault="007505C2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Inevitable oxidation</w:t>
            </w:r>
            <w:r w:rsidR="00FA57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NZ" w:bidi="ar-SA"/>
                <w14:ligatures w14:val="none"/>
              </w:rPr>
              <w:t>3</w:t>
            </w:r>
          </w:p>
        </w:tc>
      </w:tr>
      <w:tr w:rsidR="00955BC6" w:rsidRPr="00E255E7" w14:paraId="69EA7C76" w14:textId="01473AA2" w:rsidTr="00955BC6">
        <w:trPr>
          <w:trHeight w:val="310"/>
        </w:trPr>
        <w:tc>
          <w:tcPr>
            <w:tcW w:w="168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824927A" w14:textId="77777777" w:rsidR="00955BC6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Mohn 2000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</w:p>
          <w:p w14:paraId="332FF6B0" w14:textId="37B00E62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&lt;EndNote&gt;&lt;Cite&gt;&lt;Author&gt;Möhn&lt;/Author&gt;&lt;Year&gt;2000&lt;/Year&gt;&lt;RecNum&gt;48&lt;/RecNum&gt;&lt;DisplayText&gt;(1)&lt;/DisplayText&gt;&lt;record&gt;&lt;rec-number&gt;48&lt;/rec-number&gt;&lt;foreign-keys&gt;&lt;key app="EN" db-id="zear2e5ph5x009eftz0vv5fk5wstf0seeaft" timestamp="1601842156"&gt;48&lt;/key&gt;&lt;/foreign-keys&gt;&lt;ref-type name="Journal Article"&gt;17&lt;/ref-type&gt;&lt;contributors&gt;&lt;authors&gt;&lt;author&gt;Möhn, S&lt;/author&gt;&lt;author&gt;Gillis, A M&lt;/author&gt;&lt;author&gt;Moughan, P J&lt;/author&gt;&lt;author&gt;de Lange, C F&lt;/author&gt;&lt;/authors&gt;&lt;/contributors&gt;&lt;titles&gt;&lt;title&gt;Influence of dietary lysine and energy intakes on body protein deposition and lysine utilization in the growing pig&lt;/title&gt;&lt;secondary-title&gt;J Anim Sci&lt;/secondary-title&gt;&lt;/titles&gt;&lt;periodical&gt;&lt;full-title&gt;J Anim Sci&lt;/full-title&gt;&lt;/periodical&gt;&lt;pages&gt;1510-1519&lt;/pages&gt;&lt;volume&gt;78&lt;/volume&gt;&lt;number&gt;6&lt;/number&gt;&lt;dates&gt;&lt;year&gt;2000&lt;/year&gt;&lt;/dates&gt;&lt;urls&gt;&lt;related-urls&gt;&lt;url&gt;http://dx.doi.org/10.2527/2000.7861510x&lt;/url&gt;&lt;/related-urls&gt;&lt;/urls&gt;&lt;electronic-resource-num&gt;10.2527/2000.7861510x&lt;/electronic-resource-num&gt;&lt;language&gt;English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(1)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2179873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Lysine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05DCC" w14:textId="01DF29FC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0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5C23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A10A3B" w14:textId="518C73E1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55BC6" w:rsidRPr="00E255E7" w14:paraId="4030BA92" w14:textId="1D908FC0" w:rsidTr="00955BC6">
        <w:trPr>
          <w:trHeight w:val="310"/>
        </w:trPr>
        <w:tc>
          <w:tcPr>
            <w:tcW w:w="1681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63B59B39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910CA2D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8EC7A" w14:textId="695A4BD6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4CCC6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68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78B18" w14:textId="14466A30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955BC6" w:rsidRPr="00E255E7" w14:paraId="164CE66B" w14:textId="62DEBC45" w:rsidTr="00955BC6">
        <w:trPr>
          <w:trHeight w:val="310"/>
        </w:trPr>
        <w:tc>
          <w:tcPr>
            <w:tcW w:w="1681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872496F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377EB5C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CFF90" w14:textId="481C3FCA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51AAB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99C14" w14:textId="6C64790B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55BC6" w:rsidRPr="00E255E7" w14:paraId="697FB8BE" w14:textId="5C8C407B" w:rsidTr="00955BC6">
        <w:trPr>
          <w:trHeight w:val="310"/>
        </w:trPr>
        <w:tc>
          <w:tcPr>
            <w:tcW w:w="16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0579D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12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DD31E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8D866" w14:textId="7EC7FA33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2AB3A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92999C" w14:textId="65849161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5BC6" w:rsidRPr="00E255E7" w14:paraId="6DC91D2F" w14:textId="491C0473" w:rsidTr="00955BC6">
        <w:trPr>
          <w:trHeight w:val="310"/>
        </w:trPr>
        <w:tc>
          <w:tcPr>
            <w:tcW w:w="168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3DF47B5" w14:textId="29AF03D6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de Lange 2001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&lt;EndNote&gt;&lt;Cite&gt;&lt;Author&gt;de Lange&lt;/Author&gt;&lt;Year&gt;2001&lt;/Year&gt;&lt;RecNum&gt;45&lt;/RecNum&gt;&lt;DisplayText&gt;(2)&lt;/DisplayText&gt;&lt;record&gt;&lt;rec-number&gt;45&lt;/rec-number&gt;&lt;foreign-keys&gt;&lt;key app="EN" db-id="zear2e5ph5x009eftz0vv5fk5wstf0seeaft" timestamp="1601842156"&gt;45&lt;/key&gt;&lt;/foreign-keys&gt;&lt;ref-type name="Journal Article"&gt;17&lt;/ref-type&gt;&lt;contributors&gt;&lt;authors&gt;&lt;author&gt;de Lange, CFM&lt;/author&gt;&lt;author&gt;Gillis, AM&lt;/author&gt;&lt;author&gt;Simpson, GJ&lt;/author&gt;&lt;/authors&gt;&lt;/contributors&gt;&lt;titles&gt;&lt;title&gt;Influence of threonine intake on whole-body protein deposition and threonine utilization in growing pigs fed purified diets&lt;/title&gt;&lt;secondary-title&gt;J Anim Sci&lt;/secondary-title&gt;&lt;/titles&gt;&lt;periodical&gt;&lt;full-title&gt;J Anim Sci&lt;/full-title&gt;&lt;/periodical&gt;&lt;pages&gt;3087-3095&amp;#xD;&lt;/pages&gt;&lt;volume&gt;79&lt;/volume&gt;&lt;dates&gt;&lt;year&gt;2001&lt;/year&gt;&lt;/dates&gt;&lt;urls&gt;&lt;/urls&gt;&lt;/record&gt;&lt;/Cite&gt;&lt;/EndNote&gt;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(2)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7CEE02C" w14:textId="77777777" w:rsidR="00955BC6" w:rsidRPr="00E255E7" w:rsidRDefault="00955BC6" w:rsidP="0095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Threonine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A9D4D" w14:textId="5A7438FD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70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157FB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75.1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E37E3A" w14:textId="29CA3624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</w:t>
            </w:r>
          </w:p>
        </w:tc>
      </w:tr>
      <w:tr w:rsidR="00955BC6" w:rsidRPr="00E255E7" w14:paraId="16A34DD3" w14:textId="180CBCF1" w:rsidTr="00F117BC">
        <w:trPr>
          <w:trHeight w:val="310"/>
        </w:trPr>
        <w:tc>
          <w:tcPr>
            <w:tcW w:w="1681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718E95" w14:textId="77777777" w:rsidR="00955BC6" w:rsidRPr="00E255E7" w:rsidRDefault="00955BC6" w:rsidP="0075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1203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77C35F" w14:textId="77777777" w:rsidR="00955BC6" w:rsidRPr="00E255E7" w:rsidRDefault="00955BC6" w:rsidP="007505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ED3CD" w14:textId="389B1E6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80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03378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72.7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93A79" w14:textId="4D8BDF3D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</w:tr>
      <w:tr w:rsidR="00955BC6" w:rsidRPr="00E255E7" w14:paraId="27071503" w14:textId="7064646C" w:rsidTr="00F117BC">
        <w:trPr>
          <w:trHeight w:val="310"/>
        </w:trPr>
        <w:tc>
          <w:tcPr>
            <w:tcW w:w="16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ED5938" w14:textId="77777777" w:rsidR="00955BC6" w:rsidRPr="00E255E7" w:rsidRDefault="00955BC6" w:rsidP="00750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12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46A58" w14:textId="77777777" w:rsidR="00955BC6" w:rsidRPr="00E255E7" w:rsidRDefault="00955BC6" w:rsidP="007505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F0AA3A" w14:textId="31EA28E4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F615D" w14:textId="77777777" w:rsidR="00955BC6" w:rsidRPr="00E255E7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E25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D7280" w14:textId="0A00110A" w:rsidR="00955BC6" w:rsidRPr="007505C2" w:rsidRDefault="00955BC6" w:rsidP="0075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750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14:paraId="2D120479" w14:textId="62CB8674" w:rsidR="00FA5743" w:rsidRDefault="00FA5743" w:rsidP="003C120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574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A5B">
        <w:rPr>
          <w:rFonts w:ascii="Times New Roman" w:hAnsi="Times New Roman"/>
          <w:sz w:val="24"/>
          <w:szCs w:val="24"/>
        </w:rPr>
        <w:t>Serial slaughter data for the growing pig were selected for animals retaining body nitrogen below their potential rate of nitrogen retention, at first-limiting amino acid intakes of 70% to 90% of requirements and with sufficient energy intake.</w:t>
      </w:r>
    </w:p>
    <w:p w14:paraId="32F9B30C" w14:textId="37772556" w:rsidR="003C120C" w:rsidRDefault="00FA5743" w:rsidP="003C1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255E7" w:rsidRPr="00C4041E">
        <w:rPr>
          <w:rFonts w:ascii="Times New Roman" w:hAnsi="Times New Roman" w:cs="Times New Roman"/>
          <w:sz w:val="24"/>
          <w:szCs w:val="24"/>
        </w:rPr>
        <w:t xml:space="preserve"> </w:t>
      </w:r>
      <w:r w:rsidR="0026670F" w:rsidRPr="00C4041E">
        <w:rPr>
          <w:rFonts w:ascii="Times New Roman" w:hAnsi="Times New Roman" w:cs="Times New Roman"/>
          <w:sz w:val="24"/>
          <w:szCs w:val="24"/>
        </w:rPr>
        <w:t>Lysine utilisation efficiency c</w:t>
      </w:r>
      <w:r w:rsidR="000F2D9C" w:rsidRPr="00C4041E">
        <w:rPr>
          <w:rFonts w:ascii="Times New Roman" w:hAnsi="Times New Roman" w:cs="Times New Roman"/>
          <w:sz w:val="24"/>
          <w:szCs w:val="24"/>
        </w:rPr>
        <w:t xml:space="preserve">alculated as 0.0708 × </w:t>
      </w:r>
      <w:r w:rsidR="00AD2549" w:rsidRPr="00C4041E">
        <w:rPr>
          <w:rFonts w:ascii="Times New Roman" w:hAnsi="Times New Roman" w:cs="Times New Roman"/>
          <w:sz w:val="24"/>
          <w:szCs w:val="24"/>
        </w:rPr>
        <w:t>protein deposition</w:t>
      </w:r>
      <w:r w:rsidR="000F2D9C" w:rsidRPr="00C4041E">
        <w:rPr>
          <w:rFonts w:ascii="Times New Roman" w:hAnsi="Times New Roman" w:cs="Times New Roman"/>
          <w:sz w:val="24"/>
          <w:szCs w:val="24"/>
        </w:rPr>
        <w:t xml:space="preserve">/(true digestible lysine intake − 0.036 × </w:t>
      </w:r>
      <w:r w:rsidR="00C4041E" w:rsidRPr="00C4041E">
        <w:rPr>
          <w:rFonts w:ascii="Times New Roman" w:hAnsi="Times New Roman" w:cs="Times New Roman"/>
          <w:sz w:val="24"/>
          <w:szCs w:val="24"/>
        </w:rPr>
        <w:t>B</w:t>
      </w:r>
      <w:r w:rsidR="000F2D9C" w:rsidRPr="00C4041E">
        <w:rPr>
          <w:rFonts w:ascii="Times New Roman" w:hAnsi="Times New Roman" w:cs="Times New Roman"/>
          <w:sz w:val="24"/>
          <w:szCs w:val="24"/>
        </w:rPr>
        <w:t>W0.75)</w:t>
      </w:r>
      <w:r w:rsidR="003C120C">
        <w:rPr>
          <w:rFonts w:ascii="Times New Roman" w:hAnsi="Times New Roman" w:cs="Times New Roman"/>
          <w:sz w:val="24"/>
          <w:szCs w:val="24"/>
        </w:rPr>
        <w:t xml:space="preserve"> </w:t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fldChar w:fldCharType="begin"/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instrText xml:space="preserve"> ADDIN EN.CITE &lt;EndNote&gt;&lt;Cite&gt;&lt;Author&gt;Möhn&lt;/Author&gt;&lt;Year&gt;2000&lt;/Year&gt;&lt;RecNum&gt;48&lt;/RecNum&gt;&lt;DisplayText&gt;(1)&lt;/DisplayText&gt;&lt;record&gt;&lt;rec-number&gt;48&lt;/rec-number&gt;&lt;foreign-keys&gt;&lt;key app="EN" db-id="zear2e5ph5x009eftz0vv5fk5wstf0seeaft" timestamp="1601842156"&gt;48&lt;/key&gt;&lt;/foreign-keys&gt;&lt;ref-type name="Journal Article"&gt;17&lt;/ref-type&gt;&lt;contributors&gt;&lt;authors&gt;&lt;author&gt;Möhn, S&lt;/author&gt;&lt;author&gt;Gillis, A M&lt;/author&gt;&lt;author&gt;Moughan, P J&lt;/author&gt;&lt;author&gt;de Lange, C F&lt;/author&gt;&lt;/authors&gt;&lt;/contributors&gt;&lt;titles&gt;&lt;title&gt;Influence of dietary lysine and energy intakes on body protein deposition and lysine utilization in the growing pig&lt;/title&gt;&lt;secondary-title&gt;J Anim Sci&lt;/secondary-title&gt;&lt;/titles&gt;&lt;periodical&gt;&lt;full-title&gt;J Anim Sci&lt;/full-title&gt;&lt;/periodical&gt;&lt;pages&gt;1510-1519&lt;/pages&gt;&lt;volume&gt;78&lt;/volume&gt;&lt;number&gt;6&lt;/number&gt;&lt;dates&gt;&lt;year&gt;2000&lt;/year&gt;&lt;/dates&gt;&lt;urls&gt;&lt;related-urls&gt;&lt;url&gt;http://dx.doi.org/10.2527/2000.7861510x&lt;/url&gt;&lt;/related-urls&gt;&lt;/urls&gt;&lt;electronic-resource-num&gt;10.2527/2000.7861510x&lt;/electronic-resource-num&gt;&lt;language&gt;English&lt;/language&gt;&lt;/record&gt;&lt;/Cite&gt;&lt;/EndNote&gt;</w:instrText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fldChar w:fldCharType="separate"/>
      </w:r>
      <w:r w:rsidR="003C120C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en-NZ" w:bidi="ar-SA"/>
          <w14:ligatures w14:val="none"/>
        </w:rPr>
        <w:t>(1)</w:t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fldChar w:fldCharType="end"/>
      </w:r>
      <w:r w:rsidR="000F2D9C" w:rsidRPr="00C4041E">
        <w:rPr>
          <w:rFonts w:ascii="Times New Roman" w:hAnsi="Times New Roman" w:cs="Times New Roman"/>
          <w:sz w:val="24"/>
          <w:szCs w:val="24"/>
        </w:rPr>
        <w:t>.</w:t>
      </w:r>
      <w:r w:rsidR="0026670F" w:rsidRPr="00C4041E">
        <w:rPr>
          <w:rFonts w:ascii="Times New Roman" w:hAnsi="Times New Roman" w:cs="Times New Roman"/>
          <w:sz w:val="24"/>
          <w:szCs w:val="24"/>
        </w:rPr>
        <w:t xml:space="preserve"> Threonine utilisation efficiency calculated as (</w:t>
      </w:r>
      <w:proofErr w:type="spellStart"/>
      <w:r w:rsidR="0026670F" w:rsidRPr="00C4041E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="0026670F" w:rsidRPr="00C4041E">
        <w:rPr>
          <w:rFonts w:ascii="Times New Roman" w:hAnsi="Times New Roman" w:cs="Times New Roman"/>
          <w:sz w:val="24"/>
          <w:szCs w:val="24"/>
        </w:rPr>
        <w:t xml:space="preserve"> retained in body protein)/(available </w:t>
      </w:r>
      <w:proofErr w:type="spellStart"/>
      <w:r w:rsidR="0026670F" w:rsidRPr="00C4041E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="0026670F" w:rsidRPr="00C4041E">
        <w:rPr>
          <w:rFonts w:ascii="Times New Roman" w:hAnsi="Times New Roman" w:cs="Times New Roman"/>
          <w:sz w:val="24"/>
          <w:szCs w:val="24"/>
        </w:rPr>
        <w:t xml:space="preserve"> intake </w:t>
      </w:r>
      <w:r w:rsidR="00655F02" w:rsidRPr="00C4041E">
        <w:rPr>
          <w:rFonts w:ascii="Times New Roman" w:hAnsi="Times New Roman" w:cs="Times New Roman"/>
          <w:sz w:val="24"/>
          <w:szCs w:val="24"/>
        </w:rPr>
        <w:t>–</w:t>
      </w:r>
      <w:r w:rsidR="0026670F" w:rsidRPr="00C4041E">
        <w:rPr>
          <w:rFonts w:ascii="Times New Roman" w:hAnsi="Times New Roman" w:cs="Times New Roman"/>
          <w:sz w:val="24"/>
          <w:szCs w:val="24"/>
        </w:rPr>
        <w:t xml:space="preserve"> </w:t>
      </w:r>
      <w:r w:rsidR="00655F02" w:rsidRPr="00C4041E">
        <w:rPr>
          <w:rFonts w:ascii="Times New Roman" w:hAnsi="Times New Roman" w:cs="Times New Roman"/>
          <w:sz w:val="24"/>
          <w:szCs w:val="24"/>
        </w:rPr>
        <w:t>0.054</w:t>
      </w:r>
      <w:r w:rsidR="00553649" w:rsidRPr="00C4041E">
        <w:rPr>
          <w:rFonts w:ascii="Times New Roman" w:hAnsi="Times New Roman" w:cs="Times New Roman"/>
          <w:sz w:val="24"/>
          <w:szCs w:val="24"/>
        </w:rPr>
        <w:t xml:space="preserve"> x BW0.75</w:t>
      </w:r>
      <w:r w:rsidR="0026670F" w:rsidRPr="00C4041E">
        <w:rPr>
          <w:rFonts w:ascii="Times New Roman" w:hAnsi="Times New Roman" w:cs="Times New Roman"/>
          <w:sz w:val="24"/>
          <w:szCs w:val="24"/>
        </w:rPr>
        <w:t>)</w:t>
      </w:r>
      <w:r w:rsidR="003C120C">
        <w:rPr>
          <w:rFonts w:ascii="Times New Roman" w:hAnsi="Times New Roman" w:cs="Times New Roman"/>
          <w:sz w:val="24"/>
          <w:szCs w:val="24"/>
        </w:rPr>
        <w:t xml:space="preserve"> </w:t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fldChar w:fldCharType="begin"/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instrText xml:space="preserve"> ADDIN EN.CITE &lt;EndNote&gt;&lt;Cite&gt;&lt;Author&gt;de Lange&lt;/Author&gt;&lt;Year&gt;2001&lt;/Year&gt;&lt;RecNum&gt;45&lt;/RecNum&gt;&lt;DisplayText&gt;(2)&lt;/DisplayText&gt;&lt;record&gt;&lt;rec-number&gt;45&lt;/rec-number&gt;&lt;foreign-keys&gt;&lt;key app="EN" db-id="zear2e5ph5x009eftz0vv5fk5wstf0seeaft" timestamp="1601842156"&gt;45&lt;/key&gt;&lt;/foreign-keys&gt;&lt;ref-type name="Journal Article"&gt;17&lt;/ref-type&gt;&lt;contributors&gt;&lt;authors&gt;&lt;author&gt;de Lange, CFM&lt;/author&gt;&lt;author&gt;Gillis, AM&lt;/author&gt;&lt;author&gt;Simpson, GJ&lt;/author&gt;&lt;/authors&gt;&lt;/contributors&gt;&lt;titles&gt;&lt;title&gt;Influence of threonine intake on whole-body protein deposition and threonine utilization in growing pigs fed purified diets&lt;/title&gt;&lt;secondary-title&gt;J Anim Sci&lt;/secondary-title&gt;&lt;/titles&gt;&lt;periodical&gt;&lt;full-title&gt;J Anim Sci&lt;/full-title&gt;&lt;/periodical&gt;&lt;pages&gt;3087-3095&amp;#xD;&lt;/pages&gt;&lt;volume&gt;79&lt;/volume&gt;&lt;dates&gt;&lt;year&gt;2001&lt;/year&gt;&lt;/dates&gt;&lt;urls&gt;&lt;/urls&gt;&lt;/record&gt;&lt;/Cite&gt;&lt;/EndNote&gt;</w:instrText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fldChar w:fldCharType="separate"/>
      </w:r>
      <w:r w:rsidR="003C120C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en-NZ" w:bidi="ar-SA"/>
          <w14:ligatures w14:val="none"/>
        </w:rPr>
        <w:t>(2)</w:t>
      </w:r>
      <w:r w:rsidR="003C12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fldChar w:fldCharType="end"/>
      </w:r>
      <w:r w:rsidR="0026670F" w:rsidRPr="00C4041E">
        <w:rPr>
          <w:rFonts w:ascii="Times New Roman" w:hAnsi="Times New Roman" w:cs="Times New Roman"/>
          <w:sz w:val="24"/>
          <w:szCs w:val="24"/>
        </w:rPr>
        <w:t>.</w:t>
      </w:r>
      <w:r w:rsidR="00655F02" w:rsidRPr="00C40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35357" w14:textId="205056FB" w:rsidR="003C120C" w:rsidRDefault="00FA5743" w:rsidP="003C120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255E7" w:rsidRPr="00C4041E">
        <w:rPr>
          <w:rFonts w:ascii="Times New Roman" w:hAnsi="Times New Roman" w:cs="Times New Roman"/>
          <w:sz w:val="24"/>
          <w:szCs w:val="24"/>
        </w:rPr>
        <w:t xml:space="preserve"> </w:t>
      </w:r>
      <w:r w:rsidR="0026670F" w:rsidRPr="00C4041E">
        <w:rPr>
          <w:rFonts w:ascii="Times New Roman" w:hAnsi="Times New Roman" w:cs="Times New Roman"/>
          <w:sz w:val="24"/>
          <w:szCs w:val="24"/>
        </w:rPr>
        <w:t xml:space="preserve">Inevitable oxidation </w:t>
      </w:r>
      <w:r w:rsidR="00553649" w:rsidRPr="00C4041E">
        <w:rPr>
          <w:rFonts w:ascii="Times New Roman" w:hAnsi="Times New Roman" w:cs="Times New Roman"/>
          <w:sz w:val="24"/>
          <w:szCs w:val="24"/>
        </w:rPr>
        <w:t xml:space="preserve">was </w:t>
      </w:r>
      <w:r w:rsidR="0026670F" w:rsidRPr="00C4041E">
        <w:rPr>
          <w:rFonts w:ascii="Times New Roman" w:hAnsi="Times New Roman" w:cs="Times New Roman"/>
          <w:sz w:val="24"/>
          <w:szCs w:val="24"/>
        </w:rPr>
        <w:t>calculated as 100</w:t>
      </w:r>
      <w:r w:rsidR="00804C8E" w:rsidRPr="00C4041E">
        <w:rPr>
          <w:rFonts w:ascii="Times New Roman" w:hAnsi="Times New Roman" w:cs="Times New Roman"/>
          <w:sz w:val="24"/>
          <w:szCs w:val="24"/>
        </w:rPr>
        <w:t xml:space="preserve"> minus </w:t>
      </w:r>
      <w:r w:rsidR="00804C8E" w:rsidRPr="00C4041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t xml:space="preserve">IDAA utilisation efficiency. </w:t>
      </w:r>
    </w:p>
    <w:p w14:paraId="4E4132D0" w14:textId="3056AACD" w:rsidR="001F3AD1" w:rsidRPr="00C4041E" w:rsidRDefault="00C4041E" w:rsidP="003C120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sectPr w:rsidR="001F3AD1" w:rsidRPr="00C4041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4041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NZ" w:bidi="ar-SA"/>
          <w14:ligatures w14:val="none"/>
        </w:rPr>
        <w:t xml:space="preserve">BW, live bodyweight; </w:t>
      </w:r>
      <w:r w:rsidR="00886786" w:rsidRPr="00C4041E">
        <w:rPr>
          <w:rFonts w:ascii="Times New Roman" w:hAnsi="Times New Roman" w:cs="Times New Roman"/>
          <w:sz w:val="24"/>
          <w:szCs w:val="24"/>
        </w:rPr>
        <w:t>I</w:t>
      </w:r>
      <w:r w:rsidR="001F3AD1" w:rsidRPr="00C4041E">
        <w:rPr>
          <w:rFonts w:ascii="Times New Roman" w:hAnsi="Times New Roman" w:cs="Times New Roman"/>
          <w:sz w:val="24"/>
          <w:szCs w:val="24"/>
        </w:rPr>
        <w:t>DAA, indispensable amino acid</w:t>
      </w:r>
    </w:p>
    <w:p w14:paraId="03EEBE7F" w14:textId="669A5E1F" w:rsidR="00E255E7" w:rsidRPr="00A7556C" w:rsidRDefault="00E255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556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 w:rsidR="00384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4C30">
        <w:rPr>
          <w:rFonts w:ascii="Times New Roman" w:hAnsi="Times New Roman" w:cs="Times New Roman"/>
          <w:sz w:val="24"/>
          <w:szCs w:val="24"/>
        </w:rPr>
        <w:t>Data</w:t>
      </w:r>
      <w:r w:rsidR="00035ADF" w:rsidRPr="00035A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4C30" w:rsidRPr="00035AD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84C30">
        <w:rPr>
          <w:rFonts w:ascii="Times New Roman" w:hAnsi="Times New Roman" w:cs="Times New Roman"/>
          <w:sz w:val="24"/>
          <w:szCs w:val="24"/>
        </w:rPr>
        <w:t>used for the estimation of the model parameter: oxidative AA losses associated with postabsorptive protein turnover (PTO</w:t>
      </w:r>
      <w:r w:rsidR="00384C30" w:rsidRPr="00384C30">
        <w:rPr>
          <w:rFonts w:ascii="Times New Roman" w:hAnsi="Times New Roman" w:cs="Times New Roman"/>
          <w:sz w:val="24"/>
          <w:szCs w:val="24"/>
          <w:vertAlign w:val="subscript"/>
        </w:rPr>
        <w:t>PA</w:t>
      </w:r>
      <w:r w:rsidR="00384C30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133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992"/>
        <w:gridCol w:w="1559"/>
        <w:gridCol w:w="993"/>
        <w:gridCol w:w="1275"/>
        <w:gridCol w:w="1843"/>
        <w:gridCol w:w="1843"/>
      </w:tblGrid>
      <w:tr w:rsidR="00845C62" w:rsidRPr="00845C62" w14:paraId="3E8FE6DC" w14:textId="77777777" w:rsidTr="00483645">
        <w:trPr>
          <w:trHeight w:val="870"/>
        </w:trPr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FA00" w14:textId="53A94CFA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NZ" w:bidi="ar-SA"/>
                <w14:ligatures w14:val="none"/>
              </w:rPr>
              <w:t>IAAO study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A77E" w14:textId="5C291BAD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Tracer AA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7047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FL-AA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A26ADD" w14:textId="77777777" w:rsidR="00B21FDF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Tracer </w:t>
            </w:r>
          </w:p>
          <w:p w14:paraId="12233607" w14:textId="7B785003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Intake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DC6309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FL-AA intake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D04ED4" w14:textId="522EB9D6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Fast</w:t>
            </w:r>
            <w:r w:rsidR="00B21F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ed</w:t>
            </w: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time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6CC68C" w14:textId="7B3366AF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Tracer Ox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idatio</w:t>
            </w: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n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DCB77F" w14:textId="77777777" w:rsidR="00B21FDF" w:rsidRDefault="00B21FDF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Tracer </w:t>
            </w:r>
          </w:p>
          <w:p w14:paraId="3209D728" w14:textId="4574EE09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Flux</w:t>
            </w:r>
          </w:p>
        </w:tc>
      </w:tr>
      <w:tr w:rsidR="00845C62" w:rsidRPr="00845C62" w14:paraId="745812EE" w14:textId="77777777" w:rsidTr="00483645">
        <w:trPr>
          <w:trHeight w:val="290"/>
        </w:trPr>
        <w:tc>
          <w:tcPr>
            <w:tcW w:w="340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4AC8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B1B9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 w:bidi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E297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 w:bidi="ar-SA"/>
                <w14:ligatures w14:val="none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B9A2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mg/</w:t>
            </w:r>
            <w:proofErr w:type="spellStart"/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kgbw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/day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366294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hr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70A2BB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mg/</w:t>
            </w:r>
            <w:proofErr w:type="spellStart"/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kgbw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/period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1FA70A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µmol/</w:t>
            </w:r>
            <w:proofErr w:type="spellStart"/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kgbw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/hr</w:t>
            </w:r>
          </w:p>
        </w:tc>
      </w:tr>
      <w:tr w:rsidR="00845C62" w:rsidRPr="00845C62" w14:paraId="03B8D096" w14:textId="77777777" w:rsidTr="00483645">
        <w:trPr>
          <w:trHeight w:val="310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2EAB" w14:textId="2E20FE38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El-Khoury 2000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&lt;EndNote&gt;&lt;Cite&gt;&lt;Author&gt;El-Khoury&lt;/Author&gt;&lt;Year&gt;2000&lt;/Year&gt;&lt;RecNum&gt;52&lt;/RecNum&gt;&lt;DisplayText&gt;(3)&lt;/DisplayText&gt;&lt;record&gt;&lt;rec-number&gt;52&lt;/rec-number&gt;&lt;foreign-keys&gt;&lt;key app="EN" db-id="zear2e5ph5x009eftz0vv5fk5wstf0seeaft" timestamp="1601842157"&gt;52&lt;/key&gt;&lt;/foreign-keys&gt;&lt;ref-type name="Journal Article"&gt;17&lt;/ref-type&gt;&lt;contributors&gt;&lt;authors&gt;&lt;author&gt;El-Khoury, Antoine E.&lt;/author&gt;&lt;author&gt;Pereira, Paulo C. M.&lt;/author&gt;&lt;author&gt;Borgonha, Sudhir&lt;/author&gt;&lt;author&gt;Basile-Filho, Anibal&lt;/author&gt;&lt;author&gt;Beaumier, Louis&lt;/author&gt;&lt;author&gt;Wang, San Y.&lt;/author&gt;&lt;author&gt;Metges, Cornelia C.&lt;/author&gt;&lt;author&gt;Ajami, Alfred M.&lt;/author&gt;&lt;author&gt;Young, Vernon R.&lt;/author&gt;&lt;/authors&gt;&lt;/contributors&gt;&lt;titles&gt;&lt;title&gt;Twenty-four–hour oral tracer studies with l-[1-13C]lysine at a low (15 mg • kg−1 • d−1) and intermediate (29 mg • kg−1 • d−1) lysine intake in healthy adults&lt;/title&gt;&lt;secondary-title&gt;Am J Clin Nutr&lt;/secondary-title&gt;&lt;/titles&gt;&lt;periodical&gt;&lt;full-title&gt;Am J Clin Nutr&lt;/full-title&gt;&lt;/periodical&gt;&lt;pages&gt;122-130&lt;/pages&gt;&lt;volume&gt;72&lt;/volume&gt;&lt;number&gt;1&lt;/number&gt;&lt;dates&gt;&lt;year&gt;2000&lt;/year&gt;&lt;/dates&gt;&lt;isbn&gt;0002-9165&lt;/isbn&gt;&lt;urls&gt;&lt;related-urls&gt;&lt;url&gt;http://dx.doi.org/10.1093/ajcn/72.1.122&lt;/url&gt;&lt;/related-urls&gt;&lt;/urls&gt;&lt;electronic-resource-num&gt;10.1093/ajcn/72.1.122&lt;/electronic-resource-num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(3)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39DB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Lys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310B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Lys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4C77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5.85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2B87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99A9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A409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15.1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EB3A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80.2</w:t>
            </w:r>
          </w:p>
        </w:tc>
      </w:tr>
      <w:tr w:rsidR="00845C62" w:rsidRPr="00845C62" w14:paraId="4EDFAA7F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26CD07" w14:textId="450706F6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Borgohna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2002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&lt;EndNote&gt;&lt;Cite&gt;&lt;Author&gt;Borgonha&lt;/Author&gt;&lt;Year&gt;2002&lt;/Year&gt;&lt;RecNum&gt;61&lt;/RecNum&gt;&lt;DisplayText&gt;(4)&lt;/DisplayText&gt;&lt;record&gt;&lt;rec-number&gt;61&lt;/rec-number&gt;&lt;foreign-keys&gt;&lt;key app="EN" db-id="zear2e5ph5x009eftz0vv5fk5wstf0seeaft" timestamp="1601842158"&gt;61&lt;/key&gt;&lt;/foreign-keys&gt;&lt;ref-type name="Journal Article"&gt;17&lt;/ref-type&gt;&lt;contributors&gt;&lt;authors&gt;&lt;author&gt;Borgonha, Sudhir&lt;/author&gt;&lt;author&gt;Regan, Meredith M.&lt;/author&gt;&lt;author&gt;Oh, Seung-Ho&lt;/author&gt;&lt;author&gt;Condon, Mervelina&lt;/author&gt;&lt;author&gt;Young, Vernon R.&lt;/author&gt;&lt;/authors&gt;&lt;/contributors&gt;&lt;titles&gt;&lt;title&gt;Threonine requirement of healthy adults, derived with a 24-h indicator amino acid balance technique&lt;/title&gt;&lt;secondary-title&gt;Am J Clin Nutr&lt;/secondary-title&gt;&lt;/titles&gt;&lt;periodical&gt;&lt;full-title&gt;Am J Clin Nutr&lt;/full-title&gt;&lt;/periodical&gt;&lt;pages&gt;698-704&lt;/pages&gt;&lt;volume&gt;75&lt;/volume&gt;&lt;number&gt;4&lt;/number&gt;&lt;dates&gt;&lt;year&gt;2002&lt;/year&gt;&lt;/dates&gt;&lt;isbn&gt;0002-9165&lt;/isbn&gt;&lt;urls&gt;&lt;related-urls&gt;&lt;url&gt;http://dx.doi.org/10.1093/ajcn/75.4.698&lt;/url&gt;&lt;/related-urls&gt;&lt;/urls&gt;&lt;electronic-resource-num&gt;10.1093/ajcn/75.4.698&lt;/electronic-resource-num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(4)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946AC5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D0F09E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Thr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ABAA33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2.525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AD4756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967BCA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17F482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6.5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0C1072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93.9</w:t>
            </w:r>
          </w:p>
        </w:tc>
      </w:tr>
      <w:tr w:rsidR="00845C62" w:rsidRPr="00845C62" w14:paraId="62F05FED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9CB61B" w14:textId="368E1BA3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Borgohna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2002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&lt;EndNote&gt;&lt;Cite&gt;&lt;Author&gt;Borgonha&lt;/Author&gt;&lt;Year&gt;2002&lt;/Year&gt;&lt;RecNum&gt;61&lt;/RecNum&gt;&lt;DisplayText&gt;(4)&lt;/DisplayText&gt;&lt;record&gt;&lt;rec-number&gt;61&lt;/rec-number&gt;&lt;foreign-keys&gt;&lt;key app="EN" db-id="zear2e5ph5x009eftz0vv5fk5wstf0seeaft" timestamp="1601842158"&gt;61&lt;/key&gt;&lt;/foreign-keys&gt;&lt;ref-type name="Journal Article"&gt;17&lt;/ref-type&gt;&lt;contributors&gt;&lt;authors&gt;&lt;author&gt;Borgonha, Sudhir&lt;/author&gt;&lt;author&gt;Regan, Meredith M.&lt;/author&gt;&lt;author&gt;Oh, Seung-Ho&lt;/author&gt;&lt;author&gt;Condon, Mervelina&lt;/author&gt;&lt;author&gt;Young, Vernon R.&lt;/author&gt;&lt;/authors&gt;&lt;/contributors&gt;&lt;titles&gt;&lt;title&gt;Threonine requirement of healthy adults, derived with a 24-h indicator amino acid balance technique&lt;/title&gt;&lt;secondary-title&gt;Am J Clin Nutr&lt;/secondary-title&gt;&lt;/titles&gt;&lt;periodical&gt;&lt;full-title&gt;Am J Clin Nutr&lt;/full-title&gt;&lt;/periodical&gt;&lt;pages&gt;698-704&lt;/pages&gt;&lt;volume&gt;75&lt;/volume&gt;&lt;number&gt;4&lt;/number&gt;&lt;dates&gt;&lt;year&gt;2002&lt;/year&gt;&lt;/dates&gt;&lt;isbn&gt;0002-9165&lt;/isbn&gt;&lt;urls&gt;&lt;related-urls&gt;&lt;url&gt;http://dx.doi.org/10.1093/ajcn/75.4.698&lt;/url&gt;&lt;/related-urls&gt;&lt;/urls&gt;&lt;electronic-resource-num&gt;10.1093/ajcn/75.4.698&lt;/electronic-resource-num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(4)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032033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F6F7B4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Thr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89908D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2.525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7B5B18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629AE3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DCB0E9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6.5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7BA832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98</w:t>
            </w:r>
          </w:p>
        </w:tc>
      </w:tr>
      <w:tr w:rsidR="00845C62" w:rsidRPr="00845C62" w14:paraId="6C6D00B0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9CF82A" w14:textId="3DD8810D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Kurpad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2002a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&lt;EndNote&gt;&lt;Cite&gt;&lt;Author&gt;Kurpad&lt;/Author&gt;&lt;Year&gt;2002a&lt;/Year&gt;&lt;RecNum&gt;63&lt;/RecNum&gt;&lt;DisplayText&gt;(5)&lt;/DisplayText&gt;&lt;record&gt;&lt;rec-number&gt;63&lt;/rec-number&gt;&lt;foreign-keys&gt;&lt;key app="EN" db-id="zear2e5ph5x009eftz0vv5fk5wstf0seeaft" timestamp="1601842158"&gt;63&lt;/key&gt;&lt;/foreign-keys&gt;&lt;ref-type name="Journal Article"&gt;17&lt;/ref-type&gt;&lt;contributors&gt;&lt;authors&gt;&lt;author&gt;Kurpad, Anura V.&lt;/author&gt;&lt;author&gt;Raj, Tony&lt;/author&gt;&lt;author&gt;Regan, Meredith M.&lt;/author&gt;&lt;author&gt;Vasudevan, Jahnavi&lt;/author&gt;&lt;author&gt;Caszo, Brinnell&lt;/author&gt;&lt;author&gt;Nazareth, Dilip&lt;/author&gt;&lt;author&gt;Gnanou, Justin&lt;/author&gt;&lt;author&gt;Young, Vernon R.&lt;/author&gt;&lt;/authors&gt;&lt;/contributors&gt;&lt;titles&gt;&lt;title&gt;Threonine requirements of healthy Indian men, measured by a 24-h indicator amino acid oxidation and balance technique&lt;/title&gt;&lt;secondary-title&gt;Am J Clin Nutr&lt;/secondary-title&gt;&lt;/titles&gt;&lt;periodical&gt;&lt;full-title&gt;Am J Clin Nutr&lt;/full-title&gt;&lt;/periodical&gt;&lt;pages&gt;789-797&lt;/pages&gt;&lt;volume&gt;76&lt;/volume&gt;&lt;number&gt;4&lt;/number&gt;&lt;dates&gt;&lt;year&gt;2002a&lt;/year&gt;&lt;/dates&gt;&lt;isbn&gt;0002-9165&lt;/isbn&gt;&lt;urls&gt;&lt;related-urls&gt;&lt;url&gt;http://dx.doi.org/10.1093/ajcn/76.4.789&lt;/url&gt;&lt;/related-urls&gt;&lt;/urls&gt;&lt;electronic-resource-num&gt;10.1093/ajcn/76.4.789&lt;/electronic-resource-num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(5)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E940C5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66936B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Thr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323F26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4.625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AD4F06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BD7830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B8AF92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21.7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341741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112.4</w:t>
            </w:r>
          </w:p>
        </w:tc>
      </w:tr>
      <w:tr w:rsidR="00845C62" w:rsidRPr="00845C62" w14:paraId="1FC95507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72E795" w14:textId="2D944FE3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Kurpad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2001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&lt;EndNote&gt;&lt;Cite&gt;&lt;Author&gt;Kurpad&lt;/Author&gt;&lt;Year&gt;2001&lt;/Year&gt;&lt;RecNum&gt;62&lt;/RecNum&gt;&lt;DisplayText&gt;(6)&lt;/DisplayText&gt;&lt;record&gt;&lt;rec-number&gt;62&lt;/rec-number&gt;&lt;foreign-keys&gt;&lt;key app="EN" db-id="zear2e5ph5x009eftz0vv5fk5wstf0seeaft" timestamp="1601842158"&gt;62&lt;/key&gt;&lt;/foreign-keys&gt;&lt;ref-type name="Journal Article"&gt;17&lt;/ref-type&gt;&lt;contributors&gt;&lt;authors&gt;&lt;author&gt;Kurpad, Anura V.&lt;/author&gt;&lt;author&gt;Raj, Tony&lt;/author&gt;&lt;author&gt;El-Khoury, Antoine&lt;/author&gt;&lt;author&gt;Kuriyan, Rebecca&lt;/author&gt;&lt;author&gt;Maruthy, Kalburgi&lt;/author&gt;&lt;author&gt;Borgonha, Sudhir&lt;/author&gt;&lt;author&gt;Chandukudlu, Deepak&lt;/author&gt;&lt;author&gt;Regan, Meredith M.&lt;/author&gt;&lt;author&gt;Young, Vernon R.&lt;/author&gt;&lt;/authors&gt;&lt;/contributors&gt;&lt;titles&gt;&lt;title&gt;Daily requirement for and splanchnic uptake of leucine in healthy adult Indians&lt;/title&gt;&lt;secondary-title&gt;Am J Clin Nutr&lt;/secondary-title&gt;&lt;/titles&gt;&lt;periodical&gt;&lt;full-title&gt;Am J Clin Nutr&lt;/full-title&gt;&lt;/periodical&gt;&lt;pages&gt;747-755&lt;/pages&gt;&lt;volume&gt;74&lt;/volume&gt;&lt;number&gt;6&lt;/number&gt;&lt;dates&gt;&lt;year&gt;2001&lt;/year&gt;&lt;/dates&gt;&lt;isbn&gt;0002-9165&lt;/isbn&gt;&lt;urls&gt;&lt;related-urls&gt;&lt;url&gt;http://dx.doi.org/10.1093/ajcn/74.6.747&lt;/url&gt;&lt;/related-urls&gt;&lt;/urls&gt;&lt;electronic-resource-num&gt;10.1093/ajcn/74.6.747&lt;/electronic-resource-num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(6)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2B1467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BA72A9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CD7C8F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4.625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305883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C055E8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AC8798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19.2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DA8265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96.6</w:t>
            </w:r>
          </w:p>
        </w:tc>
      </w:tr>
      <w:tr w:rsidR="00845C62" w:rsidRPr="00845C62" w14:paraId="2326319E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CFBC99" w14:textId="33AEED06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Kurpad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2002b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&lt;EndNote&gt;&lt;Cite&gt;&lt;Author&gt;Kurpad&lt;/Author&gt;&lt;Year&gt;2002b&lt;/Year&gt;&lt;RecNum&gt;64&lt;/RecNum&gt;&lt;DisplayText&gt;(7)&lt;/DisplayText&gt;&lt;record&gt;&lt;rec-number&gt;64&lt;/rec-number&gt;&lt;foreign-keys&gt;&lt;key app="EN" db-id="zear2e5ph5x009eftz0vv5fk5wstf0seeaft" timestamp="1601842158"&gt;64&lt;/key&gt;&lt;/foreign-keys&gt;&lt;ref-type name="Journal Article"&gt;17&lt;/ref-type&gt;&lt;contributors&gt;&lt;authors&gt;&lt;author&gt;Kurpad, Anura V&lt;/author&gt;&lt;author&gt;Regan, Meredith M&lt;/author&gt;&lt;author&gt;Raj, Tony&lt;/author&gt;&lt;author&gt;El-Khoury, Antoine&lt;/author&gt;&lt;author&gt;Kuriyan, Rebecca&lt;/author&gt;&lt;author&gt;Vaz, Mario&lt;/author&gt;&lt;author&gt;Chandakudlu, Deepak&lt;/author&gt;&lt;author&gt;Venkataswamy, Veena G&lt;/author&gt;&lt;author&gt;Borgonha, Sudhir&lt;/author&gt;&lt;author&gt;Young, Vernon R&lt;/author&gt;&lt;/authors&gt;&lt;/contributors&gt;&lt;titles&gt;&lt;title&gt;Lysine requirements of healthy adult Indian subjects receiving long-term feeding, measured with a 24-h indicator amino acid oxidation and balance technique&lt;/title&gt;&lt;secondary-title&gt;Am J Clin Nutr&lt;/secondary-title&gt;&lt;/titles&gt;&lt;periodical&gt;&lt;full-title&gt;Am J Clin Nutr&lt;/full-title&gt;&lt;/periodical&gt;&lt;pages&gt;404-412&lt;/pages&gt;&lt;volume&gt;76&lt;/volume&gt;&lt;number&gt;2&lt;/number&gt;&lt;dates&gt;&lt;year&gt;2002b&lt;/year&gt;&lt;/dates&gt;&lt;isbn&gt;0002-9165&lt;/isbn&gt;&lt;urls&gt;&lt;related-urls&gt;&lt;url&gt;https://dx.doi.org/10.1093/ajcn/76.2.404&lt;/url&gt;&lt;/related-urls&gt;&lt;/urls&gt;&lt;electronic-resource-num&gt;10.1093/ajcn/76.2.404&lt;/electronic-resource-num&gt;&lt;access-date&gt;2/19/2019&lt;/access-date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(7)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82DEE7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ADE291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Lys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D99351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4.625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F56A12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F31C77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97D89A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24.1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5D377A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115.2</w:t>
            </w:r>
          </w:p>
        </w:tc>
      </w:tr>
      <w:tr w:rsidR="00845C62" w:rsidRPr="00845C62" w14:paraId="76F2F77B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4A3C44" w14:textId="007ED16C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Kurpad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2004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&lt;EndNote&gt;&lt;Cite&gt;&lt;Author&gt;Kurpad&lt;/Author&gt;&lt;Year&gt;2004&lt;/Year&gt;&lt;RecNum&gt;151&lt;/RecNum&gt;&lt;DisplayText&gt;(8)&lt;/DisplayText&gt;&lt;record&gt;&lt;rec-number&gt;151&lt;/rec-number&gt;&lt;foreign-keys&gt;&lt;key app="EN" db-id="zear2e5ph5x009eftz0vv5fk5wstf0seeaft" timestamp="1727987893"&gt;151&lt;/key&gt;&lt;/foreign-keys&gt;&lt;ref-type name="Journal Article"&gt;17&lt;/ref-type&gt;&lt;contributors&gt;&lt;authors&gt;&lt;author&gt;Kurpad, Anura V.&lt;/author&gt;&lt;author&gt;Regan, Meredith M.&lt;/author&gt;&lt;author&gt;Varalakshmi, Sureka&lt;/author&gt;&lt;author&gt;Gnanou, Justin&lt;/author&gt;&lt;author&gt;Lingappa, Amarnath&lt;/author&gt;&lt;author&gt;Young, Vernon R.&lt;/author&gt;&lt;/authors&gt;&lt;/contributors&gt;&lt;titles&gt;&lt;title&gt;Effect of cystine on the methionine requirement of healthy Indian men determined by using the 24-h indicator amino acid balance approach3&lt;/title&gt;&lt;secondary-title&gt;The American Journal of Clinical Nutrition&lt;/secondary-title&gt;&lt;/titles&gt;&lt;periodical&gt;&lt;full-title&gt;The American Journal of Clinical Nutrition&lt;/full-title&gt;&lt;/periodical&gt;&lt;pages&gt;1526-1535&lt;/pages&gt;&lt;volume&gt;80&lt;/volume&gt;&lt;number&gt;6&lt;/number&gt;&lt;keywords&gt;&lt;keyword&gt;Indians&lt;/keyword&gt;&lt;keyword&gt;methionine requirement&lt;/keyword&gt;&lt;keyword&gt;cystine intake&lt;/keyword&gt;&lt;keyword&gt;methionine sparing&lt;/keyword&gt;&lt;keyword&gt;sulfur amino acid requirement&lt;/keyword&gt;&lt;keyword&gt;24-h indicator amino acid oxidation&lt;/keyword&gt;&lt;keyword&gt;24-h indicator amino acid balance&lt;/keyword&gt;&lt;/keywords&gt;&lt;dates&gt;&lt;year&gt;2004&lt;/year&gt;&lt;pub-dates&gt;&lt;date&gt;2004/12/01/&lt;/date&gt;&lt;/pub-dates&gt;&lt;/dates&gt;&lt;isbn&gt;0002-9165&lt;/isbn&gt;&lt;urls&gt;&lt;related-urls&gt;&lt;url&gt;https://www.sciencedirect.com/science/article/pii/S0002916522037364&lt;/url&gt;&lt;/related-urls&gt;&lt;/urls&gt;&lt;electronic-resource-num&gt;https://doi.org/10.1093/ajcn/80.6.1526&lt;/electronic-resource-num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(8)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F6A338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E05CC2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Met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5347E8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4.72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FA696B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AB1B6B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47A0C7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19.7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EFC204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93</w:t>
            </w:r>
          </w:p>
        </w:tc>
      </w:tr>
      <w:tr w:rsidR="00845C62" w:rsidRPr="00845C62" w14:paraId="7FFDB4CC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0D1654" w14:textId="69136870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Kurpad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2005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&lt;EndNote&gt;&lt;Cite&gt;&lt;Author&gt;Kurpad&lt;/Author&gt;&lt;Year&gt;2005&lt;/Year&gt;&lt;RecNum&gt;65&lt;/RecNum&gt;&lt;DisplayText&gt;(9)&lt;/DisplayText&gt;&lt;record&gt;&lt;rec-number&gt;65&lt;/rec-number&gt;&lt;foreign-keys&gt;&lt;key app="EN" db-id="zear2e5ph5x009eftz0vv5fk5wstf0seeaft" timestamp="1601842158"&gt;65&lt;/key&gt;&lt;/foreign-keys&gt;&lt;ref-type name="Journal Article"&gt;17&lt;/ref-type&gt;&lt;contributors&gt;&lt;authors&gt;&lt;author&gt;Kurpad, Anura V&lt;/author&gt;&lt;author&gt;Regan, Meredith M&lt;/author&gt;&lt;author&gt;Raj, Tony DS&lt;/author&gt;&lt;author&gt;Gnanou, Justin V&lt;/author&gt;&lt;author&gt;Rao, Vidya N&lt;/author&gt;&lt;author&gt;Young, Vernon R&lt;/author&gt;&lt;/authors&gt;&lt;/contributors&gt;&lt;titles&gt;&lt;title&gt;The daily valine requirement of healthy adult Indians determined by the 24-h indicator amino acid balance approach&lt;/title&gt;&lt;secondary-title&gt;Am J Clin Nutr&lt;/secondary-title&gt;&lt;/titles&gt;&lt;periodical&gt;&lt;full-title&gt;Am J Clin Nutr&lt;/full-title&gt;&lt;/periodical&gt;&lt;pages&gt;373-379&lt;/pages&gt;&lt;volume&gt;82&lt;/volume&gt;&lt;number&gt;2&lt;/number&gt;&lt;dates&gt;&lt;year&gt;2005&lt;/year&gt;&lt;/dates&gt;&lt;isbn&gt;0002-9165&lt;/isbn&gt;&lt;urls&gt;&lt;related-urls&gt;&lt;url&gt;https://dx.doi.org/10.1093/ajcn/82.2.373&lt;/url&gt;&lt;/related-urls&gt;&lt;/urls&gt;&lt;electronic-resource-num&gt;10.1093/ajcn/82.2.373&lt;/electronic-resource-num&gt;&lt;access-date&gt;2/19/2019&lt;/access-date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(9)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1E7D0B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Phe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AFD162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Val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0073E5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9.725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6AE31F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97E851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B82CEA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14.5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9FDD68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82.4</w:t>
            </w:r>
          </w:p>
        </w:tc>
      </w:tr>
      <w:tr w:rsidR="00845C62" w:rsidRPr="00845C62" w14:paraId="460092BB" w14:textId="77777777" w:rsidTr="00483645">
        <w:trPr>
          <w:trHeight w:val="31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0DE408" w14:textId="17B9AF81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Kurpad</w:t>
            </w:r>
            <w:proofErr w:type="spellEnd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2006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 xml:space="preserve"> 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begin"/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instrText xml:space="preserve"> ADDIN EN.CITE &lt;EndNote&gt;&lt;Cite&gt;&lt;Author&gt;Kurpad&lt;/Author&gt;&lt;Year&gt;2006&lt;/Year&gt;&lt;RecNum&gt;109&lt;/RecNum&gt;&lt;DisplayText&gt;(10)&lt;/DisplayText&gt;&lt;record&gt;&lt;rec-number&gt;109&lt;/rec-number&gt;&lt;foreign-keys&gt;&lt;key app="EN" db-id="zear2e5ph5x009eftz0vv5fk5wstf0seeaft" timestamp="1643834912"&gt;109&lt;/key&gt;&lt;/foreign-keys&gt;&lt;ref-type name="Journal Article"&gt;17&lt;/ref-type&gt;&lt;contributors&gt;&lt;authors&gt;&lt;author&gt;Kurpad, A. V.&lt;/author&gt;&lt;author&gt;Regan, M. M.&lt;/author&gt;&lt;author&gt;Raj, T. D.&lt;/author&gt;&lt;author&gt;Rao, V. N.&lt;/author&gt;&lt;author&gt;Gnanou, J.&lt;/author&gt;&lt;author&gt;Young, V. R.&lt;/author&gt;&lt;/authors&gt;&lt;/contributors&gt;&lt;auth-address&gt;Institute of Population Health and Clinical Research, St John&amp;apos;s National Academy of Health Sciences, Bangalore, India. a.kurpad@iphcr.res.in&lt;/auth-address&gt;&lt;titles&gt;&lt;title&gt;The daily phenylalanine requirement of healthy Indian adults&lt;/title&gt;&lt;secondary-title&gt;Am J Clin Nutr&lt;/secondary-title&gt;&lt;/titles&gt;&lt;periodical&gt;&lt;full-title&gt;Am J Clin Nutr&lt;/full-title&gt;&lt;/periodical&gt;&lt;pages&gt;1331-6&lt;/pages&gt;&lt;volume&gt;83&lt;/volume&gt;&lt;number&gt;6&lt;/number&gt;&lt;edition&gt;2006/06/10&lt;/edition&gt;&lt;keywords&gt;&lt;keyword&gt;Adult&lt;/keyword&gt;&lt;keyword&gt;Amino Acids/administration &amp;amp; dosage&lt;/keyword&gt;&lt;keyword&gt;Anthropometry&lt;/keyword&gt;&lt;keyword&gt;Diet&lt;/keyword&gt;&lt;keyword&gt;Humans&lt;/keyword&gt;&lt;keyword&gt;India&lt;/keyword&gt;&lt;keyword&gt;Linear Models&lt;/keyword&gt;&lt;keyword&gt;Male&lt;/keyword&gt;&lt;keyword&gt;Nutritional Requirements&lt;/keyword&gt;&lt;keyword&gt;Oxidation-Reduction&lt;/keyword&gt;&lt;keyword&gt;Phenylalanine/administration &amp;amp; dosage/*metabolism&lt;/keyword&gt;&lt;/keywords&gt;&lt;dates&gt;&lt;year&gt;2006&lt;/year&gt;&lt;pub-dates&gt;&lt;date&gt;Jun&lt;/date&gt;&lt;/pub-dates&gt;&lt;/dates&gt;&lt;isbn&gt;0002-9165 (Print)&amp;#xD;0002-9165&lt;/isbn&gt;&lt;accession-num&gt;16762944&lt;/accession-num&gt;&lt;urls&gt;&lt;/urls&gt;&lt;electronic-resource-num&gt;10.1093/ajcn/83.6.1331&lt;/electronic-resource-num&gt;&lt;remote-database-provider&gt;NLM&lt;/remote-database-provider&gt;&lt;language&gt;eng&lt;/language&gt;&lt;/record&gt;&lt;/Cite&gt;&lt;/EndNote&gt;</w:instrTex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separate"/>
            </w:r>
            <w:r w:rsidR="002167DD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(10)</w:t>
            </w:r>
            <w:r w:rsidR="002167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F1CC5E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Leu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39F43D" w14:textId="77777777" w:rsidR="00845C62" w:rsidRPr="00845C62" w:rsidRDefault="00845C62" w:rsidP="0084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proofErr w:type="spellStart"/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Phe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5B8395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4.81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D3A02E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B4CF43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803347" w14:textId="77777777" w:rsidR="00845C62" w:rsidRPr="00845C62" w:rsidRDefault="00845C62" w:rsidP="0084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21.4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3C010A" w14:textId="77777777" w:rsidR="00845C62" w:rsidRPr="00845C62" w:rsidRDefault="00845C62" w:rsidP="0067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</w:pPr>
            <w:r w:rsidRPr="00845C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NZ" w:bidi="ar-SA"/>
                <w14:ligatures w14:val="none"/>
              </w:rPr>
              <w:t>100.6</w:t>
            </w:r>
          </w:p>
        </w:tc>
      </w:tr>
    </w:tbl>
    <w:p w14:paraId="20F1AE31" w14:textId="58D30A52" w:rsidR="00035ADF" w:rsidRPr="009A0C85" w:rsidRDefault="00035ADF" w:rsidP="009A0C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C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4435C" w:rsidRPr="009A0C8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4435C">
        <w:rPr>
          <w:rFonts w:ascii="Times New Roman" w:hAnsi="Times New Roman"/>
          <w:sz w:val="24"/>
          <w:szCs w:val="24"/>
        </w:rPr>
        <w:t xml:space="preserve">Data </w:t>
      </w:r>
      <w:r w:rsidR="00C4435C" w:rsidRPr="00105A5B">
        <w:rPr>
          <w:rFonts w:ascii="Times New Roman" w:hAnsi="Times New Roman"/>
          <w:sz w:val="24"/>
          <w:szCs w:val="24"/>
        </w:rPr>
        <w:t xml:space="preserve">was limited to </w:t>
      </w:r>
      <w:r w:rsidR="009A0C85">
        <w:rPr>
          <w:rFonts w:ascii="Times New Roman" w:hAnsi="Times New Roman"/>
          <w:sz w:val="24"/>
          <w:szCs w:val="24"/>
        </w:rPr>
        <w:t xml:space="preserve">studies conducted on </w:t>
      </w:r>
      <w:r w:rsidR="00C4435C" w:rsidRPr="00105A5B">
        <w:rPr>
          <w:rFonts w:ascii="Times New Roman" w:hAnsi="Times New Roman"/>
          <w:sz w:val="24"/>
          <w:szCs w:val="24"/>
        </w:rPr>
        <w:t>young</w:t>
      </w:r>
      <w:r w:rsidR="009A0C85">
        <w:rPr>
          <w:rFonts w:ascii="Times New Roman" w:hAnsi="Times New Roman"/>
          <w:sz w:val="24"/>
          <w:szCs w:val="24"/>
        </w:rPr>
        <w:t xml:space="preserve">, </w:t>
      </w:r>
      <w:r w:rsidR="00C4435C" w:rsidRPr="00105A5B">
        <w:rPr>
          <w:rFonts w:ascii="Times New Roman" w:hAnsi="Times New Roman"/>
          <w:sz w:val="24"/>
          <w:szCs w:val="24"/>
        </w:rPr>
        <w:t xml:space="preserve">healthy adult males, where the first-limiting </w:t>
      </w:r>
      <w:r w:rsidR="00C4435C">
        <w:rPr>
          <w:rFonts w:ascii="Times New Roman" w:hAnsi="Times New Roman"/>
          <w:sz w:val="24"/>
          <w:szCs w:val="24"/>
        </w:rPr>
        <w:t>IDAA</w:t>
      </w:r>
      <w:r w:rsidR="00C4435C" w:rsidRPr="00105A5B">
        <w:rPr>
          <w:rFonts w:ascii="Times New Roman" w:hAnsi="Times New Roman"/>
          <w:sz w:val="24"/>
          <w:szCs w:val="24"/>
        </w:rPr>
        <w:t xml:space="preserve"> intake was 90-100% of the current recommended intake, while dietary protein and all other </w:t>
      </w:r>
      <w:r w:rsidR="00C4435C">
        <w:rPr>
          <w:rFonts w:ascii="Times New Roman" w:hAnsi="Times New Roman"/>
          <w:sz w:val="24"/>
          <w:szCs w:val="24"/>
        </w:rPr>
        <w:t>IDAA</w:t>
      </w:r>
      <w:r w:rsidR="00C4435C" w:rsidRPr="00105A5B">
        <w:rPr>
          <w:rFonts w:ascii="Times New Roman" w:hAnsi="Times New Roman"/>
          <w:sz w:val="24"/>
          <w:szCs w:val="24"/>
        </w:rPr>
        <w:t xml:space="preserve">s were provided at greater than the maintenance requirement, were used. </w:t>
      </w:r>
      <w:r w:rsidR="009A0C85">
        <w:rPr>
          <w:rFonts w:ascii="Times New Roman" w:hAnsi="Times New Roman"/>
          <w:sz w:val="24"/>
          <w:szCs w:val="24"/>
        </w:rPr>
        <w:t>T</w:t>
      </w:r>
      <w:r w:rsidR="00C4435C" w:rsidRPr="00105A5B">
        <w:rPr>
          <w:rFonts w:ascii="Times New Roman" w:hAnsi="Times New Roman"/>
          <w:sz w:val="24"/>
          <w:szCs w:val="24"/>
        </w:rPr>
        <w:t xml:space="preserve">he rates of oxidation, as well as protein breakdown (PB) and protein synthesis (PS), were assumed to be </w:t>
      </w:r>
      <w:r w:rsidR="00C4435C">
        <w:rPr>
          <w:rFonts w:ascii="Times New Roman" w:hAnsi="Times New Roman"/>
          <w:sz w:val="24"/>
          <w:szCs w:val="24"/>
        </w:rPr>
        <w:t>close to the</w:t>
      </w:r>
      <w:r w:rsidR="00C4435C" w:rsidRPr="00105A5B">
        <w:rPr>
          <w:rFonts w:ascii="Times New Roman" w:hAnsi="Times New Roman"/>
          <w:sz w:val="24"/>
          <w:szCs w:val="24"/>
        </w:rPr>
        <w:t xml:space="preserve"> maintenance level.</w:t>
      </w:r>
    </w:p>
    <w:p w14:paraId="16F62D82" w14:textId="09EDE567" w:rsidR="00955BC6" w:rsidRDefault="003B78AC" w:rsidP="009A0C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AA, amino acid; FL-AA, first-limiting amino aci</w:t>
      </w:r>
      <w:r w:rsidR="00845C62">
        <w:rPr>
          <w:rFonts w:ascii="Times New Roman" w:hAnsi="Times New Roman" w:cs="Times New Roman"/>
          <w:sz w:val="24"/>
          <w:szCs w:val="24"/>
        </w:rPr>
        <w:t>d; IAAO, Indicator Amino Acid Oxidation</w:t>
      </w:r>
      <w:r w:rsidR="009A0C85">
        <w:rPr>
          <w:rFonts w:ascii="Times New Roman" w:hAnsi="Times New Roman" w:cs="Times New Roman"/>
          <w:sz w:val="24"/>
          <w:szCs w:val="24"/>
        </w:rPr>
        <w:t>.</w:t>
      </w:r>
    </w:p>
    <w:p w14:paraId="1773A774" w14:textId="77777777" w:rsidR="00955BC6" w:rsidRDefault="00955BC6">
      <w:pPr>
        <w:rPr>
          <w:rFonts w:ascii="Times New Roman" w:hAnsi="Times New Roman" w:cs="Times New Roman"/>
          <w:sz w:val="24"/>
          <w:szCs w:val="24"/>
        </w:rPr>
      </w:pPr>
    </w:p>
    <w:p w14:paraId="3648E342" w14:textId="77777777" w:rsidR="003C120C" w:rsidRDefault="003C120C" w:rsidP="003C120C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  <w:sectPr w:rsidR="003C120C" w:rsidSect="00C71F3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ACE355" w14:textId="5559933B" w:rsidR="003C120C" w:rsidRPr="003C120C" w:rsidRDefault="003C120C" w:rsidP="003C120C">
      <w:pPr>
        <w:pStyle w:val="EndNoteBibliography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120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7DF731A1" w14:textId="77777777" w:rsidR="003C120C" w:rsidRDefault="003C120C" w:rsidP="003C120C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569A1D60" w14:textId="77777777" w:rsidR="002167DD" w:rsidRPr="0061358A" w:rsidRDefault="00955BC6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fldChar w:fldCharType="begin"/>
      </w:r>
      <w:r w:rsidRPr="0061358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1358A">
        <w:rPr>
          <w:rFonts w:ascii="Times New Roman" w:hAnsi="Times New Roman" w:cs="Times New Roman"/>
          <w:sz w:val="24"/>
          <w:szCs w:val="24"/>
        </w:rPr>
        <w:fldChar w:fldCharType="separate"/>
      </w:r>
      <w:r w:rsidR="002167DD" w:rsidRPr="0061358A">
        <w:rPr>
          <w:rFonts w:ascii="Times New Roman" w:hAnsi="Times New Roman" w:cs="Times New Roman"/>
          <w:sz w:val="24"/>
          <w:szCs w:val="24"/>
        </w:rPr>
        <w:t>1.</w:t>
      </w:r>
      <w:r w:rsidR="002167DD" w:rsidRPr="0061358A">
        <w:rPr>
          <w:rFonts w:ascii="Times New Roman" w:hAnsi="Times New Roman" w:cs="Times New Roman"/>
          <w:sz w:val="24"/>
          <w:szCs w:val="24"/>
        </w:rPr>
        <w:tab/>
        <w:t xml:space="preserve">Möhn S, Gillis AM, Moughan PJ, de Lange CF. Influence of dietary lysine and energy intakes on body protein deposition and lysine utilization in the growing pig. </w:t>
      </w:r>
      <w:r w:rsidR="002167DD" w:rsidRPr="0061358A">
        <w:rPr>
          <w:rFonts w:ascii="Times New Roman" w:hAnsi="Times New Roman" w:cs="Times New Roman"/>
          <w:i/>
          <w:sz w:val="24"/>
          <w:szCs w:val="24"/>
        </w:rPr>
        <w:t>J Anim Sci</w:t>
      </w:r>
      <w:r w:rsidR="002167DD" w:rsidRPr="0061358A">
        <w:rPr>
          <w:rFonts w:ascii="Times New Roman" w:hAnsi="Times New Roman" w:cs="Times New Roman"/>
          <w:sz w:val="24"/>
          <w:szCs w:val="24"/>
        </w:rPr>
        <w:t>. 2000;78(6):1510-9.</w:t>
      </w:r>
    </w:p>
    <w:p w14:paraId="36B99F1A" w14:textId="46F5BB42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2.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de Lange C, Gillis A, Simpson G. Influence of threonine intake on whole-body protein deposition and threonine utilization in growing pigs fed purified diets. </w:t>
      </w:r>
      <w:r w:rsidRPr="0061358A">
        <w:rPr>
          <w:rFonts w:ascii="Times New Roman" w:hAnsi="Times New Roman" w:cs="Times New Roman"/>
          <w:i/>
          <w:sz w:val="24"/>
          <w:szCs w:val="24"/>
        </w:rPr>
        <w:t>J Anim Sci</w:t>
      </w:r>
      <w:r w:rsidRPr="0061358A">
        <w:rPr>
          <w:rFonts w:ascii="Times New Roman" w:hAnsi="Times New Roman" w:cs="Times New Roman"/>
          <w:sz w:val="24"/>
          <w:szCs w:val="24"/>
        </w:rPr>
        <w:t>. 2001;79:3087-95</w:t>
      </w:r>
    </w:p>
    <w:p w14:paraId="423D6A8E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3.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El-Khoury AE, Pereira PCM, Borgonha S, Basile-Filho A, Beaumier L, Wang SY, et al. Twenty-four–hour oral tracer studies with l-[1-13C]lysine at a low (15 mg • kg−1 • d−1) and intermediate (29 mg • kg−1 • d−1) lysine intake in healthy adults.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2000;72(1):122-30.</w:t>
      </w:r>
    </w:p>
    <w:p w14:paraId="60D3D432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4.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Borgonha S, Regan MM, Oh S-H, Condon M, Young VR. Threonine requirement of healthy adults, derived with a 24-h indicator amino acid balance technique.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2002;75(4):698-704.</w:t>
      </w:r>
    </w:p>
    <w:p w14:paraId="6355A040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5.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Kurpad AV, Raj T, Regan MM, Vasudevan J, Caszo B, Nazareth D, et al. Threonine requirements of healthy Indian men, measured by a 24-h indicator amino acid oxidation and balance technique.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2002a;76(4):789-97.</w:t>
      </w:r>
    </w:p>
    <w:p w14:paraId="619654A1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6.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Kurpad AV, Raj T, El-Khoury A, Kuriyan R, Maruthy K, Borgonha S, et al. Daily requirement for and splanchnic uptake of leucine in healthy adult Indians.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2001;74(6):747-55.</w:t>
      </w:r>
    </w:p>
    <w:p w14:paraId="18BA389C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7.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Kurpad AV, Regan MM, Raj T, El-Khoury A, Kuriyan R, Vaz M, et al. Lysine requirements of healthy adult Indian subjects receiving long-term feeding, measured with a 24-h indicator amino acid oxidation and balance technique.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2002b;76(2):404-12.</w:t>
      </w:r>
    </w:p>
    <w:p w14:paraId="29D89F7A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8.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Kurpad AV, Regan MM, Varalakshmi S, Gnanou J, Lingappa A, Young VR. Effect of cystine on the methionine requirement of healthy Indian men determined by using the 24-h indicator amino acid balance approach3. </w:t>
      </w:r>
      <w:r w:rsidRPr="0061358A">
        <w:rPr>
          <w:rFonts w:ascii="Times New Roman" w:hAnsi="Times New Roman" w:cs="Times New Roman"/>
          <w:i/>
          <w:sz w:val="24"/>
          <w:szCs w:val="24"/>
        </w:rPr>
        <w:t>The American Journal of Clinical Nutrition</w:t>
      </w:r>
      <w:r w:rsidRPr="0061358A">
        <w:rPr>
          <w:rFonts w:ascii="Times New Roman" w:hAnsi="Times New Roman" w:cs="Times New Roman"/>
          <w:sz w:val="24"/>
          <w:szCs w:val="24"/>
        </w:rPr>
        <w:t>. 2004;80(6):1526-35.</w:t>
      </w:r>
    </w:p>
    <w:p w14:paraId="7BC9BFE0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9.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Kurpad AV, Regan MM, Raj TD, Gnanou JV, Rao VN, Young VR. The daily valine requirement of healthy adult Indians determined by the 24-h indicator amino acid balance approach.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2005;82(2):373-9.</w:t>
      </w:r>
    </w:p>
    <w:p w14:paraId="5FDE6E73" w14:textId="77777777" w:rsidR="002167DD" w:rsidRPr="0061358A" w:rsidRDefault="002167DD" w:rsidP="006135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t>10.</w:t>
      </w:r>
      <w:r w:rsidRPr="0061358A">
        <w:rPr>
          <w:rFonts w:ascii="Times New Roman" w:hAnsi="Times New Roman" w:cs="Times New Roman"/>
          <w:sz w:val="24"/>
          <w:szCs w:val="24"/>
        </w:rPr>
        <w:tab/>
        <w:t xml:space="preserve">Kurpad AV, Regan MM, Raj TD, Rao VN, Gnanou J, Young VR. The daily phenylalanine requirement of healthy Indian adults. </w:t>
      </w:r>
      <w:r w:rsidRPr="0061358A">
        <w:rPr>
          <w:rFonts w:ascii="Times New Roman" w:hAnsi="Times New Roman" w:cs="Times New Roman"/>
          <w:i/>
          <w:sz w:val="24"/>
          <w:szCs w:val="24"/>
        </w:rPr>
        <w:t>Am J Clin Nutr</w:t>
      </w:r>
      <w:r w:rsidRPr="0061358A">
        <w:rPr>
          <w:rFonts w:ascii="Times New Roman" w:hAnsi="Times New Roman" w:cs="Times New Roman"/>
          <w:sz w:val="24"/>
          <w:szCs w:val="24"/>
        </w:rPr>
        <w:t>. 2006;83(6):1331-6.</w:t>
      </w:r>
    </w:p>
    <w:p w14:paraId="600FBD53" w14:textId="0A11971A" w:rsidR="00E255E7" w:rsidRPr="0061358A" w:rsidRDefault="00955BC6" w:rsidP="006135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8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E255E7" w:rsidRPr="0061358A" w:rsidSect="003C1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2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ar2e5ph5x009eftz0vv5fk5wstf0seeaft&quot;&gt;Factorial Model-Converted&lt;record-ids&gt;&lt;item&gt;45&lt;/item&gt;&lt;item&gt;48&lt;/item&gt;&lt;item&gt;52&lt;/item&gt;&lt;item&gt;61&lt;/item&gt;&lt;item&gt;62&lt;/item&gt;&lt;item&gt;63&lt;/item&gt;&lt;item&gt;64&lt;/item&gt;&lt;item&gt;65&lt;/item&gt;&lt;item&gt;109&lt;/item&gt;&lt;item&gt;151&lt;/item&gt;&lt;/record-ids&gt;&lt;/item&gt;&lt;/Libraries&gt;"/>
  </w:docVars>
  <w:rsids>
    <w:rsidRoot w:val="00233A6C"/>
    <w:rsid w:val="000125A2"/>
    <w:rsid w:val="00035ADF"/>
    <w:rsid w:val="000C2DB2"/>
    <w:rsid w:val="000E762C"/>
    <w:rsid w:val="000F2D9C"/>
    <w:rsid w:val="0012499D"/>
    <w:rsid w:val="001340D8"/>
    <w:rsid w:val="001F3AD1"/>
    <w:rsid w:val="002167DD"/>
    <w:rsid w:val="00233A6C"/>
    <w:rsid w:val="002544EF"/>
    <w:rsid w:val="0026670F"/>
    <w:rsid w:val="002E11AA"/>
    <w:rsid w:val="00311E46"/>
    <w:rsid w:val="00384C30"/>
    <w:rsid w:val="003B78AC"/>
    <w:rsid w:val="003C120C"/>
    <w:rsid w:val="00483645"/>
    <w:rsid w:val="00553649"/>
    <w:rsid w:val="00566419"/>
    <w:rsid w:val="0061358A"/>
    <w:rsid w:val="0064765E"/>
    <w:rsid w:val="00655F02"/>
    <w:rsid w:val="00671B26"/>
    <w:rsid w:val="00673187"/>
    <w:rsid w:val="006C7028"/>
    <w:rsid w:val="007505C2"/>
    <w:rsid w:val="007556B2"/>
    <w:rsid w:val="00804C8E"/>
    <w:rsid w:val="00836F87"/>
    <w:rsid w:val="00845C62"/>
    <w:rsid w:val="00886786"/>
    <w:rsid w:val="00942F43"/>
    <w:rsid w:val="00955BC6"/>
    <w:rsid w:val="009A0C85"/>
    <w:rsid w:val="00A7556C"/>
    <w:rsid w:val="00AD2549"/>
    <w:rsid w:val="00B21FDF"/>
    <w:rsid w:val="00B536C6"/>
    <w:rsid w:val="00C13E15"/>
    <w:rsid w:val="00C4041E"/>
    <w:rsid w:val="00C4435C"/>
    <w:rsid w:val="00C71F3D"/>
    <w:rsid w:val="00C922DF"/>
    <w:rsid w:val="00C95FEF"/>
    <w:rsid w:val="00E255E7"/>
    <w:rsid w:val="00E55C3E"/>
    <w:rsid w:val="00EA4946"/>
    <w:rsid w:val="00F000DC"/>
    <w:rsid w:val="00F1559D"/>
    <w:rsid w:val="00F15CC4"/>
    <w:rsid w:val="00F60A87"/>
    <w:rsid w:val="00FA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A746"/>
  <w15:chartTrackingRefBased/>
  <w15:docId w15:val="{43C90ECD-1AFA-4197-B656-4CBFCAA3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NZ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A6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A6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A6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3A6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3A6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3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A6C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955BC6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5BC6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55BC6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55BC6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4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Starck</dc:creator>
  <cp:keywords/>
  <dc:description/>
  <cp:lastModifiedBy>Carlene Starck</cp:lastModifiedBy>
  <cp:revision>44</cp:revision>
  <dcterms:created xsi:type="dcterms:W3CDTF">2024-10-02T06:23:00Z</dcterms:created>
  <dcterms:modified xsi:type="dcterms:W3CDTF">2024-10-08T19:47:00Z</dcterms:modified>
</cp:coreProperties>
</file>