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864AD2A" w14:textId="65DA042F" w:rsidR="00C97E72" w:rsidRDefault="00C97E72" w:rsidP="00C97E72">
      <w:pPr>
        <w:pStyle w:val="Articletitle"/>
        <w:spacing w:line="480" w:lineRule="auto"/>
        <w:rPr>
          <w:rFonts w:eastAsia="Cambria"/>
        </w:rPr>
      </w:pPr>
      <w:r>
        <w:rPr>
          <w:rFonts w:eastAsia="Cambria"/>
        </w:rPr>
        <w:t xml:space="preserve">Performing </w:t>
      </w:r>
      <w:proofErr w:type="spellStart"/>
      <w:r>
        <w:rPr>
          <w:rFonts w:eastAsia="Cambria"/>
        </w:rPr>
        <w:t>Te</w:t>
      </w:r>
      <w:proofErr w:type="spellEnd"/>
      <w:r>
        <w:rPr>
          <w:rFonts w:eastAsia="Cambria"/>
        </w:rPr>
        <w:t xml:space="preserve"> Whare Tapa </w:t>
      </w:r>
      <w:proofErr w:type="spellStart"/>
      <w:r>
        <w:rPr>
          <w:rFonts w:eastAsia="Cambria"/>
        </w:rPr>
        <w:t>Whā</w:t>
      </w:r>
      <w:proofErr w:type="spellEnd"/>
      <w:r>
        <w:rPr>
          <w:rFonts w:eastAsia="Cambria"/>
        </w:rPr>
        <w:t xml:space="preserve">: </w:t>
      </w:r>
      <w:r w:rsidR="0080244D">
        <w:t xml:space="preserve">Building on Cultural Rights to </w:t>
      </w:r>
      <w:r>
        <w:rPr>
          <w:rFonts w:eastAsia="Cambria"/>
        </w:rPr>
        <w:t>Decolonis</w:t>
      </w:r>
      <w:r w:rsidR="0080244D">
        <w:rPr>
          <w:rFonts w:eastAsia="Cambria"/>
        </w:rPr>
        <w:t>e</w:t>
      </w:r>
      <w:r>
        <w:rPr>
          <w:rFonts w:eastAsia="Cambria"/>
        </w:rPr>
        <w:t xml:space="preserve"> </w:t>
      </w:r>
      <w:r w:rsidR="009C599B">
        <w:rPr>
          <w:rFonts w:eastAsia="Cambria"/>
        </w:rPr>
        <w:t xml:space="preserve">Prison </w:t>
      </w:r>
      <w:r w:rsidR="00931CAC">
        <w:rPr>
          <w:rFonts w:eastAsia="Cambria"/>
        </w:rPr>
        <w:t>Theatre</w:t>
      </w:r>
      <w:r w:rsidR="00E96683">
        <w:rPr>
          <w:rFonts w:eastAsia="Cambria"/>
        </w:rPr>
        <w:t xml:space="preserve"> Practice</w:t>
      </w:r>
    </w:p>
    <w:p w14:paraId="1FB9F6F3" w14:textId="3CC6AD74" w:rsidR="00DD4197" w:rsidRPr="00DD4197" w:rsidRDefault="00DD4197" w:rsidP="00DD4197">
      <w:pPr>
        <w:spacing w:before="360" w:after="300" w:line="480" w:lineRule="auto"/>
        <w:ind w:left="720" w:right="567"/>
        <w:rPr>
          <w:rFonts w:eastAsia="Cambria"/>
          <w:sz w:val="22"/>
          <w:highlight w:val="white"/>
          <w:lang w:val="en-AU"/>
        </w:rPr>
      </w:pPr>
      <w:proofErr w:type="spellStart"/>
      <w:r w:rsidRPr="00DD4197">
        <w:rPr>
          <w:rFonts w:eastAsia="Cambria"/>
          <w:i/>
          <w:sz w:val="22"/>
          <w:lang w:val="en-AU"/>
        </w:rPr>
        <w:t>Ngā</w:t>
      </w:r>
      <w:proofErr w:type="spellEnd"/>
      <w:r w:rsidRPr="00DD4197">
        <w:rPr>
          <w:rFonts w:eastAsia="Cambria"/>
          <w:i/>
          <w:sz w:val="22"/>
          <w:lang w:val="en-AU"/>
        </w:rPr>
        <w:t xml:space="preserve"> </w:t>
      </w:r>
      <w:proofErr w:type="spellStart"/>
      <w:r w:rsidRPr="00DD4197">
        <w:rPr>
          <w:rFonts w:eastAsia="Cambria"/>
          <w:i/>
          <w:sz w:val="22"/>
          <w:lang w:val="en-AU"/>
        </w:rPr>
        <w:t>Pātū</w:t>
      </w:r>
      <w:proofErr w:type="spellEnd"/>
      <w:r w:rsidRPr="00DD4197">
        <w:rPr>
          <w:rFonts w:eastAsia="Cambria"/>
          <w:i/>
          <w:sz w:val="22"/>
          <w:lang w:val="en-AU"/>
        </w:rPr>
        <w:t xml:space="preserve"> </w:t>
      </w:r>
      <w:proofErr w:type="spellStart"/>
      <w:r w:rsidRPr="00DD4197">
        <w:rPr>
          <w:rFonts w:eastAsia="Cambria"/>
          <w:i/>
          <w:sz w:val="22"/>
          <w:lang w:val="en-AU"/>
        </w:rPr>
        <w:t>Kōrero</w:t>
      </w:r>
      <w:proofErr w:type="spellEnd"/>
      <w:r w:rsidRPr="00DD4197">
        <w:rPr>
          <w:rFonts w:eastAsia="Cambria"/>
          <w:i/>
          <w:sz w:val="22"/>
          <w:lang w:val="en-AU"/>
        </w:rPr>
        <w:t xml:space="preserve">: Walls That Talk </w:t>
      </w:r>
      <w:r w:rsidRPr="00DD4197">
        <w:rPr>
          <w:rFonts w:eastAsia="Cambria"/>
          <w:sz w:val="22"/>
          <w:lang w:val="en-AU"/>
        </w:rPr>
        <w:t xml:space="preserve">(2019) is a documentary theatre production staged by incarcerated men at Unit 8 </w:t>
      </w:r>
      <w:proofErr w:type="spellStart"/>
      <w:r w:rsidRPr="00DD4197">
        <w:rPr>
          <w:rFonts w:eastAsia="Cambria"/>
          <w:sz w:val="22"/>
          <w:lang w:val="en-AU"/>
        </w:rPr>
        <w:t>Te</w:t>
      </w:r>
      <w:proofErr w:type="spellEnd"/>
      <w:r w:rsidRPr="00DD4197">
        <w:rPr>
          <w:rFonts w:eastAsia="Cambria"/>
          <w:sz w:val="22"/>
          <w:lang w:val="en-AU"/>
        </w:rPr>
        <w:t xml:space="preserve"> </w:t>
      </w:r>
      <w:proofErr w:type="spellStart"/>
      <w:r w:rsidRPr="00DD4197">
        <w:rPr>
          <w:rFonts w:eastAsia="Cambria"/>
          <w:sz w:val="22"/>
          <w:lang w:val="en-AU"/>
        </w:rPr>
        <w:t>Piriti</w:t>
      </w:r>
      <w:proofErr w:type="spellEnd"/>
      <w:r w:rsidRPr="00DD4197">
        <w:rPr>
          <w:rFonts w:eastAsia="Cambria"/>
          <w:sz w:val="22"/>
          <w:lang w:val="en-AU"/>
        </w:rPr>
        <w:t xml:space="preserve"> at Auckland Prison in Aotearoa New Zealand. The performance was built around </w:t>
      </w:r>
      <w:proofErr w:type="spellStart"/>
      <w:r w:rsidRPr="00DD4197">
        <w:rPr>
          <w:rFonts w:eastAsia="Cambria"/>
          <w:sz w:val="22"/>
          <w:lang w:val="en-AU"/>
        </w:rPr>
        <w:t>Te</w:t>
      </w:r>
      <w:proofErr w:type="spellEnd"/>
      <w:r w:rsidRPr="00DD4197">
        <w:rPr>
          <w:rFonts w:eastAsia="Cambria"/>
          <w:sz w:val="22"/>
          <w:lang w:val="en-AU"/>
        </w:rPr>
        <w:t xml:space="preserve"> Whare Tapa </w:t>
      </w:r>
      <w:proofErr w:type="spellStart"/>
      <w:r w:rsidRPr="00DD4197">
        <w:rPr>
          <w:rFonts w:eastAsia="Cambria"/>
          <w:sz w:val="22"/>
          <w:lang w:val="en-AU"/>
        </w:rPr>
        <w:t>Wha</w:t>
      </w:r>
      <w:proofErr w:type="spellEnd"/>
      <w:r w:rsidRPr="00DD4197">
        <w:rPr>
          <w:rFonts w:eastAsia="Cambria"/>
          <w:sz w:val="22"/>
          <w:lang w:val="en-AU"/>
        </w:rPr>
        <w:t xml:space="preserve">̄ (The House of Four Sides) – a model of </w:t>
      </w:r>
      <w:proofErr w:type="spellStart"/>
      <w:r w:rsidRPr="00DD4197">
        <w:rPr>
          <w:rFonts w:eastAsia="Cambria"/>
          <w:sz w:val="22"/>
          <w:lang w:val="en-AU"/>
        </w:rPr>
        <w:t>Māori</w:t>
      </w:r>
      <w:proofErr w:type="spellEnd"/>
      <w:r w:rsidRPr="00DD4197">
        <w:rPr>
          <w:rFonts w:eastAsia="Cambria"/>
          <w:sz w:val="22"/>
          <w:lang w:val="en-AU"/>
        </w:rPr>
        <w:t xml:space="preserve"> health </w:t>
      </w:r>
      <w:r>
        <w:rPr>
          <w:rFonts w:eastAsia="Cambria"/>
          <w:sz w:val="22"/>
          <w:lang w:val="en-AU"/>
        </w:rPr>
        <w:t xml:space="preserve">that </w:t>
      </w:r>
      <w:r w:rsidRPr="00DD4197">
        <w:rPr>
          <w:rFonts w:eastAsia="Cambria"/>
          <w:sz w:val="22"/>
          <w:lang w:val="en-AU"/>
        </w:rPr>
        <w:t xml:space="preserve">participants engaged with as part of their therapy for being convicted of sex offences. This article discusses the use of masks in performance and the significance of </w:t>
      </w:r>
      <w:proofErr w:type="spellStart"/>
      <w:r w:rsidRPr="00DD4197">
        <w:rPr>
          <w:rFonts w:eastAsia="Cambria"/>
          <w:sz w:val="22"/>
          <w:lang w:val="en-AU"/>
        </w:rPr>
        <w:t>Te</w:t>
      </w:r>
      <w:proofErr w:type="spellEnd"/>
      <w:r w:rsidRPr="00DD4197">
        <w:rPr>
          <w:rFonts w:eastAsia="Cambria"/>
          <w:sz w:val="22"/>
          <w:lang w:val="en-AU"/>
        </w:rPr>
        <w:t xml:space="preserve"> Whare Tapa </w:t>
      </w:r>
      <w:proofErr w:type="spellStart"/>
      <w:r w:rsidRPr="00DD4197">
        <w:rPr>
          <w:rFonts w:eastAsia="Cambria"/>
          <w:sz w:val="22"/>
          <w:lang w:val="en-AU"/>
        </w:rPr>
        <w:t>Whā</w:t>
      </w:r>
      <w:proofErr w:type="spellEnd"/>
      <w:r w:rsidRPr="00DD4197">
        <w:rPr>
          <w:rFonts w:eastAsia="Cambria"/>
          <w:sz w:val="22"/>
          <w:lang w:val="en-AU"/>
        </w:rPr>
        <w:t xml:space="preserve"> as a dramaturgical device. What insights for decolonising prison theatre practices can be advanced by building on foundations of cultural rights? </w:t>
      </w:r>
    </w:p>
    <w:p w14:paraId="6B374FA6" w14:textId="3950E882" w:rsidR="002C5F67" w:rsidRPr="004860C9" w:rsidRDefault="002C5F67" w:rsidP="001A1069">
      <w:pPr>
        <w:pStyle w:val="Keywords"/>
        <w:spacing w:line="480" w:lineRule="auto"/>
        <w:rPr>
          <w:rFonts w:eastAsia="Cambria"/>
        </w:rPr>
      </w:pPr>
      <w:r>
        <w:rPr>
          <w:rFonts w:eastAsia="Cambria"/>
        </w:rPr>
        <w:t xml:space="preserve">Keywords: applied theatre; prison theatre; </w:t>
      </w:r>
      <w:r w:rsidR="00C97E72">
        <w:rPr>
          <w:rFonts w:eastAsia="Cambria"/>
        </w:rPr>
        <w:t>sex offender treatment</w:t>
      </w:r>
      <w:r>
        <w:rPr>
          <w:rFonts w:eastAsia="Cambria"/>
        </w:rPr>
        <w:t>; decolonising methodologies</w:t>
      </w:r>
      <w:r w:rsidR="00931CAC">
        <w:rPr>
          <w:rFonts w:eastAsia="Cambria"/>
        </w:rPr>
        <w:t>;</w:t>
      </w:r>
      <w:r w:rsidR="007125CA">
        <w:rPr>
          <w:rFonts w:eastAsia="Cambria"/>
        </w:rPr>
        <w:t xml:space="preserve"> Māori knowledge.</w:t>
      </w:r>
    </w:p>
    <w:p w14:paraId="565FA853" w14:textId="79DB8C95" w:rsidR="00D67E3A" w:rsidRDefault="002C5F67" w:rsidP="00116165">
      <w:pPr>
        <w:pStyle w:val="Heading1"/>
        <w:spacing w:line="480" w:lineRule="auto"/>
        <w:rPr>
          <w:rFonts w:eastAsia="Cambria"/>
        </w:rPr>
      </w:pPr>
      <w:r>
        <w:rPr>
          <w:rFonts w:eastAsia="Cambria"/>
        </w:rPr>
        <w:t xml:space="preserve">Introduction </w:t>
      </w:r>
    </w:p>
    <w:p w14:paraId="7C25C10C" w14:textId="79CEE03E" w:rsidR="00D67E3A" w:rsidRDefault="00D67E3A" w:rsidP="00270B65">
      <w:pPr>
        <w:pStyle w:val="Newparagraph"/>
        <w:spacing w:line="480" w:lineRule="auto"/>
        <w:ind w:firstLine="0"/>
        <w:rPr>
          <w:rFonts w:eastAsia="Cambria"/>
        </w:rPr>
      </w:pPr>
      <w:r w:rsidRPr="001A1069">
        <w:rPr>
          <w:rFonts w:eastAsia="Cambria"/>
        </w:rPr>
        <w:t xml:space="preserve">On 14 June 2019, a small cast of mainly Māori incarcerated men staged a documentary theatre production at Unit 8 Te Piriti located at Auckland Prison, Paremoremo (Aotearoa New Zealand). Entitled </w:t>
      </w:r>
      <w:proofErr w:type="spellStart"/>
      <w:r w:rsidRPr="00AA5746">
        <w:rPr>
          <w:rFonts w:eastAsia="Cambria"/>
          <w:i/>
          <w:iCs/>
        </w:rPr>
        <w:t>Ngā</w:t>
      </w:r>
      <w:proofErr w:type="spellEnd"/>
      <w:r w:rsidRPr="00AA5746">
        <w:rPr>
          <w:rFonts w:eastAsia="Cambria"/>
          <w:i/>
          <w:iCs/>
        </w:rPr>
        <w:t xml:space="preserve"> </w:t>
      </w:r>
      <w:proofErr w:type="spellStart"/>
      <w:r w:rsidRPr="00AA5746">
        <w:rPr>
          <w:rFonts w:eastAsia="Cambria"/>
          <w:i/>
          <w:iCs/>
        </w:rPr>
        <w:t>Pātū</w:t>
      </w:r>
      <w:proofErr w:type="spellEnd"/>
      <w:r w:rsidRPr="00AA5746">
        <w:rPr>
          <w:rFonts w:eastAsia="Cambria"/>
          <w:i/>
          <w:iCs/>
        </w:rPr>
        <w:t xml:space="preserve"> </w:t>
      </w:r>
      <w:proofErr w:type="spellStart"/>
      <w:r w:rsidRPr="00AA5746">
        <w:rPr>
          <w:rFonts w:eastAsia="Cambria"/>
          <w:i/>
          <w:iCs/>
        </w:rPr>
        <w:t>Kōrero</w:t>
      </w:r>
      <w:proofErr w:type="spellEnd"/>
      <w:r w:rsidRPr="00AA5746">
        <w:rPr>
          <w:rFonts w:eastAsia="Cambria"/>
          <w:i/>
          <w:iCs/>
        </w:rPr>
        <w:t xml:space="preserve">: Walls That Talk </w:t>
      </w:r>
      <w:r w:rsidRPr="001A1069">
        <w:rPr>
          <w:rFonts w:eastAsia="Cambria"/>
        </w:rPr>
        <w:t>(2019), the production was devised from verbatim responses to interviews conducted with members of Unit 8 Te Piriti, a specialist therapy unit for those convicted of sex offences.</w:t>
      </w:r>
      <w:r>
        <w:rPr>
          <w:rStyle w:val="FootnoteReference"/>
          <w:rFonts w:eastAsia="Cambria"/>
        </w:rPr>
        <w:footnoteReference w:id="1"/>
      </w:r>
      <w:r w:rsidRPr="001A1069">
        <w:rPr>
          <w:rFonts w:eastAsia="Cambria"/>
        </w:rPr>
        <w:t xml:space="preserve"> </w:t>
      </w:r>
      <w:r w:rsidR="009C599B">
        <w:rPr>
          <w:rFonts w:eastAsia="Cambria"/>
        </w:rPr>
        <w:t xml:space="preserve">Sarah </w:t>
      </w:r>
      <w:r w:rsidR="009C599B">
        <w:rPr>
          <w:rFonts w:eastAsia="Cambria"/>
        </w:rPr>
        <w:lastRenderedPageBreak/>
        <w:t xml:space="preserve">Woodland helped to facilitate the early workshops and the creative engagement with the </w:t>
      </w:r>
      <w:r w:rsidR="0080244D">
        <w:rPr>
          <w:rFonts w:eastAsia="Cambria"/>
        </w:rPr>
        <w:t xml:space="preserve">audio </w:t>
      </w:r>
      <w:r w:rsidR="009C599B">
        <w:rPr>
          <w:rFonts w:eastAsia="Cambria"/>
        </w:rPr>
        <w:t>recording process.</w:t>
      </w:r>
      <w:r w:rsidR="00230A5A">
        <w:rPr>
          <w:rStyle w:val="FootnoteReference"/>
          <w:rFonts w:eastAsia="Cambria"/>
        </w:rPr>
        <w:footnoteReference w:id="2"/>
      </w:r>
      <w:r w:rsidR="009C599B">
        <w:rPr>
          <w:rFonts w:eastAsia="Cambria"/>
        </w:rPr>
        <w:t xml:space="preserve"> </w:t>
      </w:r>
      <w:r w:rsidRPr="001A1069">
        <w:rPr>
          <w:rFonts w:eastAsia="Cambria"/>
        </w:rPr>
        <w:t xml:space="preserve">The verbatim responses and focus on spoken word were counterposed in production with the use of masks to enhance the physical skills and expressiveness of the performers under the guidance of mask practitioner Pedro </w:t>
      </w:r>
      <w:proofErr w:type="spellStart"/>
      <w:r w:rsidRPr="001A1069">
        <w:rPr>
          <w:rFonts w:eastAsia="Cambria"/>
        </w:rPr>
        <w:t>Ilgenfritz</w:t>
      </w:r>
      <w:proofErr w:type="spellEnd"/>
      <w:r w:rsidRPr="001A1069">
        <w:rPr>
          <w:rFonts w:eastAsia="Cambria"/>
        </w:rPr>
        <w:t xml:space="preserve">. The final production </w:t>
      </w:r>
      <w:r w:rsidR="00D428B3">
        <w:rPr>
          <w:rFonts w:eastAsia="Cambria"/>
        </w:rPr>
        <w:t xml:space="preserve">was directed by Rand Hazou and </w:t>
      </w:r>
      <w:r w:rsidRPr="001A1069">
        <w:rPr>
          <w:rFonts w:eastAsia="Cambria"/>
        </w:rPr>
        <w:t xml:space="preserve">presented to an audience of prison staff, incarcerated members of the prison community, and invited guests. </w:t>
      </w:r>
    </w:p>
    <w:p w14:paraId="78B54781" w14:textId="4B93D988" w:rsidR="00D67E3A" w:rsidRDefault="00D67E3A" w:rsidP="00D67E3A">
      <w:pPr>
        <w:pStyle w:val="Newparagraph"/>
        <w:spacing w:line="480" w:lineRule="auto"/>
        <w:rPr>
          <w:rFonts w:eastAsia="Cambria"/>
        </w:rPr>
      </w:pPr>
      <w:r>
        <w:rPr>
          <w:rFonts w:eastAsia="Cambria"/>
        </w:rPr>
        <w:t>As non-Māori artists involved in facilitating a documentary theatre project in prison</w:t>
      </w:r>
      <w:r w:rsidR="00045945">
        <w:rPr>
          <w:rFonts w:eastAsia="Cambria"/>
        </w:rPr>
        <w:t>,</w:t>
      </w:r>
      <w:r>
        <w:rPr>
          <w:rFonts w:eastAsia="Cambria"/>
        </w:rPr>
        <w:t xml:space="preserve"> we were particularly sensitive to the colonial legacies and ongoing impacts of incarceration in New Zealand. As such, the creative process was guided by a</w:t>
      </w:r>
      <w:r w:rsidR="00F1731C">
        <w:rPr>
          <w:rFonts w:eastAsia="Cambria"/>
        </w:rPr>
        <w:t xml:space="preserve"> decolonising approach </w:t>
      </w:r>
      <w:r w:rsidR="005218BC">
        <w:rPr>
          <w:rFonts w:eastAsia="Cambria"/>
        </w:rPr>
        <w:t>and</w:t>
      </w:r>
      <w:r w:rsidR="00F1731C">
        <w:rPr>
          <w:rFonts w:eastAsia="Cambria"/>
        </w:rPr>
        <w:t xml:space="preserve"> </w:t>
      </w:r>
      <w:r w:rsidR="005218BC">
        <w:rPr>
          <w:rFonts w:eastAsia="Cambria"/>
        </w:rPr>
        <w:t>an</w:t>
      </w:r>
      <w:r w:rsidR="00F1731C">
        <w:rPr>
          <w:rFonts w:eastAsia="Cambria"/>
        </w:rPr>
        <w:t xml:space="preserve"> </w:t>
      </w:r>
      <w:r>
        <w:rPr>
          <w:rFonts w:eastAsia="Cambria"/>
        </w:rPr>
        <w:t xml:space="preserve">acknowledgement of Māori protocols which ‘privileges Māori knowledge and ways of being’ (Smith 2008, 120). This informed how we structured the different phases of the creative process, beginning with the devising workshops that were aimed at privileging the knowledge and expertise of the participants and empowering them to make creative choices about the focus and possible themes of the performance. </w:t>
      </w:r>
    </w:p>
    <w:p w14:paraId="47289870" w14:textId="5F396820" w:rsidR="00D428B3" w:rsidRDefault="00D67E3A" w:rsidP="00D0414B">
      <w:pPr>
        <w:pStyle w:val="Newparagraph"/>
        <w:spacing w:line="480" w:lineRule="auto"/>
        <w:rPr>
          <w:rFonts w:eastAsia="Cambria"/>
        </w:rPr>
      </w:pPr>
      <w:r>
        <w:rPr>
          <w:rFonts w:eastAsia="Cambria"/>
        </w:rPr>
        <w:t xml:space="preserve">One of the key ideas that emerged in an early workshop with the prison actors was </w:t>
      </w:r>
      <w:proofErr w:type="spellStart"/>
      <w:r>
        <w:rPr>
          <w:rFonts w:eastAsia="Cambria"/>
        </w:rPr>
        <w:t>Te</w:t>
      </w:r>
      <w:proofErr w:type="spellEnd"/>
      <w:r>
        <w:rPr>
          <w:rFonts w:eastAsia="Cambria"/>
        </w:rPr>
        <w:t xml:space="preserve"> Whare Tapa </w:t>
      </w:r>
      <w:proofErr w:type="spellStart"/>
      <w:r>
        <w:rPr>
          <w:rFonts w:eastAsia="Cambria"/>
        </w:rPr>
        <w:t>Wha</w:t>
      </w:r>
      <w:proofErr w:type="spellEnd"/>
      <w:r>
        <w:rPr>
          <w:rFonts w:eastAsia="Cambria"/>
        </w:rPr>
        <w:t xml:space="preserve">̄ (The House of Four Sides) – a model of </w:t>
      </w:r>
      <w:proofErr w:type="spellStart"/>
      <w:r>
        <w:rPr>
          <w:rFonts w:eastAsia="Cambria"/>
        </w:rPr>
        <w:t>Māori</w:t>
      </w:r>
      <w:proofErr w:type="spellEnd"/>
      <w:r>
        <w:rPr>
          <w:rFonts w:eastAsia="Cambria"/>
        </w:rPr>
        <w:t xml:space="preserve"> health developed by Sir Mason Durie (1994). This </w:t>
      </w:r>
      <w:r w:rsidR="00C97E72">
        <w:rPr>
          <w:rFonts w:eastAsia="Cambria"/>
        </w:rPr>
        <w:t xml:space="preserve">Indigenous </w:t>
      </w:r>
      <w:r>
        <w:rPr>
          <w:rFonts w:eastAsia="Cambria"/>
        </w:rPr>
        <w:t>model of wellbeing uses the metaphor of the wharenui or meeting house with four walls or sides</w:t>
      </w:r>
      <w:r w:rsidR="00AC5828">
        <w:rPr>
          <w:rFonts w:eastAsia="Cambria"/>
        </w:rPr>
        <w:t xml:space="preserve"> (Fig.1)</w:t>
      </w:r>
      <w:r>
        <w:rPr>
          <w:rFonts w:eastAsia="Cambria"/>
        </w:rPr>
        <w:t xml:space="preserve">. These walls include taha </w:t>
      </w:r>
      <w:proofErr w:type="spellStart"/>
      <w:r>
        <w:rPr>
          <w:rFonts w:eastAsia="Cambria"/>
        </w:rPr>
        <w:t>tinana</w:t>
      </w:r>
      <w:proofErr w:type="spellEnd"/>
      <w:r>
        <w:rPr>
          <w:rFonts w:eastAsia="Cambria"/>
        </w:rPr>
        <w:t xml:space="preserve"> (physical health), taha </w:t>
      </w:r>
      <w:proofErr w:type="spellStart"/>
      <w:r>
        <w:rPr>
          <w:rFonts w:eastAsia="Cambria"/>
        </w:rPr>
        <w:t>wairua</w:t>
      </w:r>
      <w:proofErr w:type="spellEnd"/>
      <w:r>
        <w:rPr>
          <w:rFonts w:eastAsia="Cambria"/>
        </w:rPr>
        <w:t xml:space="preserve"> (spiritual health), taha </w:t>
      </w:r>
      <w:proofErr w:type="spellStart"/>
      <w:r>
        <w:rPr>
          <w:rFonts w:eastAsia="Cambria"/>
        </w:rPr>
        <w:t>hinengaro</w:t>
      </w:r>
      <w:proofErr w:type="spellEnd"/>
      <w:r>
        <w:rPr>
          <w:rFonts w:eastAsia="Cambria"/>
        </w:rPr>
        <w:t xml:space="preserve"> (mental</w:t>
      </w:r>
      <w:r w:rsidR="00321DA7">
        <w:rPr>
          <w:rFonts w:eastAsia="Cambria"/>
        </w:rPr>
        <w:t xml:space="preserve"> </w:t>
      </w:r>
      <w:r>
        <w:rPr>
          <w:rFonts w:eastAsia="Cambria"/>
        </w:rPr>
        <w:t xml:space="preserve">health), and taha </w:t>
      </w:r>
      <w:proofErr w:type="spellStart"/>
      <w:r>
        <w:rPr>
          <w:rFonts w:eastAsia="Cambria"/>
        </w:rPr>
        <w:t>whānau</w:t>
      </w:r>
      <w:proofErr w:type="spellEnd"/>
      <w:r>
        <w:rPr>
          <w:rFonts w:eastAsia="Cambria"/>
        </w:rPr>
        <w:t xml:space="preserve"> (</w:t>
      </w:r>
      <w:r w:rsidR="00321DA7">
        <w:rPr>
          <w:rFonts w:eastAsia="Cambria"/>
        </w:rPr>
        <w:t xml:space="preserve">social </w:t>
      </w:r>
      <w:r>
        <w:rPr>
          <w:rFonts w:eastAsia="Cambria"/>
        </w:rPr>
        <w:t xml:space="preserve">health). Within this holistic model, each wall is </w:t>
      </w:r>
      <w:r w:rsidR="00321DA7">
        <w:rPr>
          <w:rFonts w:eastAsia="Cambria"/>
        </w:rPr>
        <w:lastRenderedPageBreak/>
        <w:t>integral to the integrity of the entire</w:t>
      </w:r>
      <w:r>
        <w:rPr>
          <w:rFonts w:eastAsia="Cambria"/>
        </w:rPr>
        <w:t xml:space="preserve"> building.</w:t>
      </w:r>
      <w:r w:rsidR="008901D3">
        <w:rPr>
          <w:rStyle w:val="FootnoteReference"/>
          <w:rFonts w:eastAsia="Cambria"/>
        </w:rPr>
        <w:footnoteReference w:id="3"/>
      </w:r>
      <w:r w:rsidR="00321DA7" w:rsidRPr="00321DA7">
        <w:rPr>
          <w:rFonts w:eastAsia="Cambria"/>
        </w:rPr>
        <w:t xml:space="preserve"> </w:t>
      </w:r>
      <w:r w:rsidR="00F30893" w:rsidRPr="00F30893">
        <w:rPr>
          <w:rFonts w:eastAsia="Cambria"/>
        </w:rPr>
        <w:t xml:space="preserve">Embedded within Durie’s original model was the foundational notion of </w:t>
      </w:r>
      <w:r w:rsidR="0025323A">
        <w:rPr>
          <w:rFonts w:eastAsia="Cambria"/>
        </w:rPr>
        <w:t xml:space="preserve">the </w:t>
      </w:r>
      <w:r w:rsidR="00F30893" w:rsidRPr="00F30893">
        <w:rPr>
          <w:rFonts w:eastAsia="Cambria"/>
        </w:rPr>
        <w:t>whenua (land)</w:t>
      </w:r>
      <w:r w:rsidR="00F30893">
        <w:rPr>
          <w:rFonts w:eastAsia="Cambria"/>
        </w:rPr>
        <w:t xml:space="preserve"> </w:t>
      </w:r>
      <w:r w:rsidR="00864A70">
        <w:rPr>
          <w:rFonts w:eastAsia="Cambria"/>
        </w:rPr>
        <w:t>(</w:t>
      </w:r>
      <w:r w:rsidR="00864A70" w:rsidRPr="00864A70">
        <w:rPr>
          <w:rFonts w:eastAsia="Cambria"/>
        </w:rPr>
        <w:t xml:space="preserve">Higgins </w:t>
      </w:r>
      <w:r w:rsidR="00864A70">
        <w:rPr>
          <w:rFonts w:eastAsia="Cambria"/>
        </w:rPr>
        <w:t>and</w:t>
      </w:r>
      <w:r w:rsidR="00864A70" w:rsidRPr="00864A70">
        <w:rPr>
          <w:rFonts w:eastAsia="Cambria"/>
        </w:rPr>
        <w:t xml:space="preserve"> Goodall 2021</w:t>
      </w:r>
      <w:r w:rsidR="000F3E69">
        <w:rPr>
          <w:rFonts w:eastAsia="Cambria"/>
        </w:rPr>
        <w:t>, 3</w:t>
      </w:r>
      <w:r w:rsidR="00864A70" w:rsidRPr="00864A70">
        <w:rPr>
          <w:rFonts w:eastAsia="Cambria"/>
        </w:rPr>
        <w:t>)</w:t>
      </w:r>
      <w:r w:rsidR="00864A70">
        <w:rPr>
          <w:rFonts w:eastAsia="Cambria"/>
        </w:rPr>
        <w:t>.</w:t>
      </w:r>
      <w:r w:rsidR="00D0414B">
        <w:rPr>
          <w:rFonts w:eastAsia="Cambria"/>
        </w:rPr>
        <w:t xml:space="preserve"> </w:t>
      </w:r>
      <w:r w:rsidR="00864A70">
        <w:rPr>
          <w:rFonts w:eastAsia="Cambria"/>
        </w:rPr>
        <w:t xml:space="preserve">This </w:t>
      </w:r>
      <w:r w:rsidR="00D0414B">
        <w:rPr>
          <w:rFonts w:eastAsia="Cambria"/>
        </w:rPr>
        <w:t xml:space="preserve">underscores </w:t>
      </w:r>
      <w:r w:rsidR="00864A70">
        <w:rPr>
          <w:rFonts w:eastAsia="Cambria"/>
        </w:rPr>
        <w:t>how</w:t>
      </w:r>
      <w:r w:rsidR="00D0414B">
        <w:rPr>
          <w:rFonts w:eastAsia="Cambria"/>
        </w:rPr>
        <w:t xml:space="preserve"> in </w:t>
      </w:r>
      <w:proofErr w:type="spellStart"/>
      <w:r w:rsidR="00D0414B" w:rsidRPr="00D0414B">
        <w:rPr>
          <w:rFonts w:eastAsia="Cambria"/>
          <w:i/>
          <w:iCs/>
        </w:rPr>
        <w:t>Te</w:t>
      </w:r>
      <w:proofErr w:type="spellEnd"/>
      <w:r w:rsidR="00D0414B" w:rsidRPr="00D0414B">
        <w:rPr>
          <w:rFonts w:eastAsia="Cambria"/>
          <w:i/>
          <w:iCs/>
        </w:rPr>
        <w:t xml:space="preserve"> </w:t>
      </w:r>
      <w:proofErr w:type="spellStart"/>
      <w:r w:rsidR="00D0414B" w:rsidRPr="00D0414B">
        <w:rPr>
          <w:rFonts w:eastAsia="Cambria"/>
          <w:i/>
          <w:iCs/>
        </w:rPr>
        <w:t>Ao</w:t>
      </w:r>
      <w:proofErr w:type="spellEnd"/>
      <w:r w:rsidR="00D0414B" w:rsidRPr="00D0414B">
        <w:rPr>
          <w:rFonts w:eastAsia="Cambria"/>
          <w:i/>
          <w:iCs/>
        </w:rPr>
        <w:t xml:space="preserve"> </w:t>
      </w:r>
      <w:proofErr w:type="spellStart"/>
      <w:r w:rsidR="00D0414B" w:rsidRPr="00D0414B">
        <w:rPr>
          <w:rFonts w:eastAsia="Cambria"/>
          <w:i/>
          <w:iCs/>
        </w:rPr>
        <w:t>Māori</w:t>
      </w:r>
      <w:proofErr w:type="spellEnd"/>
      <w:r w:rsidR="00D0414B" w:rsidRPr="00D0414B">
        <w:rPr>
          <w:rFonts w:eastAsia="Cambria"/>
          <w:i/>
          <w:iCs/>
        </w:rPr>
        <w:t xml:space="preserve"> </w:t>
      </w:r>
      <w:r w:rsidR="00D0414B" w:rsidRPr="00D0414B">
        <w:rPr>
          <w:rFonts w:eastAsia="Cambria"/>
        </w:rPr>
        <w:t xml:space="preserve">(the </w:t>
      </w:r>
      <w:proofErr w:type="spellStart"/>
      <w:r w:rsidR="00D0414B" w:rsidRPr="00D0414B">
        <w:rPr>
          <w:rFonts w:eastAsia="Cambria"/>
        </w:rPr>
        <w:t>Māori</w:t>
      </w:r>
      <w:proofErr w:type="spellEnd"/>
      <w:r w:rsidR="00D0414B" w:rsidRPr="00D0414B">
        <w:rPr>
          <w:rFonts w:eastAsia="Cambria"/>
        </w:rPr>
        <w:t xml:space="preserve"> world),</w:t>
      </w:r>
      <w:r w:rsidR="00F30893">
        <w:rPr>
          <w:rFonts w:eastAsia="Cambria"/>
        </w:rPr>
        <w:t xml:space="preserve"> </w:t>
      </w:r>
      <w:r w:rsidR="0025323A">
        <w:rPr>
          <w:rFonts w:eastAsia="Cambria"/>
        </w:rPr>
        <w:t xml:space="preserve">dimensions of well-being are </w:t>
      </w:r>
      <w:r w:rsidR="00FE298D">
        <w:rPr>
          <w:rFonts w:eastAsia="Cambria"/>
        </w:rPr>
        <w:t xml:space="preserve">intimately </w:t>
      </w:r>
      <w:r w:rsidR="0025323A">
        <w:rPr>
          <w:rFonts w:eastAsia="Cambria"/>
        </w:rPr>
        <w:t xml:space="preserve">connected to </w:t>
      </w:r>
      <w:r w:rsidR="00307650">
        <w:rPr>
          <w:rFonts w:eastAsia="Cambria"/>
        </w:rPr>
        <w:t xml:space="preserve">notions of </w:t>
      </w:r>
      <w:r w:rsidR="00D0414B">
        <w:rPr>
          <w:rFonts w:eastAsia="Cambria"/>
        </w:rPr>
        <w:t xml:space="preserve">place and </w:t>
      </w:r>
      <w:r w:rsidR="0025323A">
        <w:rPr>
          <w:rFonts w:eastAsia="Cambria"/>
        </w:rPr>
        <w:t>belonging</w:t>
      </w:r>
      <w:r w:rsidR="00D0414B">
        <w:rPr>
          <w:rFonts w:eastAsia="Cambria"/>
        </w:rPr>
        <w:t xml:space="preserve">. </w:t>
      </w:r>
      <w:r>
        <w:rPr>
          <w:rFonts w:eastAsia="Cambria"/>
        </w:rPr>
        <w:t xml:space="preserve">The theatre participants engaged with this as part of their therapy in the </w:t>
      </w:r>
      <w:proofErr w:type="spellStart"/>
      <w:r w:rsidR="00045945">
        <w:rPr>
          <w:rFonts w:eastAsia="Cambria"/>
        </w:rPr>
        <w:t>Te</w:t>
      </w:r>
      <w:proofErr w:type="spellEnd"/>
      <w:r w:rsidR="00045945">
        <w:rPr>
          <w:rFonts w:eastAsia="Cambria"/>
        </w:rPr>
        <w:t xml:space="preserve"> </w:t>
      </w:r>
      <w:proofErr w:type="spellStart"/>
      <w:r w:rsidR="00045945">
        <w:rPr>
          <w:rFonts w:eastAsia="Cambria"/>
        </w:rPr>
        <w:t>Piriti</w:t>
      </w:r>
      <w:proofErr w:type="spellEnd"/>
      <w:r w:rsidR="00045945">
        <w:rPr>
          <w:rFonts w:eastAsia="Cambria"/>
        </w:rPr>
        <w:t xml:space="preserve"> </w:t>
      </w:r>
      <w:r>
        <w:rPr>
          <w:rFonts w:eastAsia="Cambria"/>
        </w:rPr>
        <w:t xml:space="preserve">unit. Indeed, the incorporation of Māori content and tikanga (cultural protocols) has been linked to the success of the unit’s sex offender treatment program, with an in-depth evaluation of the </w:t>
      </w:r>
      <w:proofErr w:type="spellStart"/>
      <w:r>
        <w:rPr>
          <w:rFonts w:eastAsia="Cambria"/>
        </w:rPr>
        <w:t>Te</w:t>
      </w:r>
      <w:proofErr w:type="spellEnd"/>
      <w:r>
        <w:rPr>
          <w:rFonts w:eastAsia="Cambria"/>
        </w:rPr>
        <w:t xml:space="preserve"> </w:t>
      </w:r>
      <w:proofErr w:type="spellStart"/>
      <w:r>
        <w:rPr>
          <w:rFonts w:eastAsia="Cambria"/>
        </w:rPr>
        <w:t>Piriti</w:t>
      </w:r>
      <w:proofErr w:type="spellEnd"/>
      <w:r>
        <w:rPr>
          <w:rFonts w:eastAsia="Cambria"/>
        </w:rPr>
        <w:t xml:space="preserve"> Programme conducted in 2003 finding the program was effective in reducing sexual reconviction for Māori and non-Māori men (Nathan, Wilson and Hillman 2003). </w:t>
      </w:r>
    </w:p>
    <w:p w14:paraId="4BAC373A" w14:textId="385C7149" w:rsidR="0025308E" w:rsidRDefault="006E5B70" w:rsidP="006E5B70">
      <w:pPr>
        <w:pStyle w:val="Newparagraph"/>
        <w:spacing w:line="480" w:lineRule="auto"/>
        <w:jc w:val="center"/>
        <w:rPr>
          <w:rFonts w:eastAsia="Cambria"/>
        </w:rPr>
      </w:pPr>
      <w:r>
        <w:rPr>
          <w:rFonts w:eastAsia="Cambria"/>
          <w:noProof/>
        </w:rPr>
        <w:drawing>
          <wp:anchor distT="0" distB="0" distL="114300" distR="114300" simplePos="0" relativeHeight="251658240" behindDoc="0" locked="0" layoutInCell="1" allowOverlap="1" wp14:anchorId="1C3D886C" wp14:editId="7D6B9DDC">
            <wp:simplePos x="0" y="0"/>
            <wp:positionH relativeFrom="margin">
              <wp:posOffset>-88265</wp:posOffset>
            </wp:positionH>
            <wp:positionV relativeFrom="margin">
              <wp:posOffset>3411855</wp:posOffset>
            </wp:positionV>
            <wp:extent cx="5396865" cy="2202815"/>
            <wp:effectExtent l="0" t="0" r="635" b="0"/>
            <wp:wrapSquare wrapText="bothSides"/>
            <wp:docPr id="1" name="Picture 1" descr="A picture containing 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icon&#10;&#10;Description automatically generated"/>
                    <pic:cNvPicPr/>
                  </pic:nvPicPr>
                  <pic:blipFill>
                    <a:blip r:embed="rId8" cstate="hqprint">
                      <a:extLst>
                        <a:ext uri="{28A0092B-C50C-407E-A947-70E740481C1C}">
                          <a14:useLocalDpi xmlns:a14="http://schemas.microsoft.com/office/drawing/2010/main" val="0"/>
                        </a:ext>
                      </a:extLst>
                    </a:blip>
                    <a:stretch>
                      <a:fillRect/>
                    </a:stretch>
                  </pic:blipFill>
                  <pic:spPr>
                    <a:xfrm>
                      <a:off x="0" y="0"/>
                      <a:ext cx="5396865" cy="2202815"/>
                    </a:xfrm>
                    <a:prstGeom prst="rect">
                      <a:avLst/>
                    </a:prstGeom>
                  </pic:spPr>
                </pic:pic>
              </a:graphicData>
            </a:graphic>
          </wp:anchor>
        </w:drawing>
      </w:r>
    </w:p>
    <w:p w14:paraId="3DDDBB78" w14:textId="394DEBA3" w:rsidR="0025308E" w:rsidRDefault="0025308E" w:rsidP="0025308E">
      <w:pPr>
        <w:pStyle w:val="Figurecaption"/>
        <w:rPr>
          <w:rFonts w:eastAsia="Cambria"/>
        </w:rPr>
      </w:pPr>
      <w:r>
        <w:rPr>
          <w:rFonts w:eastAsia="Cambria"/>
        </w:rPr>
        <w:t xml:space="preserve">Fig.1 </w:t>
      </w:r>
      <w:proofErr w:type="spellStart"/>
      <w:r>
        <w:rPr>
          <w:rFonts w:eastAsia="Cambria"/>
        </w:rPr>
        <w:t>Te</w:t>
      </w:r>
      <w:proofErr w:type="spellEnd"/>
      <w:r>
        <w:rPr>
          <w:rFonts w:eastAsia="Cambria"/>
        </w:rPr>
        <w:t xml:space="preserve"> Whare Tapa </w:t>
      </w:r>
      <w:proofErr w:type="spellStart"/>
      <w:r>
        <w:rPr>
          <w:rFonts w:eastAsia="Cambria"/>
        </w:rPr>
        <w:t>Whā</w:t>
      </w:r>
      <w:proofErr w:type="spellEnd"/>
      <w:r>
        <w:rPr>
          <w:rFonts w:eastAsia="Cambria"/>
        </w:rPr>
        <w:t xml:space="preserve"> or The House of Four Sides – a wholistic model of Māori Health developed by Sir Mason Durie based on the metaphor of the wharenui or meeting house. </w:t>
      </w:r>
      <w:r w:rsidR="00586D6C">
        <w:rPr>
          <w:rFonts w:eastAsia="Cambria"/>
        </w:rPr>
        <w:t xml:space="preserve">Source: </w:t>
      </w:r>
      <w:r w:rsidR="00586D6C" w:rsidRPr="00586D6C">
        <w:rPr>
          <w:rFonts w:eastAsia="Cambria"/>
        </w:rPr>
        <w:t>Ministry of Health</w:t>
      </w:r>
      <w:r w:rsidR="00586D6C">
        <w:rPr>
          <w:rFonts w:eastAsia="Cambria"/>
        </w:rPr>
        <w:t xml:space="preserve"> NZ.</w:t>
      </w:r>
      <w:r w:rsidR="00586D6C">
        <w:rPr>
          <w:rStyle w:val="FootnoteReference"/>
          <w:rFonts w:eastAsia="Cambria"/>
        </w:rPr>
        <w:footnoteReference w:id="4"/>
      </w:r>
      <w:r w:rsidR="00586D6C">
        <w:rPr>
          <w:rFonts w:eastAsia="Cambria"/>
        </w:rPr>
        <w:t xml:space="preserve"> </w:t>
      </w:r>
      <w:r>
        <w:rPr>
          <w:rFonts w:eastAsia="Cambria"/>
        </w:rPr>
        <w:t xml:space="preserve">Image credit: </w:t>
      </w:r>
      <w:r w:rsidRPr="00E96683">
        <w:rPr>
          <w:rFonts w:eastAsia="Cambria"/>
        </w:rPr>
        <w:t xml:space="preserve">Jeanne </w:t>
      </w:r>
      <w:proofErr w:type="spellStart"/>
      <w:r w:rsidRPr="00E96683">
        <w:rPr>
          <w:rFonts w:eastAsia="Cambria"/>
        </w:rPr>
        <w:t>Leclercq</w:t>
      </w:r>
      <w:proofErr w:type="spellEnd"/>
      <w:r>
        <w:rPr>
          <w:rFonts w:eastAsia="Cambria"/>
        </w:rPr>
        <w:t>.</w:t>
      </w:r>
    </w:p>
    <w:p w14:paraId="369D4D53" w14:textId="77777777" w:rsidR="0025308E" w:rsidRDefault="0025308E" w:rsidP="00696E8A">
      <w:pPr>
        <w:pStyle w:val="Newparagraph"/>
        <w:spacing w:line="480" w:lineRule="auto"/>
        <w:rPr>
          <w:rFonts w:eastAsia="Cambria"/>
        </w:rPr>
      </w:pPr>
    </w:p>
    <w:p w14:paraId="2269B9D5" w14:textId="203B7039" w:rsidR="00D428B3" w:rsidRDefault="00D67E3A" w:rsidP="00045945">
      <w:pPr>
        <w:pStyle w:val="Newparagraph"/>
        <w:spacing w:line="480" w:lineRule="auto"/>
        <w:rPr>
          <w:rFonts w:eastAsia="Cambria"/>
        </w:rPr>
      </w:pPr>
      <w:r>
        <w:rPr>
          <w:rFonts w:eastAsia="Cambria"/>
        </w:rPr>
        <w:t xml:space="preserve">From </w:t>
      </w:r>
      <w:r w:rsidR="00D428B3">
        <w:rPr>
          <w:rFonts w:eastAsia="Cambria"/>
        </w:rPr>
        <w:t xml:space="preserve">the </w:t>
      </w:r>
      <w:proofErr w:type="spellStart"/>
      <w:r w:rsidR="00D428B3">
        <w:rPr>
          <w:rFonts w:eastAsia="Cambria"/>
        </w:rPr>
        <w:t>Te</w:t>
      </w:r>
      <w:proofErr w:type="spellEnd"/>
      <w:r w:rsidR="00D428B3">
        <w:rPr>
          <w:rFonts w:eastAsia="Cambria"/>
        </w:rPr>
        <w:t xml:space="preserve"> Whare Tapa </w:t>
      </w:r>
      <w:proofErr w:type="spellStart"/>
      <w:r w:rsidR="00D428B3">
        <w:rPr>
          <w:rFonts w:eastAsia="Cambria"/>
        </w:rPr>
        <w:t>Wha</w:t>
      </w:r>
      <w:proofErr w:type="spellEnd"/>
      <w:r w:rsidR="00D428B3">
        <w:rPr>
          <w:rFonts w:eastAsia="Cambria"/>
        </w:rPr>
        <w:t>̄</w:t>
      </w:r>
      <w:r>
        <w:rPr>
          <w:rFonts w:eastAsia="Cambria"/>
        </w:rPr>
        <w:t xml:space="preserve"> model, we developed a series of interview questions </w:t>
      </w:r>
      <w:r w:rsidR="00D428B3">
        <w:rPr>
          <w:rFonts w:eastAsia="Cambria"/>
        </w:rPr>
        <w:t xml:space="preserve">relating to each of house’s ‘sides’ </w:t>
      </w:r>
      <w:r>
        <w:rPr>
          <w:rFonts w:eastAsia="Cambria"/>
        </w:rPr>
        <w:t xml:space="preserve">to elicit verbatim responses from the </w:t>
      </w:r>
      <w:r>
        <w:rPr>
          <w:rFonts w:eastAsia="Cambria"/>
        </w:rPr>
        <w:lastRenderedPageBreak/>
        <w:t xml:space="preserve">incarcerated community at the unit. </w:t>
      </w:r>
      <w:r w:rsidR="00D428B3">
        <w:rPr>
          <w:rFonts w:eastAsia="Cambria"/>
        </w:rPr>
        <w:t xml:space="preserve">Playwright Stuart Hoar assisted in </w:t>
      </w:r>
      <w:r>
        <w:rPr>
          <w:rFonts w:eastAsia="Cambria"/>
        </w:rPr>
        <w:t>edit</w:t>
      </w:r>
      <w:r w:rsidR="00D428B3">
        <w:rPr>
          <w:rFonts w:eastAsia="Cambria"/>
        </w:rPr>
        <w:t>ing</w:t>
      </w:r>
      <w:r>
        <w:rPr>
          <w:rFonts w:eastAsia="Cambria"/>
        </w:rPr>
        <w:t xml:space="preserve"> sections of these transcribed responses into a script that was rehearsed by the small cast of five incarcerated men from the unit.</w:t>
      </w:r>
      <w:r w:rsidR="00045945">
        <w:rPr>
          <w:rFonts w:eastAsia="Cambria"/>
        </w:rPr>
        <w:t xml:space="preserve"> </w:t>
      </w:r>
      <w:proofErr w:type="spellStart"/>
      <w:r>
        <w:rPr>
          <w:rFonts w:eastAsia="Cambria"/>
        </w:rPr>
        <w:t>Te</w:t>
      </w:r>
      <w:proofErr w:type="spellEnd"/>
      <w:r>
        <w:rPr>
          <w:rFonts w:eastAsia="Cambria"/>
        </w:rPr>
        <w:t xml:space="preserve"> Whare Tapa </w:t>
      </w:r>
      <w:proofErr w:type="spellStart"/>
      <w:r>
        <w:rPr>
          <w:rFonts w:eastAsia="Cambria"/>
        </w:rPr>
        <w:t>Wha</w:t>
      </w:r>
      <w:proofErr w:type="spellEnd"/>
      <w:r>
        <w:rPr>
          <w:rFonts w:eastAsia="Cambria"/>
        </w:rPr>
        <w:t xml:space="preserve">̄ was </w:t>
      </w:r>
      <w:r w:rsidR="00045945">
        <w:rPr>
          <w:rFonts w:eastAsia="Cambria"/>
        </w:rPr>
        <w:t xml:space="preserve">also </w:t>
      </w:r>
      <w:r>
        <w:rPr>
          <w:rFonts w:eastAsia="Cambria"/>
        </w:rPr>
        <w:t xml:space="preserve">an important dramaturgical device in the final production, used to structure the performance around separate scenes, each of which focused on an aspect of health and the different ways it was impacted by incarceration. The incorporation of </w:t>
      </w:r>
      <w:proofErr w:type="spellStart"/>
      <w:r>
        <w:rPr>
          <w:rFonts w:eastAsia="Cambria"/>
        </w:rPr>
        <w:t>Te</w:t>
      </w:r>
      <w:proofErr w:type="spellEnd"/>
      <w:r>
        <w:rPr>
          <w:rFonts w:eastAsia="Cambria"/>
        </w:rPr>
        <w:t xml:space="preserve"> Whare Tapa </w:t>
      </w:r>
      <w:proofErr w:type="spellStart"/>
      <w:r>
        <w:rPr>
          <w:rFonts w:eastAsia="Cambria"/>
        </w:rPr>
        <w:t>Whā</w:t>
      </w:r>
      <w:proofErr w:type="spellEnd"/>
      <w:r>
        <w:rPr>
          <w:rFonts w:eastAsia="Cambria"/>
        </w:rPr>
        <w:t xml:space="preserve"> was an attempt to centre Māori knowledge within the creative process and decision-making.</w:t>
      </w:r>
    </w:p>
    <w:p w14:paraId="46B731CB" w14:textId="1DB2BC73" w:rsidR="00C02CBA" w:rsidRDefault="00D67E3A" w:rsidP="00364D77">
      <w:pPr>
        <w:pStyle w:val="Newparagraph"/>
        <w:spacing w:line="480" w:lineRule="auto"/>
        <w:rPr>
          <w:rFonts w:eastAsia="Cambria"/>
        </w:rPr>
      </w:pPr>
      <w:r>
        <w:rPr>
          <w:rFonts w:eastAsia="Cambria"/>
        </w:rPr>
        <w:t xml:space="preserve">This article explores the significance of </w:t>
      </w:r>
      <w:proofErr w:type="spellStart"/>
      <w:r>
        <w:rPr>
          <w:rFonts w:eastAsia="Cambria"/>
        </w:rPr>
        <w:t>Te</w:t>
      </w:r>
      <w:proofErr w:type="spellEnd"/>
      <w:r>
        <w:rPr>
          <w:rFonts w:eastAsia="Cambria"/>
        </w:rPr>
        <w:t xml:space="preserve"> Whare Tapa </w:t>
      </w:r>
      <w:proofErr w:type="spellStart"/>
      <w:r>
        <w:rPr>
          <w:rFonts w:eastAsia="Cambria"/>
        </w:rPr>
        <w:t>Whā</w:t>
      </w:r>
      <w:proofErr w:type="spellEnd"/>
      <w:r>
        <w:rPr>
          <w:rFonts w:eastAsia="Cambria"/>
        </w:rPr>
        <w:t xml:space="preserve"> as a device that informed the dramaturgical and aesthetic choices in the theatre-making. </w:t>
      </w:r>
      <w:r w:rsidR="00D428B3">
        <w:rPr>
          <w:rFonts w:eastAsia="Cambria"/>
        </w:rPr>
        <w:t>The article begins by describing the opening scene of the production</w:t>
      </w:r>
      <w:r w:rsidR="00C97E72">
        <w:rPr>
          <w:rFonts w:eastAsia="Cambria"/>
        </w:rPr>
        <w:t xml:space="preserve"> in order</w:t>
      </w:r>
      <w:r w:rsidR="00D428B3">
        <w:rPr>
          <w:rFonts w:eastAsia="Cambria"/>
        </w:rPr>
        <w:t xml:space="preserve"> </w:t>
      </w:r>
      <w:r w:rsidR="00C97E72">
        <w:rPr>
          <w:rFonts w:eastAsia="Cambria"/>
        </w:rPr>
        <w:t>to</w:t>
      </w:r>
      <w:r w:rsidR="00D428B3">
        <w:rPr>
          <w:rFonts w:eastAsia="Cambria"/>
        </w:rPr>
        <w:t xml:space="preserve"> situate the play and the themes </w:t>
      </w:r>
      <w:r w:rsidR="00C97E72">
        <w:rPr>
          <w:rFonts w:eastAsia="Cambria"/>
        </w:rPr>
        <w:t xml:space="preserve">with which </w:t>
      </w:r>
      <w:r w:rsidR="00D428B3">
        <w:rPr>
          <w:rFonts w:eastAsia="Cambria"/>
        </w:rPr>
        <w:t xml:space="preserve">it </w:t>
      </w:r>
      <w:r w:rsidR="00C97E72">
        <w:rPr>
          <w:rFonts w:eastAsia="Cambria"/>
        </w:rPr>
        <w:t>engaged,</w:t>
      </w:r>
      <w:r w:rsidR="00D428B3">
        <w:rPr>
          <w:rFonts w:eastAsia="Cambria"/>
        </w:rPr>
        <w:t xml:space="preserve"> such as the high incarceration of Māori within the New Zealand carceral system and the importance of cultural rights. The article then discusses the documentary theatre aspect of the production before examining the use of masks</w:t>
      </w:r>
      <w:r w:rsidR="00E22AAD">
        <w:rPr>
          <w:rFonts w:eastAsia="Cambria"/>
        </w:rPr>
        <w:t xml:space="preserve"> as a</w:t>
      </w:r>
      <w:r w:rsidR="00D93088">
        <w:rPr>
          <w:rFonts w:eastAsia="Cambria"/>
        </w:rPr>
        <w:t xml:space="preserve"> means to activate the bodies of the performers and ensure that spoken text was not privileged over the theatricality of performance. The article </w:t>
      </w:r>
      <w:r w:rsidR="00410F67">
        <w:rPr>
          <w:rFonts w:eastAsia="Cambria"/>
        </w:rPr>
        <w:t>explores how the use of masks and physical performance has the potential to facilitate a kind of re-embodiment commensurate with t</w:t>
      </w:r>
      <w:r w:rsidR="00D93088">
        <w:rPr>
          <w:rFonts w:eastAsia="Cambria"/>
        </w:rPr>
        <w:t xml:space="preserve">he </w:t>
      </w:r>
      <w:proofErr w:type="spellStart"/>
      <w:r w:rsidR="00D93088">
        <w:rPr>
          <w:rFonts w:eastAsia="Cambria"/>
        </w:rPr>
        <w:t>Te</w:t>
      </w:r>
      <w:proofErr w:type="spellEnd"/>
      <w:r w:rsidR="00D93088">
        <w:rPr>
          <w:rFonts w:eastAsia="Cambria"/>
        </w:rPr>
        <w:t xml:space="preserve"> Whare Tapa </w:t>
      </w:r>
      <w:proofErr w:type="spellStart"/>
      <w:r w:rsidR="00D93088">
        <w:rPr>
          <w:rFonts w:eastAsia="Cambria"/>
        </w:rPr>
        <w:t>Whā</w:t>
      </w:r>
      <w:proofErr w:type="spellEnd"/>
      <w:r w:rsidR="00D93088">
        <w:rPr>
          <w:rFonts w:eastAsia="Cambria"/>
        </w:rPr>
        <w:t xml:space="preserve"> model </w:t>
      </w:r>
      <w:r w:rsidR="00410F67">
        <w:rPr>
          <w:rFonts w:eastAsia="Cambria"/>
        </w:rPr>
        <w:t xml:space="preserve">which </w:t>
      </w:r>
      <w:r w:rsidR="00D93088">
        <w:rPr>
          <w:rFonts w:eastAsia="Cambria"/>
        </w:rPr>
        <w:t xml:space="preserve">seeks to reunify in a holistic sense, elements that </w:t>
      </w:r>
      <w:r w:rsidR="00C97E72">
        <w:rPr>
          <w:rFonts w:eastAsia="Cambria"/>
        </w:rPr>
        <w:t xml:space="preserve">are </w:t>
      </w:r>
      <w:r w:rsidR="00D93088">
        <w:rPr>
          <w:rFonts w:eastAsia="Cambria"/>
        </w:rPr>
        <w:t xml:space="preserve">disaggregated by Western concepts of health and wellbeing. </w:t>
      </w:r>
      <w:r w:rsidR="00410F67">
        <w:rPr>
          <w:rFonts w:eastAsia="Cambria"/>
        </w:rPr>
        <w:t xml:space="preserve">In the final section of the </w:t>
      </w:r>
      <w:r w:rsidR="00CE689E">
        <w:rPr>
          <w:rFonts w:eastAsia="Cambria"/>
        </w:rPr>
        <w:t>article,</w:t>
      </w:r>
      <w:r w:rsidR="00410F67">
        <w:rPr>
          <w:rFonts w:eastAsia="Cambria"/>
        </w:rPr>
        <w:t xml:space="preserve"> we explore the </w:t>
      </w:r>
      <w:r w:rsidR="00CE689E">
        <w:rPr>
          <w:rFonts w:eastAsia="Cambria"/>
        </w:rPr>
        <w:t>implications</w:t>
      </w:r>
      <w:r w:rsidR="00410F67">
        <w:rPr>
          <w:rFonts w:eastAsia="Cambria"/>
        </w:rPr>
        <w:t xml:space="preserve"> of incorporating </w:t>
      </w:r>
      <w:proofErr w:type="spellStart"/>
      <w:r w:rsidR="00410F67">
        <w:rPr>
          <w:rFonts w:eastAsia="Cambria"/>
        </w:rPr>
        <w:t>Te</w:t>
      </w:r>
      <w:proofErr w:type="spellEnd"/>
      <w:r w:rsidR="00410F67">
        <w:rPr>
          <w:rFonts w:eastAsia="Cambria"/>
        </w:rPr>
        <w:t xml:space="preserve"> Whare Tapa </w:t>
      </w:r>
      <w:proofErr w:type="spellStart"/>
      <w:r w:rsidR="00410F67">
        <w:rPr>
          <w:rFonts w:eastAsia="Cambria"/>
        </w:rPr>
        <w:t>Whā</w:t>
      </w:r>
      <w:proofErr w:type="spellEnd"/>
      <w:r w:rsidR="00410F67">
        <w:rPr>
          <w:rFonts w:eastAsia="Cambria"/>
        </w:rPr>
        <w:t xml:space="preserve"> as a dramaturgical model </w:t>
      </w:r>
      <w:r w:rsidR="00364D77">
        <w:rPr>
          <w:rFonts w:eastAsia="Cambria"/>
        </w:rPr>
        <w:t xml:space="preserve">in </w:t>
      </w:r>
      <w:r w:rsidR="00C97E72">
        <w:rPr>
          <w:rFonts w:eastAsia="Cambria"/>
        </w:rPr>
        <w:t>progressing a decolonising approach to prison arts practice</w:t>
      </w:r>
      <w:r w:rsidR="00364D77">
        <w:rPr>
          <w:rFonts w:eastAsia="Cambria"/>
        </w:rPr>
        <w:t xml:space="preserve">. We suggest that </w:t>
      </w:r>
      <w:r w:rsidR="00E96683">
        <w:rPr>
          <w:rFonts w:eastAsia="Cambria"/>
        </w:rPr>
        <w:t xml:space="preserve">art practices that build on foundations of </w:t>
      </w:r>
      <w:r w:rsidR="00C02CBA">
        <w:rPr>
          <w:rFonts w:eastAsia="Cambria"/>
        </w:rPr>
        <w:t xml:space="preserve">cultural rights </w:t>
      </w:r>
      <w:r w:rsidR="00E96683">
        <w:rPr>
          <w:rFonts w:eastAsia="Cambria"/>
        </w:rPr>
        <w:t>with</w:t>
      </w:r>
      <w:r w:rsidR="00364D77">
        <w:rPr>
          <w:rFonts w:eastAsia="Cambria"/>
        </w:rPr>
        <w:t>in carceral settings can help</w:t>
      </w:r>
      <w:r w:rsidR="00C02CBA">
        <w:rPr>
          <w:rFonts w:eastAsia="Cambria"/>
        </w:rPr>
        <w:t xml:space="preserve"> promot</w:t>
      </w:r>
      <w:r w:rsidR="00364D77">
        <w:rPr>
          <w:rFonts w:eastAsia="Cambria"/>
        </w:rPr>
        <w:t>e</w:t>
      </w:r>
      <w:r w:rsidR="00C02CBA">
        <w:rPr>
          <w:rFonts w:eastAsia="Cambria"/>
        </w:rPr>
        <w:t xml:space="preserve"> wholistic and relational understandings of healing </w:t>
      </w:r>
      <w:r w:rsidR="00364D77">
        <w:rPr>
          <w:rFonts w:eastAsia="Cambria"/>
        </w:rPr>
        <w:t xml:space="preserve">indicative of </w:t>
      </w:r>
      <w:r w:rsidR="00C97E72">
        <w:rPr>
          <w:rFonts w:eastAsia="Cambria"/>
        </w:rPr>
        <w:t>I</w:t>
      </w:r>
      <w:r w:rsidR="00364D77">
        <w:rPr>
          <w:rFonts w:eastAsia="Cambria"/>
        </w:rPr>
        <w:t xml:space="preserve">ndigenous worldviews </w:t>
      </w:r>
      <w:r w:rsidR="00C02CBA">
        <w:rPr>
          <w:rFonts w:eastAsia="Cambria"/>
        </w:rPr>
        <w:t xml:space="preserve">that can challenge colonial legacies embedded within criminal justice that </w:t>
      </w:r>
      <w:r w:rsidR="0025308E">
        <w:rPr>
          <w:rFonts w:eastAsia="Cambria"/>
        </w:rPr>
        <w:t xml:space="preserve">privilege </w:t>
      </w:r>
      <w:r w:rsidR="00C02CBA">
        <w:rPr>
          <w:rFonts w:eastAsia="Cambria"/>
        </w:rPr>
        <w:t xml:space="preserve">Western </w:t>
      </w:r>
      <w:r w:rsidR="00364D77">
        <w:rPr>
          <w:rFonts w:eastAsia="Cambria"/>
        </w:rPr>
        <w:t xml:space="preserve">epistemological </w:t>
      </w:r>
      <w:r w:rsidR="00C02CBA">
        <w:rPr>
          <w:rFonts w:eastAsia="Cambria"/>
        </w:rPr>
        <w:t>notions of individualism</w:t>
      </w:r>
      <w:r w:rsidR="00364D77">
        <w:rPr>
          <w:rFonts w:eastAsia="Cambria"/>
        </w:rPr>
        <w:t>.</w:t>
      </w:r>
      <w:r w:rsidR="00C02CBA">
        <w:rPr>
          <w:rFonts w:eastAsia="Cambria"/>
        </w:rPr>
        <w:t xml:space="preserve"> </w:t>
      </w:r>
    </w:p>
    <w:p w14:paraId="43F78D5D" w14:textId="2EC969E5" w:rsidR="002C5F67" w:rsidRDefault="002C5F67" w:rsidP="00116165">
      <w:pPr>
        <w:pStyle w:val="Heading1"/>
        <w:spacing w:line="480" w:lineRule="auto"/>
        <w:rPr>
          <w:rFonts w:eastAsia="Cambria"/>
        </w:rPr>
      </w:pPr>
      <w:r>
        <w:rPr>
          <w:rFonts w:eastAsia="Cambria"/>
        </w:rPr>
        <w:lastRenderedPageBreak/>
        <w:t>Arriving in Prison</w:t>
      </w:r>
    </w:p>
    <w:p w14:paraId="40914CC8" w14:textId="77777777" w:rsidR="002C5F67" w:rsidRDefault="002C5F67" w:rsidP="00270B65">
      <w:pPr>
        <w:pStyle w:val="Newparagraph"/>
        <w:spacing w:line="480" w:lineRule="auto"/>
        <w:ind w:firstLine="0"/>
        <w:rPr>
          <w:rFonts w:eastAsia="Cambria"/>
        </w:rPr>
      </w:pPr>
      <w:r>
        <w:rPr>
          <w:rFonts w:eastAsia="Cambria"/>
        </w:rPr>
        <w:t xml:space="preserve">The production opens with a scene entitled ‘Arriving’ where each of the performers enters wearing a mask and shares with the audience the often dislocating, isolating and frightening experiences of first arriving in prison. The first to enter is a transgender character named Kauri, led into the performing area by another actor playing the role of a prison guard. As the guard ushers her into the space and mimes the actions of locking her into a single cell, Kauri explains: </w:t>
      </w:r>
    </w:p>
    <w:p w14:paraId="213B6668" w14:textId="4851FF9C" w:rsidR="002C5F67" w:rsidRDefault="002C5F67" w:rsidP="001A1069">
      <w:pPr>
        <w:pStyle w:val="Displayedquotation"/>
        <w:spacing w:line="480" w:lineRule="auto"/>
        <w:rPr>
          <w:rFonts w:eastAsia="Cambria"/>
        </w:rPr>
      </w:pPr>
      <w:r>
        <w:rPr>
          <w:rFonts w:eastAsia="Cambria"/>
        </w:rPr>
        <w:t xml:space="preserve">Yeah so, I arrived in prison June 2012. I was absolutely terrified: my first time in prison. The sounds; the smells; but the staff were actually pretty… very helpful; reassuring; so, nothing particularly adverse happened. I guess one of the things that did stand out for me was the isolation and loneliness because I was put into a what they call an at-risk unit because I was fa’afafine so I didn’t go into a normal unit for a number of weeks. But in the isolation unit or at-risk unit there was no TV; no radio; no clothes; only what I was wearing. A pillow and a sheet. I didn’t even have access to the telephone to ring </w:t>
      </w:r>
      <w:proofErr w:type="spellStart"/>
      <w:r>
        <w:rPr>
          <w:rFonts w:eastAsia="Cambria"/>
        </w:rPr>
        <w:t>whānau</w:t>
      </w:r>
      <w:proofErr w:type="spellEnd"/>
      <w:r>
        <w:rPr>
          <w:rFonts w:eastAsia="Cambria"/>
        </w:rPr>
        <w:t xml:space="preserve"> [family] or pen and paper. No books and because I didn’t understand prison or how it </w:t>
      </w:r>
      <w:r w:rsidR="00270B65">
        <w:rPr>
          <w:rFonts w:eastAsia="Cambria"/>
        </w:rPr>
        <w:t>operates,</w:t>
      </w:r>
      <w:r>
        <w:rPr>
          <w:rFonts w:eastAsia="Cambria"/>
        </w:rPr>
        <w:t xml:space="preserve"> I thought that my whole sentence was going to be like that. So, I was very terrified; so that stands out at me; yeah from back then. (</w:t>
      </w:r>
      <w:proofErr w:type="spellStart"/>
      <w:r>
        <w:rPr>
          <w:rFonts w:eastAsia="Cambria"/>
          <w:i/>
        </w:rPr>
        <w:t>Ngā</w:t>
      </w:r>
      <w:proofErr w:type="spellEnd"/>
      <w:r>
        <w:rPr>
          <w:rFonts w:eastAsia="Cambria"/>
          <w:i/>
        </w:rPr>
        <w:t xml:space="preserve"> </w:t>
      </w:r>
      <w:proofErr w:type="spellStart"/>
      <w:r>
        <w:rPr>
          <w:rFonts w:eastAsia="Cambria"/>
          <w:i/>
        </w:rPr>
        <w:t>Pātū</w:t>
      </w:r>
      <w:proofErr w:type="spellEnd"/>
      <w:r>
        <w:rPr>
          <w:rFonts w:eastAsia="Cambria"/>
          <w:i/>
        </w:rPr>
        <w:t xml:space="preserve"> </w:t>
      </w:r>
      <w:proofErr w:type="spellStart"/>
      <w:r>
        <w:rPr>
          <w:rFonts w:eastAsia="Cambria"/>
          <w:i/>
        </w:rPr>
        <w:t>Kōrero</w:t>
      </w:r>
      <w:proofErr w:type="spellEnd"/>
      <w:r>
        <w:rPr>
          <w:rFonts w:eastAsia="Cambria"/>
        </w:rPr>
        <w:t>, Unpublished Script, 2019, 1)</w:t>
      </w:r>
    </w:p>
    <w:p w14:paraId="7ED45DC6" w14:textId="40E56EAA" w:rsidR="002C5F67" w:rsidRDefault="002C5F67" w:rsidP="001A1069">
      <w:pPr>
        <w:pStyle w:val="Paragraph"/>
        <w:spacing w:line="480" w:lineRule="auto"/>
        <w:rPr>
          <w:rFonts w:eastAsia="Cambria"/>
        </w:rPr>
      </w:pPr>
      <w:r>
        <w:rPr>
          <w:rFonts w:eastAsia="Cambria"/>
        </w:rPr>
        <w:t>In this opening monologue, Kauri describes herself as a Fa’afafine, using the Samoan non-binary gender term that is commonly used to describe transgender persons in New Zealand. A recent report suggests there are around 30-40 transgender persons incarcerated in New Zealand, with only six of these serving time in the country’s three women’s prisons (Sherwood and McNeil</w:t>
      </w:r>
      <w:r w:rsidR="00F54A3B">
        <w:rPr>
          <w:rFonts w:eastAsia="Cambria"/>
        </w:rPr>
        <w:t>l</w:t>
      </w:r>
      <w:r>
        <w:rPr>
          <w:rFonts w:eastAsia="Cambria"/>
        </w:rPr>
        <w:t xml:space="preserve">y 2019). While transgender persons can request to transfer to a prison that matches their gender identity, they must produce a birth certificate recognising their change in identity which can be a costly legal and </w:t>
      </w:r>
      <w:r>
        <w:rPr>
          <w:rFonts w:eastAsia="Cambria"/>
        </w:rPr>
        <w:lastRenderedPageBreak/>
        <w:t>administrative challenge. As a result, transgender prisoners are often housed in prisons that do not accord with their gender identity and as a result often face higher risks of violence and sexual assault (</w:t>
      </w:r>
      <w:proofErr w:type="spellStart"/>
      <w:r>
        <w:rPr>
          <w:rFonts w:eastAsia="Cambria"/>
        </w:rPr>
        <w:t>Cassaidy</w:t>
      </w:r>
      <w:proofErr w:type="spellEnd"/>
      <w:r>
        <w:rPr>
          <w:rFonts w:eastAsia="Cambria"/>
        </w:rPr>
        <w:t xml:space="preserve"> and Lim 2016, 8). The segregation of incarcerated transgender persons is official Corrections policy as outlined in the Prison Operations Manual and is conceived as a protective strategy. However, as the monologue demonstrates, segregation can compound the experience of isolation which can have negative impacts on the mental wellbeing of transgender persons (ibid., 9). The opening scene is indicative of the approach taken in </w:t>
      </w:r>
      <w:proofErr w:type="spellStart"/>
      <w:r>
        <w:rPr>
          <w:rFonts w:eastAsia="Cambria"/>
          <w:i/>
        </w:rPr>
        <w:t>Ngā</w:t>
      </w:r>
      <w:proofErr w:type="spellEnd"/>
      <w:r>
        <w:rPr>
          <w:rFonts w:eastAsia="Cambria"/>
          <w:i/>
        </w:rPr>
        <w:t xml:space="preserve"> </w:t>
      </w:r>
      <w:proofErr w:type="spellStart"/>
      <w:r>
        <w:rPr>
          <w:rFonts w:eastAsia="Cambria"/>
          <w:i/>
        </w:rPr>
        <w:t>Pātū</w:t>
      </w:r>
      <w:proofErr w:type="spellEnd"/>
      <w:r>
        <w:rPr>
          <w:rFonts w:eastAsia="Cambria"/>
          <w:i/>
        </w:rPr>
        <w:t xml:space="preserve"> </w:t>
      </w:r>
      <w:proofErr w:type="spellStart"/>
      <w:r>
        <w:rPr>
          <w:rFonts w:eastAsia="Cambria"/>
          <w:i/>
        </w:rPr>
        <w:t>Kōrero</w:t>
      </w:r>
      <w:proofErr w:type="spellEnd"/>
      <w:r>
        <w:rPr>
          <w:rFonts w:eastAsia="Cambria"/>
        </w:rPr>
        <w:t>, which delves beneath correction policies and procedures to explore the reality of life in prison and its impact on aspects of healing and wellbeing for each of the five characters represented in the play.</w:t>
      </w:r>
    </w:p>
    <w:p w14:paraId="0D24C643" w14:textId="1F549BEF" w:rsidR="002C5F67" w:rsidRDefault="002C5F67" w:rsidP="00332915">
      <w:pPr>
        <w:pStyle w:val="Newparagraph"/>
        <w:spacing w:line="480" w:lineRule="auto"/>
        <w:rPr>
          <w:rFonts w:eastAsia="Cambria"/>
        </w:rPr>
      </w:pPr>
      <w:r>
        <w:rPr>
          <w:rFonts w:eastAsia="Cambria"/>
        </w:rPr>
        <w:t>According to the Department of Corrections, in March 2018 New Zealand’s prison population reached an all-time high of 10,645 (Department of Corrections NZ 2018). Despite the high incarceration rates, we hear very little about the reality of prison life and the personal experience of those caught up in the criminal justice system remains largely invisible. This project was an attempt to challenge this silence and invisibility.</w:t>
      </w:r>
      <w:r w:rsidR="00045945">
        <w:rPr>
          <w:rFonts w:eastAsia="Cambria"/>
        </w:rPr>
        <w:t xml:space="preserve"> </w:t>
      </w:r>
      <w:r>
        <w:rPr>
          <w:rFonts w:eastAsia="Cambria"/>
        </w:rPr>
        <w:t xml:space="preserve">Importantly, the high incarceration rates </w:t>
      </w:r>
      <w:r w:rsidR="00045945">
        <w:rPr>
          <w:rFonts w:eastAsia="Cambria"/>
        </w:rPr>
        <w:t>reflect</w:t>
      </w:r>
      <w:r>
        <w:rPr>
          <w:rFonts w:eastAsia="Cambria"/>
        </w:rPr>
        <w:t xml:space="preserve"> racial disparities, with over 51% of the current prison population being </w:t>
      </w:r>
      <w:r w:rsidR="00C97E72">
        <w:rPr>
          <w:rFonts w:eastAsia="Cambria"/>
        </w:rPr>
        <w:t xml:space="preserve">Indigenous </w:t>
      </w:r>
      <w:r>
        <w:rPr>
          <w:rFonts w:eastAsia="Cambria"/>
        </w:rPr>
        <w:t xml:space="preserve">Māori, compared to 30.8% European, and 11.8% Pacific (Department of Corrections NZ 2019). Māori constitute more than half the prison population, despite being only 15% of the overall population (Stats NZ 2015). This disparity was reflected in the performing ensemble, which consisted of four Māori and one Pākehā (European New Zealander). The over-representation of </w:t>
      </w:r>
      <w:proofErr w:type="spellStart"/>
      <w:r>
        <w:rPr>
          <w:rFonts w:eastAsia="Cambria"/>
        </w:rPr>
        <w:t>Māori</w:t>
      </w:r>
      <w:proofErr w:type="spellEnd"/>
      <w:r>
        <w:rPr>
          <w:rFonts w:eastAsia="Cambria"/>
        </w:rPr>
        <w:t xml:space="preserve"> in corrections has been linked to the ongoing impacts of the legacy of colonialism (Jackson, 2017). This legacy includes dispossession of land, </w:t>
      </w:r>
      <w:r>
        <w:rPr>
          <w:rFonts w:eastAsia="Cambria"/>
        </w:rPr>
        <w:lastRenderedPageBreak/>
        <w:t>cultural assimilation and the undermining of tikanga (cultural protocols) and traditional forms of social control (McIntosh and Workman 2017, 727).</w:t>
      </w:r>
    </w:p>
    <w:p w14:paraId="56D6A166" w14:textId="07105A49" w:rsidR="002C5F67" w:rsidRDefault="00045945" w:rsidP="001A1069">
      <w:pPr>
        <w:pStyle w:val="Newparagraph"/>
        <w:spacing w:line="480" w:lineRule="auto"/>
        <w:rPr>
          <w:rFonts w:eastAsia="Cambria"/>
          <w:highlight w:val="white"/>
        </w:rPr>
      </w:pPr>
      <w:r>
        <w:rPr>
          <w:rFonts w:eastAsia="Cambria"/>
          <w:highlight w:val="white"/>
        </w:rPr>
        <w:t>Access</w:t>
      </w:r>
      <w:r w:rsidR="002C5F67">
        <w:rPr>
          <w:rFonts w:eastAsia="Cambria"/>
          <w:highlight w:val="white"/>
        </w:rPr>
        <w:t xml:space="preserve"> to the arts and culture </w:t>
      </w:r>
      <w:r>
        <w:rPr>
          <w:rFonts w:eastAsia="Cambria"/>
          <w:highlight w:val="white"/>
        </w:rPr>
        <w:t xml:space="preserve">are </w:t>
      </w:r>
      <w:r w:rsidR="002C5F67">
        <w:rPr>
          <w:rFonts w:eastAsia="Cambria"/>
          <w:highlight w:val="white"/>
        </w:rPr>
        <w:t xml:space="preserve">enshrined as a right in a series of international covenants such as the Universal Declaration of Human </w:t>
      </w:r>
      <w:r w:rsidR="002C5F67" w:rsidRPr="00C40C43">
        <w:rPr>
          <w:rFonts w:eastAsia="Cambria"/>
        </w:rPr>
        <w:t>Rights (UDHR) (Article 27)</w:t>
      </w:r>
      <w:r w:rsidR="00C40C43" w:rsidRPr="00C40C43">
        <w:rPr>
          <w:rFonts w:eastAsia="Cambria"/>
        </w:rPr>
        <w:t xml:space="preserve"> (United Nations General Assembly 1948)</w:t>
      </w:r>
      <w:r w:rsidR="002C5F67" w:rsidRPr="00C40C43">
        <w:rPr>
          <w:rFonts w:eastAsia="Cambria"/>
        </w:rPr>
        <w:t>, and the United Nations Declaration on the Rights of Indigenous Peoples (UNDRIP)</w:t>
      </w:r>
      <w:r w:rsidR="00C40C43" w:rsidRPr="00C40C43">
        <w:rPr>
          <w:rFonts w:eastAsia="Cambria"/>
        </w:rPr>
        <w:t xml:space="preserve"> (United Nations General Assembly 2007)</w:t>
      </w:r>
      <w:r>
        <w:rPr>
          <w:rFonts w:eastAsia="Cambria"/>
        </w:rPr>
        <w:t xml:space="preserve">. And yet </w:t>
      </w:r>
      <w:r w:rsidR="002C5F67">
        <w:rPr>
          <w:rFonts w:eastAsia="Cambria"/>
          <w:highlight w:val="white"/>
        </w:rPr>
        <w:t>incarcerated peoples</w:t>
      </w:r>
      <w:r>
        <w:rPr>
          <w:rFonts w:eastAsia="Cambria"/>
          <w:highlight w:val="white"/>
        </w:rPr>
        <w:t xml:space="preserve"> within criminal justice settings</w:t>
      </w:r>
      <w:r w:rsidR="002C5F67">
        <w:rPr>
          <w:rFonts w:eastAsia="Cambria"/>
          <w:highlight w:val="white"/>
        </w:rPr>
        <w:t xml:space="preserve"> are routinely denied cultural participation and access is often used as a form of control or coercion by those in charge. Further, authorities might silence cultural expression as a strategy for removing identity and agency. In settler-colonial prisons where Indigenous peoples are drastically overrepresented, this denial of cultural rights has profoundly negative impacts on individuals and communities, advancing the shattering effects of colonisation and diminishing the capacity for healing.</w:t>
      </w:r>
    </w:p>
    <w:p w14:paraId="5D6D5280" w14:textId="77777777" w:rsidR="00D74515" w:rsidRPr="00CF4370" w:rsidRDefault="00D74515" w:rsidP="00116165">
      <w:pPr>
        <w:pStyle w:val="Heading1"/>
        <w:spacing w:line="480" w:lineRule="auto"/>
        <w:rPr>
          <w:rFonts w:eastAsia="Cambria"/>
        </w:rPr>
      </w:pPr>
      <w:r w:rsidRPr="00CF4370">
        <w:rPr>
          <w:rFonts w:eastAsia="Cambria"/>
        </w:rPr>
        <w:t>Documentary and Verbatim: Recording and Performing ‘Real’ Stories</w:t>
      </w:r>
    </w:p>
    <w:p w14:paraId="4602D20A" w14:textId="52EFDEF3" w:rsidR="00D74515" w:rsidRDefault="00D74515" w:rsidP="00346B98">
      <w:pPr>
        <w:pStyle w:val="Newparagraph"/>
        <w:spacing w:line="480" w:lineRule="auto"/>
        <w:ind w:firstLine="0"/>
        <w:rPr>
          <w:rFonts w:eastAsia="Cambria"/>
        </w:rPr>
      </w:pPr>
      <w:proofErr w:type="spellStart"/>
      <w:r>
        <w:rPr>
          <w:rFonts w:eastAsia="Cambria"/>
          <w:i/>
        </w:rPr>
        <w:t>Ngā</w:t>
      </w:r>
      <w:proofErr w:type="spellEnd"/>
      <w:r>
        <w:rPr>
          <w:rFonts w:eastAsia="Cambria"/>
          <w:i/>
        </w:rPr>
        <w:t xml:space="preserve"> </w:t>
      </w:r>
      <w:proofErr w:type="spellStart"/>
      <w:r>
        <w:rPr>
          <w:rFonts w:eastAsia="Cambria"/>
          <w:i/>
        </w:rPr>
        <w:t>Pātū</w:t>
      </w:r>
      <w:proofErr w:type="spellEnd"/>
      <w:r>
        <w:rPr>
          <w:rFonts w:eastAsia="Cambria"/>
          <w:i/>
        </w:rPr>
        <w:t xml:space="preserve"> </w:t>
      </w:r>
      <w:proofErr w:type="spellStart"/>
      <w:r>
        <w:rPr>
          <w:rFonts w:eastAsia="Cambria"/>
          <w:i/>
        </w:rPr>
        <w:t>Kōrero</w:t>
      </w:r>
      <w:proofErr w:type="spellEnd"/>
      <w:r>
        <w:rPr>
          <w:rFonts w:eastAsia="Cambria"/>
        </w:rPr>
        <w:t xml:space="preserve"> was conceived as a documentary theatre project, an approach to theatre-making that utilises documentary material such as newspapers, government reports, and interviews as source material for scripts and performances. </w:t>
      </w:r>
      <w:r>
        <w:rPr>
          <w:rFonts w:eastAsia="Cambria"/>
          <w:iCs/>
        </w:rPr>
        <w:t>The work</w:t>
      </w:r>
      <w:r>
        <w:rPr>
          <w:rFonts w:eastAsia="Cambria"/>
          <w:i/>
        </w:rPr>
        <w:t xml:space="preserve"> </w:t>
      </w:r>
      <w:r>
        <w:rPr>
          <w:rFonts w:eastAsia="Cambria"/>
        </w:rPr>
        <w:t xml:space="preserve">was also conceived as a verbatim theatre project, an approach that reproduces interview texts on stage using </w:t>
      </w:r>
      <w:r w:rsidR="00346B98">
        <w:rPr>
          <w:rFonts w:eastAsia="Cambria"/>
        </w:rPr>
        <w:t xml:space="preserve">the exact words of </w:t>
      </w:r>
      <w:r>
        <w:rPr>
          <w:rFonts w:eastAsia="Cambria"/>
        </w:rPr>
        <w:t xml:space="preserve">respondents. Gallagher et al. (2012, 28) define verbatim theatre as using </w:t>
      </w:r>
      <w:r w:rsidR="00696E8A">
        <w:rPr>
          <w:rFonts w:eastAsia="Cambria"/>
        </w:rPr>
        <w:t>‘</w:t>
      </w:r>
      <w:r>
        <w:rPr>
          <w:rFonts w:eastAsia="Cambria"/>
        </w:rPr>
        <w:t>the actual words of people, often in direct first-person address or testimonial style, to raise issues relevant to a particular community and to activate broader social engagement</w:t>
      </w:r>
      <w:r w:rsidR="00696E8A">
        <w:rPr>
          <w:rFonts w:eastAsia="Cambria"/>
        </w:rPr>
        <w:t xml:space="preserve">.’ </w:t>
      </w:r>
      <w:r>
        <w:rPr>
          <w:rFonts w:eastAsia="Cambria"/>
        </w:rPr>
        <w:t xml:space="preserve">Documentary theatre can be characterised by a central or exclusive reliance on </w:t>
      </w:r>
      <w:r w:rsidR="00FF1E33">
        <w:rPr>
          <w:rFonts w:eastAsia="Cambria"/>
        </w:rPr>
        <w:t>‘</w:t>
      </w:r>
      <w:r w:rsidRPr="00CF4370">
        <w:rPr>
          <w:rFonts w:eastAsia="Cambria"/>
          <w:iCs/>
        </w:rPr>
        <w:t>actual</w:t>
      </w:r>
      <w:r w:rsidR="00FF1E33">
        <w:rPr>
          <w:rFonts w:eastAsia="Cambria"/>
          <w:iCs/>
        </w:rPr>
        <w:t>’</w:t>
      </w:r>
      <w:r>
        <w:rPr>
          <w:rFonts w:eastAsia="Cambria"/>
        </w:rPr>
        <w:t xml:space="preserve"> rather than </w:t>
      </w:r>
      <w:r w:rsidR="00FF1E33">
        <w:rPr>
          <w:rFonts w:eastAsia="Cambria"/>
        </w:rPr>
        <w:t>‘</w:t>
      </w:r>
      <w:r w:rsidRPr="00CF4370">
        <w:rPr>
          <w:rFonts w:eastAsia="Cambria"/>
          <w:iCs/>
        </w:rPr>
        <w:t>imaginary</w:t>
      </w:r>
      <w:r w:rsidR="00FF1E33">
        <w:rPr>
          <w:rFonts w:eastAsia="Cambria"/>
          <w:iCs/>
        </w:rPr>
        <w:t>’</w:t>
      </w:r>
      <w:r>
        <w:rPr>
          <w:rFonts w:eastAsia="Cambria"/>
          <w:i/>
        </w:rPr>
        <w:t xml:space="preserve"> </w:t>
      </w:r>
      <w:r>
        <w:rPr>
          <w:rFonts w:eastAsia="Cambria"/>
        </w:rPr>
        <w:t>events (</w:t>
      </w:r>
      <w:proofErr w:type="spellStart"/>
      <w:r>
        <w:rPr>
          <w:rFonts w:eastAsia="Cambria"/>
        </w:rPr>
        <w:t>Favorini</w:t>
      </w:r>
      <w:proofErr w:type="spellEnd"/>
      <w:r>
        <w:rPr>
          <w:rFonts w:eastAsia="Cambria"/>
        </w:rPr>
        <w:t xml:space="preserve"> 1994, 32). As such, it can provide commentary on events, persons and issues normally marginalised by popular modes of information dissemination and publicity in the public sphere. </w:t>
      </w:r>
      <w:r>
        <w:rPr>
          <w:rFonts w:eastAsia="Cambria"/>
        </w:rPr>
        <w:lastRenderedPageBreak/>
        <w:t xml:space="preserve">Following on from a previous theatre project in the prison, the men had expressed a desire to work on a script that would reflect their own real-life experiences. This, combined with the potential for documentary and verbatim theatre to dig beneath the statistics, stigma, and </w:t>
      </w:r>
      <w:proofErr w:type="spellStart"/>
      <w:r>
        <w:rPr>
          <w:rFonts w:eastAsia="Cambria"/>
        </w:rPr>
        <w:t>sensationalisation</w:t>
      </w:r>
      <w:proofErr w:type="spellEnd"/>
      <w:r>
        <w:rPr>
          <w:rFonts w:eastAsia="Cambria"/>
        </w:rPr>
        <w:t xml:space="preserve"> of imprisonment, informed the approach to </w:t>
      </w:r>
      <w:proofErr w:type="spellStart"/>
      <w:r>
        <w:rPr>
          <w:rFonts w:eastAsia="Cambria"/>
          <w:i/>
        </w:rPr>
        <w:t>Ngā</w:t>
      </w:r>
      <w:proofErr w:type="spellEnd"/>
      <w:r>
        <w:rPr>
          <w:rFonts w:eastAsia="Cambria"/>
          <w:i/>
        </w:rPr>
        <w:t xml:space="preserve"> </w:t>
      </w:r>
      <w:proofErr w:type="spellStart"/>
      <w:r>
        <w:rPr>
          <w:rFonts w:eastAsia="Cambria"/>
          <w:i/>
        </w:rPr>
        <w:t>Pātū</w:t>
      </w:r>
      <w:proofErr w:type="spellEnd"/>
      <w:r>
        <w:rPr>
          <w:rFonts w:eastAsia="Cambria"/>
          <w:i/>
        </w:rPr>
        <w:t xml:space="preserve"> </w:t>
      </w:r>
      <w:proofErr w:type="spellStart"/>
      <w:r>
        <w:rPr>
          <w:rFonts w:eastAsia="Cambria"/>
          <w:i/>
        </w:rPr>
        <w:t>Kōrero</w:t>
      </w:r>
      <w:proofErr w:type="spellEnd"/>
      <w:r>
        <w:rPr>
          <w:rFonts w:eastAsia="Cambria"/>
        </w:rPr>
        <w:t>.</w:t>
      </w:r>
    </w:p>
    <w:p w14:paraId="7540A5CB" w14:textId="77777777" w:rsidR="00D74515" w:rsidRDefault="00D74515" w:rsidP="001A1069">
      <w:pPr>
        <w:pStyle w:val="Newparagraph"/>
        <w:spacing w:line="480" w:lineRule="auto"/>
        <w:rPr>
          <w:rFonts w:eastAsia="Cambria"/>
        </w:rPr>
      </w:pPr>
      <w:r>
        <w:rPr>
          <w:rFonts w:eastAsia="Cambria"/>
          <w:iCs/>
        </w:rPr>
        <w:t>The production</w:t>
      </w:r>
      <w:r>
        <w:rPr>
          <w:rFonts w:eastAsia="Cambria"/>
        </w:rPr>
        <w:t xml:space="preserve"> began with two devising workshops in April 2019 facilitated by Rand Hazou and Sarah Woodland. During the workshops, the participants identified </w:t>
      </w:r>
      <w:proofErr w:type="spellStart"/>
      <w:r>
        <w:rPr>
          <w:rFonts w:eastAsia="Cambria"/>
        </w:rPr>
        <w:t>Te</w:t>
      </w:r>
      <w:proofErr w:type="spellEnd"/>
      <w:r>
        <w:rPr>
          <w:rFonts w:eastAsia="Cambria"/>
        </w:rPr>
        <w:t xml:space="preserve"> Whare Tapa </w:t>
      </w:r>
      <w:proofErr w:type="spellStart"/>
      <w:r>
        <w:rPr>
          <w:rFonts w:eastAsia="Cambria"/>
        </w:rPr>
        <w:t>Whā</w:t>
      </w:r>
      <w:proofErr w:type="spellEnd"/>
      <w:r>
        <w:rPr>
          <w:rFonts w:eastAsia="Cambria"/>
        </w:rPr>
        <w:t xml:space="preserve"> as a useful theme to explore as part of the documentary performance. Together we devised questions responding to each of the four walls that would structure the interviews to be carried out in the prison. Examples of questions included: Tell me about your physical body and how it has changed in this place?</w:t>
      </w:r>
      <w:r>
        <w:rPr>
          <w:rFonts w:eastAsia="Cambria"/>
          <w:sz w:val="14"/>
          <w:szCs w:val="14"/>
        </w:rPr>
        <w:t xml:space="preserve">  </w:t>
      </w:r>
      <w:r>
        <w:rPr>
          <w:rFonts w:eastAsia="Cambria"/>
        </w:rPr>
        <w:t xml:space="preserve">What is </w:t>
      </w:r>
      <w:proofErr w:type="spellStart"/>
      <w:r>
        <w:rPr>
          <w:rFonts w:eastAsia="Cambria"/>
        </w:rPr>
        <w:t>wairua</w:t>
      </w:r>
      <w:proofErr w:type="spellEnd"/>
      <w:r>
        <w:rPr>
          <w:rFonts w:eastAsia="Cambria"/>
        </w:rPr>
        <w:t xml:space="preserve"> (spirit) to you and how do you practice it in prison?</w:t>
      </w:r>
      <w:r>
        <w:rPr>
          <w:rFonts w:eastAsia="Cambria"/>
          <w:sz w:val="14"/>
          <w:szCs w:val="14"/>
        </w:rPr>
        <w:t xml:space="preserve"> </w:t>
      </w:r>
      <w:r>
        <w:rPr>
          <w:rFonts w:eastAsia="Cambria"/>
        </w:rPr>
        <w:t>Describe a moment of intense emotion (positive or negative) in prison? What did it teach you? Tell me about a significant person in your life? What did this person teach you? The Interviews were conducted by Hazou with eight volunteers from the unit in early May. They were transcribed verbatim and sections of text were selected and developed into a play with the help of playwright and dramaturg Stuart Hoar. The play relied almost entirely on the words of the incarcerated respondents as recorded in interviews.</w:t>
      </w:r>
      <w:r>
        <w:rPr>
          <w:rFonts w:eastAsia="Cambria"/>
          <w:vertAlign w:val="superscript"/>
        </w:rPr>
        <w:footnoteReference w:id="5"/>
      </w:r>
    </w:p>
    <w:p w14:paraId="4C25469F" w14:textId="6EBBB105" w:rsidR="00D74515" w:rsidRDefault="00D74515" w:rsidP="001A1069">
      <w:pPr>
        <w:pStyle w:val="Newparagraph"/>
        <w:spacing w:line="480" w:lineRule="auto"/>
        <w:rPr>
          <w:rFonts w:eastAsia="Cambria"/>
        </w:rPr>
      </w:pPr>
      <w:r>
        <w:rPr>
          <w:rFonts w:eastAsia="Cambria"/>
        </w:rPr>
        <w:t xml:space="preserve">Importantly, the scripting involved creating composite characters by merging together different sections of interview responses. This was to protect the identity of the interviewees, to create coherent characters that could be played by the different prison actors, and to create some distance and safety for those actors. These decisions stemmed </w:t>
      </w:r>
      <w:r>
        <w:rPr>
          <w:rFonts w:eastAsia="Cambria"/>
        </w:rPr>
        <w:lastRenderedPageBreak/>
        <w:t xml:space="preserve">from an acknowledgement of the social stigma and the risks associated with being labelled a child sex offender. As Webb and Jones (2008, 48) contend, </w:t>
      </w:r>
      <w:r w:rsidR="00696E8A">
        <w:rPr>
          <w:rFonts w:eastAsia="Cambria"/>
        </w:rPr>
        <w:t>‘</w:t>
      </w:r>
      <w:r>
        <w:rPr>
          <w:rFonts w:eastAsia="Cambria"/>
        </w:rPr>
        <w:t>Child sex offences are a particular problem for Māori men, since the cultural and spiritual consequences of these offences on the offenders are worse than for most other offences</w:t>
      </w:r>
      <w:r w:rsidR="00696E8A">
        <w:rPr>
          <w:rFonts w:eastAsia="Cambria"/>
        </w:rPr>
        <w:t>.’</w:t>
      </w:r>
      <w:r w:rsidR="00E7267C">
        <w:rPr>
          <w:rFonts w:eastAsia="Cambria"/>
        </w:rPr>
        <w:t xml:space="preserve"> </w:t>
      </w:r>
      <w:r>
        <w:rPr>
          <w:rFonts w:eastAsia="Cambria"/>
        </w:rPr>
        <w:t xml:space="preserve">Webb and Jones argue that Māori child sex offenders not only incur consequences from the Pākehā legal system, but also </w:t>
      </w:r>
      <w:r w:rsidR="00696E8A">
        <w:rPr>
          <w:rFonts w:eastAsia="Cambria"/>
        </w:rPr>
        <w:t>‘</w:t>
      </w:r>
      <w:r>
        <w:rPr>
          <w:rFonts w:eastAsia="Cambria"/>
        </w:rPr>
        <w:t>deep and damaging cultural and spiritual consequences that would not accrue to other types of offenders</w:t>
      </w:r>
      <w:r w:rsidR="00696E8A">
        <w:rPr>
          <w:rFonts w:eastAsia="Cambria"/>
        </w:rPr>
        <w:t xml:space="preserve">’ </w:t>
      </w:r>
      <w:r>
        <w:rPr>
          <w:rFonts w:eastAsia="Cambria"/>
        </w:rPr>
        <w:t xml:space="preserve">(ibid). Indeed, the danger associated with the taboo nature of sexual offending against children was explicitly referenced by participants in the project. Conversely, participants also highlighted the safety that they often felt as participants in the Te Piriti Special Treatment Programme which is located in a dedicated unit that is </w:t>
      </w:r>
      <w:r w:rsidR="00F54A3B">
        <w:rPr>
          <w:rFonts w:eastAsia="Cambria"/>
        </w:rPr>
        <w:t>separate</w:t>
      </w:r>
      <w:r>
        <w:rPr>
          <w:rFonts w:eastAsia="Cambria"/>
        </w:rPr>
        <w:t xml:space="preserve"> from the larger prison population and in which offenders remain while they complete the programme. These sentiments are expressed in the opening scene of the play, in which the character Hemi describes first arriving in Te Piriti:</w:t>
      </w:r>
    </w:p>
    <w:p w14:paraId="4D130E90" w14:textId="77777777" w:rsidR="00D74515" w:rsidRDefault="00D74515" w:rsidP="001A1069">
      <w:pPr>
        <w:pStyle w:val="Displayedquotation"/>
        <w:spacing w:line="480" w:lineRule="auto"/>
        <w:rPr>
          <w:rFonts w:eastAsia="Cambria"/>
        </w:rPr>
      </w:pPr>
      <w:r>
        <w:rPr>
          <w:rFonts w:eastAsia="Cambria"/>
        </w:rPr>
        <w:t>When I first arrived [in this unit]; I felt quite, how would I put it, curious. Not knowing what will happen to me here, because through the other places I’d been, you know, there was a sort of certain way I had to act, because you’re with other people that may not have liked the things that you had done in the past. So, you had to be very careful not to let them know. Otherwise, you might have found yourself getting hurt. So, it took me a couple of weeks to realise; yeah, this [unit] is a safe place. (</w:t>
      </w:r>
      <w:proofErr w:type="spellStart"/>
      <w:r>
        <w:rPr>
          <w:rFonts w:eastAsia="Cambria"/>
          <w:i/>
        </w:rPr>
        <w:t>Ngā</w:t>
      </w:r>
      <w:proofErr w:type="spellEnd"/>
      <w:r>
        <w:rPr>
          <w:rFonts w:eastAsia="Cambria"/>
          <w:i/>
        </w:rPr>
        <w:t xml:space="preserve"> </w:t>
      </w:r>
      <w:proofErr w:type="spellStart"/>
      <w:r>
        <w:rPr>
          <w:rFonts w:eastAsia="Cambria"/>
          <w:i/>
        </w:rPr>
        <w:t>Pātū</w:t>
      </w:r>
      <w:proofErr w:type="spellEnd"/>
      <w:r>
        <w:rPr>
          <w:rFonts w:eastAsia="Cambria"/>
          <w:i/>
        </w:rPr>
        <w:t xml:space="preserve"> </w:t>
      </w:r>
      <w:proofErr w:type="spellStart"/>
      <w:r>
        <w:rPr>
          <w:rFonts w:eastAsia="Cambria"/>
          <w:i/>
        </w:rPr>
        <w:t>Kōrero</w:t>
      </w:r>
      <w:proofErr w:type="spellEnd"/>
      <w:r>
        <w:rPr>
          <w:rFonts w:eastAsia="Cambria"/>
        </w:rPr>
        <w:t>, Unpublished Script, 2019, 1)</w:t>
      </w:r>
    </w:p>
    <w:p w14:paraId="6F228B1E" w14:textId="79291DEB" w:rsidR="00D74515" w:rsidRDefault="00D74515" w:rsidP="001A1069">
      <w:pPr>
        <w:pStyle w:val="Paragraph"/>
        <w:spacing w:line="480" w:lineRule="auto"/>
        <w:rPr>
          <w:rFonts w:eastAsia="Cambria"/>
        </w:rPr>
      </w:pPr>
      <w:r>
        <w:rPr>
          <w:rFonts w:eastAsia="Cambria"/>
        </w:rPr>
        <w:t>The final script comprised eight scenes: arriving in prison; adapting to life; four scenes each focusing on one of the four walls (</w:t>
      </w:r>
      <w:proofErr w:type="spellStart"/>
      <w:r>
        <w:rPr>
          <w:rFonts w:eastAsia="Cambria"/>
        </w:rPr>
        <w:t>tinana</w:t>
      </w:r>
      <w:proofErr w:type="spellEnd"/>
      <w:r>
        <w:rPr>
          <w:rFonts w:eastAsia="Cambria"/>
        </w:rPr>
        <w:t xml:space="preserve">, </w:t>
      </w:r>
      <w:proofErr w:type="spellStart"/>
      <w:r>
        <w:rPr>
          <w:rFonts w:eastAsia="Cambria"/>
        </w:rPr>
        <w:t>wairua</w:t>
      </w:r>
      <w:proofErr w:type="spellEnd"/>
      <w:r>
        <w:rPr>
          <w:rFonts w:eastAsia="Cambria"/>
        </w:rPr>
        <w:t xml:space="preserve">, </w:t>
      </w:r>
      <w:proofErr w:type="spellStart"/>
      <w:r>
        <w:rPr>
          <w:rFonts w:eastAsia="Cambria"/>
        </w:rPr>
        <w:t>hinengaro</w:t>
      </w:r>
      <w:proofErr w:type="spellEnd"/>
      <w:r>
        <w:rPr>
          <w:rFonts w:eastAsia="Cambria"/>
        </w:rPr>
        <w:t xml:space="preserve">, and </w:t>
      </w:r>
      <w:proofErr w:type="spellStart"/>
      <w:r>
        <w:rPr>
          <w:rFonts w:eastAsia="Cambria"/>
        </w:rPr>
        <w:t>whānau</w:t>
      </w:r>
      <w:proofErr w:type="spellEnd"/>
      <w:r>
        <w:rPr>
          <w:rFonts w:eastAsia="Cambria"/>
        </w:rPr>
        <w:t xml:space="preserve">); a scene about what interviewees would like to </w:t>
      </w:r>
      <w:r w:rsidR="00696E8A">
        <w:rPr>
          <w:rFonts w:eastAsia="Cambria"/>
        </w:rPr>
        <w:t>‘</w:t>
      </w:r>
      <w:r>
        <w:rPr>
          <w:rFonts w:eastAsia="Cambria"/>
        </w:rPr>
        <w:t>build</w:t>
      </w:r>
      <w:r w:rsidR="00696E8A">
        <w:rPr>
          <w:rFonts w:eastAsia="Cambria"/>
        </w:rPr>
        <w:t xml:space="preserve">’ </w:t>
      </w:r>
      <w:r>
        <w:rPr>
          <w:rFonts w:eastAsia="Cambria"/>
        </w:rPr>
        <w:t>for their future; and a final scene about what they would like to leave behind upon release.</w:t>
      </w:r>
    </w:p>
    <w:p w14:paraId="1B3FF1D1" w14:textId="0BEED16E" w:rsidR="00D74515" w:rsidRDefault="00D74515" w:rsidP="001A1069">
      <w:pPr>
        <w:pStyle w:val="Newparagraph"/>
        <w:spacing w:line="480" w:lineRule="auto"/>
        <w:rPr>
          <w:rFonts w:eastAsia="Cambria"/>
        </w:rPr>
      </w:pPr>
      <w:r>
        <w:rPr>
          <w:rFonts w:eastAsia="Cambria"/>
        </w:rPr>
        <w:lastRenderedPageBreak/>
        <w:t xml:space="preserve">The decision to create composite characters in the scripting was also a response to the need to create some distance and safety for the prison actors. Some of the prison interviewees recounted details of their own abuse and trauma, reflecting the intergenerational trauma and lateral violence that is a direct result of colonisation, and contributes to disproportionate </w:t>
      </w:r>
      <w:r w:rsidR="00C97E72">
        <w:rPr>
          <w:rFonts w:eastAsia="Cambria"/>
        </w:rPr>
        <w:t xml:space="preserve">Indigenous </w:t>
      </w:r>
      <w:r>
        <w:rPr>
          <w:rFonts w:eastAsia="Cambria"/>
        </w:rPr>
        <w:t>incarceration rates (</w:t>
      </w:r>
      <w:proofErr w:type="spellStart"/>
      <w:r>
        <w:rPr>
          <w:rFonts w:eastAsia="Cambria"/>
        </w:rPr>
        <w:t>Cunneen</w:t>
      </w:r>
      <w:proofErr w:type="spellEnd"/>
      <w:r>
        <w:rPr>
          <w:rFonts w:eastAsia="Cambria"/>
        </w:rPr>
        <w:t xml:space="preserve"> and Tauri 2016). Julie </w:t>
      </w:r>
      <w:proofErr w:type="spellStart"/>
      <w:r>
        <w:rPr>
          <w:rFonts w:eastAsia="Cambria"/>
        </w:rPr>
        <w:t>Salverson</w:t>
      </w:r>
      <w:proofErr w:type="spellEnd"/>
      <w:r>
        <w:rPr>
          <w:rFonts w:eastAsia="Cambria"/>
        </w:rPr>
        <w:t xml:space="preserve"> (1996) points to the importance of aesthetic form and theatrical structure in ‘containing’ personal traumatic stories, advocating the use of character as a potentially useful container that can provide distance through which participants can </w:t>
      </w:r>
      <w:r w:rsidR="00696E8A">
        <w:rPr>
          <w:rFonts w:eastAsia="Cambria"/>
        </w:rPr>
        <w:t>‘</w:t>
      </w:r>
      <w:r>
        <w:rPr>
          <w:rFonts w:eastAsia="Cambria"/>
        </w:rPr>
        <w:t>re-externalise</w:t>
      </w:r>
      <w:r w:rsidR="00696E8A">
        <w:rPr>
          <w:rFonts w:eastAsia="Cambria"/>
        </w:rPr>
        <w:t xml:space="preserve">’ </w:t>
      </w:r>
      <w:r>
        <w:rPr>
          <w:rFonts w:eastAsia="Cambria"/>
        </w:rPr>
        <w:t>traumatic events onstage (186). This also gave the performers freedom to experiment with different ways of representing the stories, and to not be personally tied to the stories in performance to an outside audience.</w:t>
      </w:r>
    </w:p>
    <w:p w14:paraId="7F2C9266" w14:textId="514399B5" w:rsidR="00D74515" w:rsidRDefault="00D74515" w:rsidP="001A1069">
      <w:pPr>
        <w:pStyle w:val="Newparagraph"/>
        <w:spacing w:line="480" w:lineRule="auto"/>
        <w:rPr>
          <w:rFonts w:eastAsia="Cambria"/>
        </w:rPr>
      </w:pPr>
      <w:r>
        <w:rPr>
          <w:rFonts w:eastAsia="Cambria"/>
        </w:rPr>
        <w:t xml:space="preserve">As an example of documentary and verbatim theatre, </w:t>
      </w:r>
      <w:proofErr w:type="spellStart"/>
      <w:r>
        <w:rPr>
          <w:rFonts w:eastAsia="Cambria"/>
          <w:i/>
        </w:rPr>
        <w:t>Ngā</w:t>
      </w:r>
      <w:proofErr w:type="spellEnd"/>
      <w:r>
        <w:rPr>
          <w:rFonts w:eastAsia="Cambria"/>
          <w:i/>
        </w:rPr>
        <w:t xml:space="preserve"> </w:t>
      </w:r>
      <w:proofErr w:type="spellStart"/>
      <w:r>
        <w:rPr>
          <w:rFonts w:eastAsia="Cambria"/>
          <w:i/>
        </w:rPr>
        <w:t>Pātū</w:t>
      </w:r>
      <w:proofErr w:type="spellEnd"/>
      <w:r>
        <w:rPr>
          <w:rFonts w:eastAsia="Cambria"/>
          <w:i/>
        </w:rPr>
        <w:t xml:space="preserve"> </w:t>
      </w:r>
      <w:proofErr w:type="spellStart"/>
      <w:r>
        <w:rPr>
          <w:rFonts w:eastAsia="Cambria"/>
          <w:i/>
        </w:rPr>
        <w:t>Kōrero</w:t>
      </w:r>
      <w:proofErr w:type="spellEnd"/>
      <w:r>
        <w:rPr>
          <w:rFonts w:eastAsia="Cambria"/>
        </w:rPr>
        <w:t xml:space="preserve"> created potential opportunities for healing by opening spaces to acknowledge certain </w:t>
      </w:r>
      <w:r w:rsidR="00696E8A">
        <w:rPr>
          <w:rFonts w:eastAsia="Cambria"/>
        </w:rPr>
        <w:t>‘</w:t>
      </w:r>
      <w:r>
        <w:rPr>
          <w:rFonts w:eastAsia="Cambria"/>
        </w:rPr>
        <w:t>truths</w:t>
      </w:r>
      <w:r w:rsidR="00696E8A">
        <w:rPr>
          <w:rFonts w:eastAsia="Cambria"/>
        </w:rPr>
        <w:t xml:space="preserve">’ </w:t>
      </w:r>
      <w:r>
        <w:rPr>
          <w:rFonts w:eastAsia="Cambria"/>
        </w:rPr>
        <w:t>by performers and audiences as a precursor to further understanding and restoration. This approach is particularly relevant in theatre practices that focus on justice and healing in post-conflict contexts (</w:t>
      </w:r>
      <w:proofErr w:type="spellStart"/>
      <w:r>
        <w:rPr>
          <w:rFonts w:eastAsia="Cambria"/>
        </w:rPr>
        <w:t>Simic</w:t>
      </w:r>
      <w:proofErr w:type="spellEnd"/>
      <w:r>
        <w:rPr>
          <w:rFonts w:eastAsia="Cambria"/>
        </w:rPr>
        <w:t xml:space="preserve"> 2016). This was an important aspect for the men involved, who </w:t>
      </w:r>
      <w:r w:rsidR="00696E8A">
        <w:rPr>
          <w:rFonts w:eastAsia="Cambria"/>
        </w:rPr>
        <w:t>reflected on how valuable it was</w:t>
      </w:r>
      <w:r>
        <w:rPr>
          <w:rFonts w:eastAsia="Cambria"/>
        </w:rPr>
        <w:t xml:space="preserve"> to participate with safety knowing that despite the taboo and stigma of their crimes, their voices could still be heard. This approach was not about abrogating the responsibility of offenders or marginalising the experience of victims. Rather it might be better understood as an approach informed by tikanga Māori </w:t>
      </w:r>
      <w:r>
        <w:t xml:space="preserve">(cultural protocols) </w:t>
      </w:r>
      <w:r>
        <w:rPr>
          <w:rFonts w:eastAsia="Cambria"/>
        </w:rPr>
        <w:t xml:space="preserve">and the concepts of </w:t>
      </w:r>
      <w:r w:rsidRPr="00AC7C42">
        <w:rPr>
          <w:rFonts w:eastAsia="Cambria"/>
          <w:i/>
          <w:iCs/>
        </w:rPr>
        <w:t xml:space="preserve">mana </w:t>
      </w:r>
      <w:r>
        <w:rPr>
          <w:rFonts w:eastAsia="Cambria"/>
        </w:rPr>
        <w:t xml:space="preserve">and </w:t>
      </w:r>
      <w:r w:rsidRPr="00AC7C42">
        <w:rPr>
          <w:rFonts w:eastAsia="Cambria"/>
          <w:i/>
          <w:iCs/>
        </w:rPr>
        <w:t>utu</w:t>
      </w:r>
      <w:r>
        <w:rPr>
          <w:rFonts w:eastAsia="Cambria"/>
        </w:rPr>
        <w:t>.</w:t>
      </w:r>
    </w:p>
    <w:p w14:paraId="6BF94B16" w14:textId="7406F9D6" w:rsidR="00D74515" w:rsidRDefault="00D74515" w:rsidP="001A1069">
      <w:pPr>
        <w:pStyle w:val="Newparagraph"/>
        <w:spacing w:line="480" w:lineRule="auto"/>
      </w:pPr>
      <w:r>
        <w:t xml:space="preserve">Speaking from a legal perspective, </w:t>
      </w:r>
      <w:proofErr w:type="spellStart"/>
      <w:r w:rsidRPr="00F86732">
        <w:t>Valmaine</w:t>
      </w:r>
      <w:proofErr w:type="spellEnd"/>
      <w:r w:rsidRPr="00F86732">
        <w:t xml:space="preserve"> </w:t>
      </w:r>
      <w:r>
        <w:t>Toki (2018) describes tikanga M</w:t>
      </w:r>
      <w:r>
        <w:rPr>
          <w:rFonts w:eastAsia="Cambria" w:cs="Cambria"/>
        </w:rPr>
        <w:t>ā</w:t>
      </w:r>
      <w:r>
        <w:t xml:space="preserve">ori as the </w:t>
      </w:r>
      <w:r w:rsidR="00332915">
        <w:t>‘</w:t>
      </w:r>
      <w:r>
        <w:t>legal structure</w:t>
      </w:r>
      <w:r w:rsidR="00332915">
        <w:t xml:space="preserve">’ </w:t>
      </w:r>
      <w:r>
        <w:t>that underpins conduct in M</w:t>
      </w:r>
      <w:r>
        <w:rPr>
          <w:rFonts w:eastAsia="Cambria" w:cs="Cambria"/>
        </w:rPr>
        <w:t>ā</w:t>
      </w:r>
      <w:r>
        <w:t>ori society. According to Toki, t</w:t>
      </w:r>
      <w:r w:rsidRPr="00B749BD">
        <w:t>he aim of</w:t>
      </w:r>
      <w:r>
        <w:t xml:space="preserve"> </w:t>
      </w:r>
      <w:r w:rsidRPr="00B749BD">
        <w:t>tikanga</w:t>
      </w:r>
      <w:r>
        <w:t xml:space="preserve"> </w:t>
      </w:r>
      <w:r w:rsidRPr="00B749BD">
        <w:t xml:space="preserve">Maori is </w:t>
      </w:r>
      <w:r w:rsidR="00332915">
        <w:t>‘</w:t>
      </w:r>
      <w:r w:rsidRPr="00B749BD">
        <w:t>to achieve balance</w:t>
      </w:r>
      <w:r w:rsidR="00332915">
        <w:t xml:space="preserve">’ </w:t>
      </w:r>
      <w:r>
        <w:t xml:space="preserve">(37), which involves </w:t>
      </w:r>
      <w:r w:rsidR="00332915">
        <w:t>‘</w:t>
      </w:r>
      <w:r w:rsidRPr="00B749BD">
        <w:t>the restoration of</w:t>
      </w:r>
      <w:r>
        <w:t xml:space="preserve"> </w:t>
      </w:r>
      <w:r w:rsidRPr="00D74515">
        <w:t xml:space="preserve">mana </w:t>
      </w:r>
      <w:r w:rsidRPr="00B749BD">
        <w:t>through</w:t>
      </w:r>
      <w:r>
        <w:t xml:space="preserve"> </w:t>
      </w:r>
      <w:r w:rsidRPr="00D74515">
        <w:t>utu</w:t>
      </w:r>
      <w:r w:rsidR="00332915">
        <w:t>’</w:t>
      </w:r>
      <w:r w:rsidR="00332915" w:rsidRPr="00D74515">
        <w:t xml:space="preserve"> </w:t>
      </w:r>
      <w:r>
        <w:t>(49)</w:t>
      </w:r>
      <w:r w:rsidRPr="00B749BD">
        <w:t>.</w:t>
      </w:r>
      <w:r>
        <w:t xml:space="preserve"> </w:t>
      </w:r>
      <w:r w:rsidRPr="000230B6">
        <w:t xml:space="preserve">While mana can be a complex concept, it can be </w:t>
      </w:r>
      <w:r w:rsidRPr="000230B6">
        <w:lastRenderedPageBreak/>
        <w:t xml:space="preserve">translated as spiritual authority and power (Royal 2003, 4), and as a feature of human relationships, it can be linked to the idea of </w:t>
      </w:r>
      <w:r w:rsidR="00332915">
        <w:t>‘</w:t>
      </w:r>
      <w:r w:rsidRPr="000230B6">
        <w:t>upholding the dignity and wellbeing of a person or persons</w:t>
      </w:r>
      <w:r w:rsidR="00332915">
        <w:t>’</w:t>
      </w:r>
      <w:r w:rsidR="00332915" w:rsidRPr="000230B6">
        <w:t xml:space="preserve"> </w:t>
      </w:r>
      <w:r w:rsidRPr="000230B6">
        <w:t>(Tomlins-Jahnke and Mulholland 2011, 1).</w:t>
      </w:r>
      <w:r>
        <w:t xml:space="preserve"> Utu is more complex and is often erroneously translated as exacting revenge. </w:t>
      </w:r>
      <w:r w:rsidRPr="008462D9">
        <w:t xml:space="preserve">Joan </w:t>
      </w:r>
      <w:proofErr w:type="spellStart"/>
      <w:r w:rsidRPr="008462D9">
        <w:t>Metge</w:t>
      </w:r>
      <w:proofErr w:type="spellEnd"/>
      <w:r w:rsidRPr="008462D9">
        <w:t xml:space="preserve"> describes </w:t>
      </w:r>
      <w:r w:rsidRPr="00D74515">
        <w:t xml:space="preserve">utu </w:t>
      </w:r>
      <w:r>
        <w:t xml:space="preserve">as </w:t>
      </w:r>
      <w:r w:rsidRPr="008462D9">
        <w:t>one of the most important ordering principles in traditional Māori society</w:t>
      </w:r>
      <w:r>
        <w:t>:</w:t>
      </w:r>
      <w:r w:rsidRPr="008462D9">
        <w:t xml:space="preserve"> </w:t>
      </w:r>
      <w:r w:rsidR="00332915">
        <w:t>‘</w:t>
      </w:r>
      <w:r>
        <w:t>T</w:t>
      </w:r>
      <w:r w:rsidRPr="008462D9">
        <w:t xml:space="preserve">he principle of reciprocity, which decreed that every gift received must </w:t>
      </w:r>
      <w:r>
        <w:t>b</w:t>
      </w:r>
      <w:r w:rsidRPr="008462D9">
        <w:t>e reciprocated by one of equivalent or preferably greater value</w:t>
      </w:r>
      <w:r w:rsidR="00332915">
        <w:t>’</w:t>
      </w:r>
      <w:r w:rsidR="00332915" w:rsidRPr="008462D9">
        <w:t xml:space="preserve"> </w:t>
      </w:r>
      <w:r w:rsidRPr="008462D9">
        <w:t>(</w:t>
      </w:r>
      <w:proofErr w:type="spellStart"/>
      <w:r w:rsidRPr="008462D9">
        <w:t>Metge</w:t>
      </w:r>
      <w:proofErr w:type="spellEnd"/>
      <w:r w:rsidRPr="008462D9">
        <w:t xml:space="preserve"> 2010, 19). In their article exploring the legal definitions of </w:t>
      </w:r>
      <w:r w:rsidRPr="00D74515">
        <w:t>utu</w:t>
      </w:r>
      <w:r w:rsidRPr="008462D9">
        <w:t xml:space="preserve">, Tai Ahu, Rachael Hoare, and </w:t>
      </w:r>
      <w:proofErr w:type="spellStart"/>
      <w:r w:rsidRPr="008462D9">
        <w:t>Māmari</w:t>
      </w:r>
      <w:proofErr w:type="spellEnd"/>
      <w:r w:rsidRPr="008462D9">
        <w:t xml:space="preserve"> Stephens </w:t>
      </w:r>
      <w:r>
        <w:t xml:space="preserve">suggest </w:t>
      </w:r>
      <w:r w:rsidRPr="008462D9">
        <w:t xml:space="preserve">that utu </w:t>
      </w:r>
      <w:r w:rsidR="00332915">
        <w:t>‘</w:t>
      </w:r>
      <w:r w:rsidRPr="008462D9">
        <w:t xml:space="preserve">describes the process of restoring </w:t>
      </w:r>
      <w:r>
        <w:t xml:space="preserve">[...] </w:t>
      </w:r>
      <w:r w:rsidRPr="008462D9">
        <w:t>physical and spiritual relationships to an equal or harmonious state</w:t>
      </w:r>
      <w:r w:rsidR="00332915">
        <w:t>’</w:t>
      </w:r>
      <w:r w:rsidR="00332915" w:rsidRPr="008462D9">
        <w:t xml:space="preserve"> </w:t>
      </w:r>
      <w:r w:rsidRPr="008462D9">
        <w:t xml:space="preserve">(Ahu, Hoare, </w:t>
      </w:r>
      <w:r>
        <w:t>and</w:t>
      </w:r>
      <w:r w:rsidRPr="008462D9">
        <w:t xml:space="preserve"> </w:t>
      </w:r>
      <w:r>
        <w:t>Stephens</w:t>
      </w:r>
      <w:r w:rsidRPr="008462D9">
        <w:t xml:space="preserve"> 2011, 2</w:t>
      </w:r>
      <w:r>
        <w:t>03)</w:t>
      </w:r>
      <w:r w:rsidRPr="008462D9">
        <w:t>.</w:t>
      </w:r>
    </w:p>
    <w:p w14:paraId="55C28AE5" w14:textId="2EE3C06D" w:rsidR="00D74515" w:rsidRDefault="00D74515" w:rsidP="001A1069">
      <w:pPr>
        <w:pStyle w:val="Newparagraph"/>
        <w:spacing w:line="480" w:lineRule="auto"/>
        <w:rPr>
          <w:rFonts w:eastAsia="Cambria" w:cs="Cambria"/>
        </w:rPr>
      </w:pPr>
      <w:r>
        <w:t xml:space="preserve">The principles of mana and utu as regulators of imbalance resonates with the </w:t>
      </w:r>
      <w:proofErr w:type="spellStart"/>
      <w:r>
        <w:rPr>
          <w:rFonts w:eastAsia="Cambria" w:cs="Cambria"/>
        </w:rPr>
        <w:t>Te</w:t>
      </w:r>
      <w:proofErr w:type="spellEnd"/>
      <w:r>
        <w:rPr>
          <w:rFonts w:eastAsia="Cambria" w:cs="Cambria"/>
        </w:rPr>
        <w:t xml:space="preserve"> Whare Tapa </w:t>
      </w:r>
      <w:proofErr w:type="spellStart"/>
      <w:r>
        <w:rPr>
          <w:rFonts w:eastAsia="Cambria" w:cs="Cambria"/>
        </w:rPr>
        <w:t>Whā</w:t>
      </w:r>
      <w:proofErr w:type="spellEnd"/>
      <w:r>
        <w:t xml:space="preserve"> model, which </w:t>
      </w:r>
      <w:r w:rsidR="00332915">
        <w:t>‘</w:t>
      </w:r>
      <w:r w:rsidRPr="00B749BD">
        <w:t>recognises the importance of the relational dynamic and</w:t>
      </w:r>
      <w:r>
        <w:t xml:space="preserve"> </w:t>
      </w:r>
      <w:r w:rsidRPr="00B749BD">
        <w:t>ultimately the need for balance: the aim of</w:t>
      </w:r>
      <w:r>
        <w:t xml:space="preserve"> </w:t>
      </w:r>
      <w:r w:rsidRPr="00B749BD">
        <w:t>tikanga</w:t>
      </w:r>
      <w:r w:rsidR="00332915">
        <w:t xml:space="preserve">’ </w:t>
      </w:r>
      <w:r>
        <w:t>(Toki 2018, 67)</w:t>
      </w:r>
      <w:r>
        <w:rPr>
          <w:rStyle w:val="FootnoteReference"/>
          <w:rFonts w:ascii="Cambria" w:hAnsi="Cambria"/>
        </w:rPr>
        <w:footnoteReference w:id="6"/>
      </w:r>
      <w:r>
        <w:t>.</w:t>
      </w:r>
      <w:r>
        <w:rPr>
          <w:rFonts w:eastAsia="Cambria" w:cs="Cambria"/>
        </w:rPr>
        <w:t xml:space="preserve"> In the case of </w:t>
      </w:r>
      <w:proofErr w:type="spellStart"/>
      <w:r>
        <w:rPr>
          <w:rFonts w:eastAsia="Cambria" w:cs="Cambria"/>
          <w:i/>
        </w:rPr>
        <w:t>Ngā</w:t>
      </w:r>
      <w:proofErr w:type="spellEnd"/>
      <w:r>
        <w:rPr>
          <w:rFonts w:eastAsia="Cambria" w:cs="Cambria"/>
          <w:i/>
        </w:rPr>
        <w:t xml:space="preserve"> </w:t>
      </w:r>
      <w:proofErr w:type="spellStart"/>
      <w:r>
        <w:rPr>
          <w:rFonts w:eastAsia="Cambria" w:cs="Cambria"/>
          <w:i/>
        </w:rPr>
        <w:t>Pātū</w:t>
      </w:r>
      <w:proofErr w:type="spellEnd"/>
      <w:r>
        <w:rPr>
          <w:rFonts w:eastAsia="Cambria" w:cs="Cambria"/>
          <w:i/>
        </w:rPr>
        <w:t xml:space="preserve"> </w:t>
      </w:r>
      <w:proofErr w:type="spellStart"/>
      <w:r>
        <w:rPr>
          <w:rFonts w:eastAsia="Cambria" w:cs="Cambria"/>
          <w:i/>
        </w:rPr>
        <w:t>Kōrero</w:t>
      </w:r>
      <w:proofErr w:type="spellEnd"/>
      <w:r>
        <w:rPr>
          <w:rFonts w:eastAsia="Cambria" w:cs="Cambria"/>
        </w:rPr>
        <w:t>, some audience members reflected on how the production created a space to challenge their preconceptions of men who commit sexual offences against children, and make a connection to their humanity. The documentary and verbatim form therefore provided opportunities to engage in processes of collective justice and healing by potentially facilitating acknowledgements that might contribute to a sense of restoration or balance. Further, the form enables a shift from a narrow focus on the crimes themselves and the perpetrators as ‘deviants’ towards a broader understanding of the conditions and factors that precipitate such crimes in the first place.</w:t>
      </w:r>
    </w:p>
    <w:p w14:paraId="23574F6E" w14:textId="77777777" w:rsidR="00D74515" w:rsidRDefault="00D74515" w:rsidP="00116165">
      <w:pPr>
        <w:pStyle w:val="Heading1"/>
        <w:spacing w:line="480" w:lineRule="auto"/>
        <w:rPr>
          <w:rFonts w:eastAsia="Cambria"/>
        </w:rPr>
      </w:pPr>
      <w:r>
        <w:rPr>
          <w:rFonts w:eastAsia="Cambria"/>
        </w:rPr>
        <w:lastRenderedPageBreak/>
        <w:t xml:space="preserve">Masking to reveal: Embodying ‘real’ stories through mask </w:t>
      </w:r>
    </w:p>
    <w:p w14:paraId="678EF970" w14:textId="011CB630" w:rsidR="00D74515" w:rsidRDefault="00D74515" w:rsidP="00E7267C">
      <w:pPr>
        <w:pStyle w:val="Paragraph"/>
        <w:spacing w:before="0" w:line="480" w:lineRule="auto"/>
        <w:rPr>
          <w:rFonts w:eastAsia="Cambria"/>
        </w:rPr>
      </w:pPr>
      <w:r>
        <w:rPr>
          <w:rFonts w:eastAsia="Cambria"/>
        </w:rPr>
        <w:t xml:space="preserve">A key directorial decision early in the creative process for </w:t>
      </w:r>
      <w:proofErr w:type="spellStart"/>
      <w:r>
        <w:rPr>
          <w:rFonts w:eastAsia="Cambria"/>
          <w:i/>
        </w:rPr>
        <w:t>Ngā</w:t>
      </w:r>
      <w:proofErr w:type="spellEnd"/>
      <w:r>
        <w:rPr>
          <w:rFonts w:eastAsia="Cambria"/>
          <w:i/>
        </w:rPr>
        <w:t xml:space="preserve"> </w:t>
      </w:r>
      <w:proofErr w:type="spellStart"/>
      <w:r>
        <w:rPr>
          <w:rFonts w:eastAsia="Cambria"/>
          <w:i/>
        </w:rPr>
        <w:t>Pātū</w:t>
      </w:r>
      <w:proofErr w:type="spellEnd"/>
      <w:r>
        <w:rPr>
          <w:rFonts w:eastAsia="Cambria"/>
          <w:i/>
        </w:rPr>
        <w:t xml:space="preserve"> </w:t>
      </w:r>
      <w:proofErr w:type="spellStart"/>
      <w:r>
        <w:rPr>
          <w:rFonts w:eastAsia="Cambria"/>
          <w:i/>
        </w:rPr>
        <w:t>Kōrero</w:t>
      </w:r>
      <w:proofErr w:type="spellEnd"/>
      <w:r>
        <w:rPr>
          <w:rFonts w:eastAsia="Cambria"/>
        </w:rPr>
        <w:t xml:space="preserve"> was to ensure that spoken text was not privileged over the theatricality of performance. Julie </w:t>
      </w:r>
      <w:proofErr w:type="spellStart"/>
      <w:r>
        <w:rPr>
          <w:rFonts w:eastAsia="Cambria"/>
        </w:rPr>
        <w:t>Salverson</w:t>
      </w:r>
      <w:proofErr w:type="spellEnd"/>
      <w:r>
        <w:rPr>
          <w:rFonts w:eastAsia="Cambria"/>
        </w:rPr>
        <w:t xml:space="preserve"> (1997, 184) describes how in attempting to be faithful to the integrity of a particular story, theatre practitioners often run the risk of resorting to an </w:t>
      </w:r>
      <w:r w:rsidR="00332915">
        <w:rPr>
          <w:rFonts w:eastAsia="Cambria"/>
        </w:rPr>
        <w:t>‘</w:t>
      </w:r>
      <w:r>
        <w:rPr>
          <w:rFonts w:eastAsia="Cambria"/>
        </w:rPr>
        <w:t>idealisation of authenticity</w:t>
      </w:r>
      <w:r w:rsidR="00332915">
        <w:rPr>
          <w:rFonts w:eastAsia="Cambria"/>
        </w:rPr>
        <w:t xml:space="preserve">’ </w:t>
      </w:r>
      <w:r>
        <w:rPr>
          <w:rFonts w:eastAsia="Cambria"/>
        </w:rPr>
        <w:t xml:space="preserve">which emerges at the expense of aesthetic or theatrical forms considered as impositions or distortions to the re-telling project. </w:t>
      </w:r>
      <w:proofErr w:type="spellStart"/>
      <w:r>
        <w:rPr>
          <w:rFonts w:eastAsia="Cambria"/>
        </w:rPr>
        <w:t>Salverson’s</w:t>
      </w:r>
      <w:proofErr w:type="spellEnd"/>
      <w:r>
        <w:rPr>
          <w:rFonts w:eastAsia="Cambria"/>
        </w:rPr>
        <w:t xml:space="preserve"> comments reflect a general concern in recent theatre scholarship seeking to problematise claims to </w:t>
      </w:r>
      <w:r w:rsidR="00332915">
        <w:rPr>
          <w:rFonts w:eastAsia="Cambria"/>
        </w:rPr>
        <w:t>‘</w:t>
      </w:r>
      <w:r>
        <w:rPr>
          <w:rFonts w:eastAsia="Cambria"/>
        </w:rPr>
        <w:t>authenticity</w:t>
      </w:r>
      <w:r w:rsidR="00332915">
        <w:rPr>
          <w:rFonts w:eastAsia="Cambria"/>
        </w:rPr>
        <w:t xml:space="preserve">’ </w:t>
      </w:r>
      <w:r>
        <w:rPr>
          <w:rFonts w:eastAsia="Cambria"/>
        </w:rPr>
        <w:t xml:space="preserve">in documentary theatre projects which purport to represent unmediated access to </w:t>
      </w:r>
      <w:r w:rsidR="00332915">
        <w:rPr>
          <w:rFonts w:eastAsia="Cambria"/>
        </w:rPr>
        <w:t>‘</w:t>
      </w:r>
      <w:r>
        <w:rPr>
          <w:rFonts w:eastAsia="Cambria"/>
        </w:rPr>
        <w:t>real</w:t>
      </w:r>
      <w:r w:rsidR="00332915">
        <w:rPr>
          <w:rFonts w:eastAsia="Cambria"/>
        </w:rPr>
        <w:t xml:space="preserve">’ </w:t>
      </w:r>
      <w:r>
        <w:rPr>
          <w:rFonts w:eastAsia="Cambria"/>
        </w:rPr>
        <w:t xml:space="preserve">stories (Bottoms 2006; Martin 2006). In rehearsing </w:t>
      </w:r>
      <w:proofErr w:type="spellStart"/>
      <w:r>
        <w:rPr>
          <w:rFonts w:eastAsia="Cambria"/>
          <w:i/>
        </w:rPr>
        <w:t>Ngā</w:t>
      </w:r>
      <w:proofErr w:type="spellEnd"/>
      <w:r>
        <w:rPr>
          <w:rFonts w:eastAsia="Cambria"/>
          <w:i/>
        </w:rPr>
        <w:t xml:space="preserve"> </w:t>
      </w:r>
      <w:proofErr w:type="spellStart"/>
      <w:r>
        <w:rPr>
          <w:rFonts w:eastAsia="Cambria"/>
          <w:i/>
        </w:rPr>
        <w:t>Pātū</w:t>
      </w:r>
      <w:proofErr w:type="spellEnd"/>
      <w:r>
        <w:rPr>
          <w:rFonts w:eastAsia="Cambria"/>
          <w:i/>
        </w:rPr>
        <w:t xml:space="preserve"> </w:t>
      </w:r>
      <w:proofErr w:type="spellStart"/>
      <w:r>
        <w:rPr>
          <w:rFonts w:eastAsia="Cambria"/>
          <w:i/>
        </w:rPr>
        <w:t>Kōrero</w:t>
      </w:r>
      <w:proofErr w:type="spellEnd"/>
      <w:r>
        <w:rPr>
          <w:rFonts w:eastAsia="Cambria"/>
        </w:rPr>
        <w:t xml:space="preserve"> the cast were introduced to masks as a way to balance engagement with the ‘real’ stories of incarcerated individuals recorded through the interviewing process with a sense of theatricality and a physical language which were seen as integral modes of engagement for both the prison actors and the eventual audience. </w:t>
      </w:r>
      <w:r w:rsidR="00E75A5B">
        <w:rPr>
          <w:rFonts w:eastAsia="Cambria"/>
        </w:rPr>
        <w:t>Mark Evans (2006, 136) describes mask as a tool that is overtly theatrical, able to force the actor to engage physically with his or her actions, emotions and intentions, and to exteriori</w:t>
      </w:r>
      <w:r w:rsidR="00E51BE2">
        <w:rPr>
          <w:rFonts w:eastAsia="Cambria"/>
        </w:rPr>
        <w:t>s</w:t>
      </w:r>
      <w:r w:rsidR="00E75A5B">
        <w:rPr>
          <w:rFonts w:eastAsia="Cambria"/>
        </w:rPr>
        <w:t xml:space="preserve">e them. </w:t>
      </w:r>
      <w:r>
        <w:rPr>
          <w:rFonts w:eastAsia="Cambria"/>
        </w:rPr>
        <w:t>The masks were also used to provide some further distance and safety between the characters and the actors performing them.</w:t>
      </w:r>
    </w:p>
    <w:p w14:paraId="77E1B606" w14:textId="01CC2143" w:rsidR="00CE689E" w:rsidRDefault="00E75A5B" w:rsidP="00E75A5B">
      <w:pPr>
        <w:pStyle w:val="Newparagraph"/>
        <w:spacing w:line="480" w:lineRule="auto"/>
        <w:rPr>
          <w:color w:val="0E101A"/>
        </w:rPr>
      </w:pPr>
      <w:r>
        <w:rPr>
          <w:color w:val="0E101A"/>
        </w:rPr>
        <w:t xml:space="preserve">The </w:t>
      </w:r>
      <w:r w:rsidRPr="00C97E72">
        <w:rPr>
          <w:color w:val="0E101A"/>
        </w:rPr>
        <w:t xml:space="preserve">masks </w:t>
      </w:r>
      <w:r w:rsidR="00C97E72">
        <w:rPr>
          <w:color w:val="0E101A"/>
        </w:rPr>
        <w:t>operated on a number of levels,</w:t>
      </w:r>
      <w:r w:rsidR="00C97E72" w:rsidRPr="00F1731C">
        <w:rPr>
          <w:color w:val="0E101A"/>
        </w:rPr>
        <w:t xml:space="preserve"> engag</w:t>
      </w:r>
      <w:r w:rsidR="00C97E72">
        <w:rPr>
          <w:color w:val="0E101A"/>
        </w:rPr>
        <w:t>ing</w:t>
      </w:r>
      <w:r w:rsidR="00C97E72" w:rsidRPr="00F1731C">
        <w:rPr>
          <w:color w:val="0E101A"/>
        </w:rPr>
        <w:t xml:space="preserve"> the men in explorations of their own performed identities, </w:t>
      </w:r>
      <w:r w:rsidR="00C97E72">
        <w:rPr>
          <w:color w:val="0E101A"/>
        </w:rPr>
        <w:t>helping to</w:t>
      </w:r>
      <w:r w:rsidR="003C7265">
        <w:rPr>
          <w:color w:val="0E101A"/>
        </w:rPr>
        <w:t xml:space="preserve"> </w:t>
      </w:r>
      <w:r w:rsidR="00C97E72">
        <w:rPr>
          <w:color w:val="0E101A"/>
        </w:rPr>
        <w:t>orient the performance towards</w:t>
      </w:r>
      <w:r w:rsidR="003C7265">
        <w:rPr>
          <w:color w:val="0E101A"/>
        </w:rPr>
        <w:t xml:space="preserve"> cultural rights</w:t>
      </w:r>
      <w:r w:rsidR="00C97E72">
        <w:rPr>
          <w:color w:val="0E101A"/>
        </w:rPr>
        <w:t xml:space="preserve"> and </w:t>
      </w:r>
      <w:r w:rsidR="003C7265">
        <w:rPr>
          <w:color w:val="0E101A"/>
        </w:rPr>
        <w:t>potentially challeng</w:t>
      </w:r>
      <w:r w:rsidR="00C97E72">
        <w:rPr>
          <w:color w:val="0E101A"/>
        </w:rPr>
        <w:t xml:space="preserve">ing </w:t>
      </w:r>
      <w:r>
        <w:rPr>
          <w:color w:val="0E101A"/>
        </w:rPr>
        <w:t>colonial legacies embedded</w:t>
      </w:r>
      <w:r w:rsidR="00C97E72">
        <w:rPr>
          <w:color w:val="0E101A"/>
        </w:rPr>
        <w:t xml:space="preserve"> (and embodied)</w:t>
      </w:r>
      <w:r>
        <w:rPr>
          <w:color w:val="0E101A"/>
        </w:rPr>
        <w:t xml:space="preserve"> within criminal justice.</w:t>
      </w:r>
      <w:r w:rsidRPr="00332915">
        <w:rPr>
          <w:rStyle w:val="FootnoteReference"/>
          <w:rFonts w:ascii="Cambria" w:hAnsi="Cambria"/>
        </w:rPr>
        <w:t xml:space="preserve"> </w:t>
      </w:r>
      <w:r>
        <w:rPr>
          <w:color w:val="0E101A"/>
        </w:rPr>
        <w:t xml:space="preserve">The concept of not having a voice and remaining silent and invisible within the prison environment connects with the mask as a tool that conceals the individual (face and voice) </w:t>
      </w:r>
      <w:r w:rsidR="00AE3D31">
        <w:rPr>
          <w:color w:val="0E101A"/>
        </w:rPr>
        <w:t xml:space="preserve">while simultaneously revealing and highlighting </w:t>
      </w:r>
      <w:r>
        <w:rPr>
          <w:color w:val="0E101A"/>
        </w:rPr>
        <w:t xml:space="preserve">the body, gesture, and movement. Weekly mask workshops were delivered at Paremoremo by Pedro Ilgenfritz, </w:t>
      </w:r>
      <w:r>
        <w:rPr>
          <w:color w:val="0E101A"/>
        </w:rPr>
        <w:lastRenderedPageBreak/>
        <w:t xml:space="preserve">a senior lecturer at Unitec in Auckland, and mask teacher and researcher over seven weeks. The workshops introduced different mask types for the participants to develop theatrical expression, improvisation skills, and theatre craft. </w:t>
      </w:r>
    </w:p>
    <w:p w14:paraId="5B191EF6" w14:textId="32D82531" w:rsidR="00332915" w:rsidRDefault="00CE689E" w:rsidP="00805D19">
      <w:pPr>
        <w:pStyle w:val="Newparagraph"/>
        <w:spacing w:line="480" w:lineRule="auto"/>
        <w:rPr>
          <w:color w:val="0E101A"/>
        </w:rPr>
      </w:pPr>
      <w:r w:rsidRPr="002304F1">
        <w:rPr>
          <w:color w:val="0E101A"/>
        </w:rPr>
        <w:t xml:space="preserve">The first mask the participants encountered was the neutral mask. Mira </w:t>
      </w:r>
      <w:proofErr w:type="spellStart"/>
      <w:r w:rsidRPr="002304F1">
        <w:rPr>
          <w:color w:val="0E101A"/>
        </w:rPr>
        <w:t>Felner</w:t>
      </w:r>
      <w:proofErr w:type="spellEnd"/>
      <w:r w:rsidRPr="002304F1">
        <w:rPr>
          <w:color w:val="0E101A"/>
        </w:rPr>
        <w:t xml:space="preserve"> (1985, 158) </w:t>
      </w:r>
      <w:r w:rsidR="00332915">
        <w:rPr>
          <w:color w:val="0E101A"/>
        </w:rPr>
        <w:t>suggests</w:t>
      </w:r>
      <w:r w:rsidR="00E7267C">
        <w:rPr>
          <w:color w:val="0E101A"/>
        </w:rPr>
        <w:t>:</w:t>
      </w:r>
      <w:r w:rsidRPr="002304F1">
        <w:rPr>
          <w:color w:val="0E101A"/>
        </w:rPr>
        <w:t xml:space="preserve"> </w:t>
      </w:r>
    </w:p>
    <w:p w14:paraId="692A6488" w14:textId="32D79A39" w:rsidR="00332915" w:rsidRPr="00E7267C" w:rsidRDefault="00332915" w:rsidP="00E7267C">
      <w:pPr>
        <w:pStyle w:val="Newparagraph"/>
        <w:spacing w:before="240" w:after="360" w:line="480" w:lineRule="auto"/>
        <w:ind w:left="720" w:right="419" w:firstLine="0"/>
        <w:rPr>
          <w:color w:val="0E101A"/>
          <w:sz w:val="22"/>
          <w:szCs w:val="22"/>
        </w:rPr>
      </w:pPr>
      <w:r>
        <w:rPr>
          <w:color w:val="0E101A"/>
          <w:sz w:val="22"/>
          <w:szCs w:val="22"/>
        </w:rPr>
        <w:t>T</w:t>
      </w:r>
      <w:r w:rsidR="00CE689E" w:rsidRPr="00E7267C">
        <w:rPr>
          <w:color w:val="0E101A"/>
          <w:sz w:val="22"/>
          <w:szCs w:val="22"/>
        </w:rPr>
        <w:t>he neutral mask is a tool to return to a precognitive state, where individuals are free to gather mimic impressions. The neutral mask encourages actors to let go of their physical mannerisms, rhythm, posture, attitudes and assume the presence of a universal being, with no past or future</w:t>
      </w:r>
      <w:r w:rsidRPr="00E7267C">
        <w:rPr>
          <w:color w:val="0E101A"/>
          <w:sz w:val="22"/>
          <w:szCs w:val="22"/>
        </w:rPr>
        <w:t>.</w:t>
      </w:r>
      <w:r w:rsidR="00CE689E" w:rsidRPr="00E7267C">
        <w:rPr>
          <w:color w:val="0E101A"/>
          <w:sz w:val="22"/>
          <w:szCs w:val="22"/>
        </w:rPr>
        <w:t xml:space="preserve"> </w:t>
      </w:r>
    </w:p>
    <w:p w14:paraId="1D094B6F" w14:textId="1FDE52F6" w:rsidR="00805D19" w:rsidRDefault="00CE689E" w:rsidP="00E7267C">
      <w:pPr>
        <w:pStyle w:val="Newparagraph"/>
        <w:spacing w:line="480" w:lineRule="auto"/>
        <w:ind w:firstLine="0"/>
        <w:rPr>
          <w:color w:val="0E101A"/>
        </w:rPr>
      </w:pPr>
      <w:r w:rsidRPr="00F8488B">
        <w:rPr>
          <w:color w:val="0E101A"/>
        </w:rPr>
        <w:t xml:space="preserve">The </w:t>
      </w:r>
      <w:r w:rsidR="00E7267C">
        <w:rPr>
          <w:color w:val="0E101A"/>
        </w:rPr>
        <w:t>participants</w:t>
      </w:r>
      <w:r w:rsidR="00E7267C" w:rsidRPr="00F8488B">
        <w:rPr>
          <w:color w:val="0E101A"/>
        </w:rPr>
        <w:t xml:space="preserve"> </w:t>
      </w:r>
      <w:r w:rsidR="00332915">
        <w:rPr>
          <w:color w:val="0E101A"/>
        </w:rPr>
        <w:t>engaged in</w:t>
      </w:r>
      <w:r w:rsidRPr="00F8488B">
        <w:rPr>
          <w:color w:val="0E101A"/>
        </w:rPr>
        <w:t xml:space="preserve"> neutral mask exercises and improvisations where they </w:t>
      </w:r>
      <w:r w:rsidR="00332915">
        <w:rPr>
          <w:color w:val="0E101A"/>
        </w:rPr>
        <w:t xml:space="preserve">explored </w:t>
      </w:r>
      <w:r w:rsidRPr="00F8488B">
        <w:rPr>
          <w:color w:val="0E101A"/>
        </w:rPr>
        <w:t xml:space="preserve">the concept of </w:t>
      </w:r>
      <w:r w:rsidRPr="00E7267C">
        <w:rPr>
          <w:i/>
          <w:iCs/>
          <w:color w:val="0E101A"/>
        </w:rPr>
        <w:t>not</w:t>
      </w:r>
      <w:r w:rsidRPr="00F8488B">
        <w:rPr>
          <w:color w:val="0E101A"/>
        </w:rPr>
        <w:t xml:space="preserve"> having a character and </w:t>
      </w:r>
      <w:r w:rsidR="00332915">
        <w:rPr>
          <w:color w:val="0E101A"/>
        </w:rPr>
        <w:t xml:space="preserve">the associated </w:t>
      </w:r>
      <w:r w:rsidRPr="00E7267C">
        <w:rPr>
          <w:color w:val="0E101A"/>
        </w:rPr>
        <w:t>individual traits</w:t>
      </w:r>
      <w:r w:rsidR="00332915">
        <w:rPr>
          <w:color w:val="0E101A"/>
        </w:rPr>
        <w:t>.</w:t>
      </w:r>
      <w:r w:rsidRPr="00F8488B">
        <w:rPr>
          <w:color w:val="0E101A"/>
        </w:rPr>
        <w:t xml:space="preserve"> </w:t>
      </w:r>
      <w:r w:rsidR="00332915">
        <w:rPr>
          <w:color w:val="0E101A"/>
        </w:rPr>
        <w:t xml:space="preserve">They were encouraged to express this </w:t>
      </w:r>
      <w:r w:rsidRPr="00F8488B">
        <w:rPr>
          <w:color w:val="0E101A"/>
        </w:rPr>
        <w:t xml:space="preserve">through gesture, rhythm, attitude and movement, and the relationship with time, space, and memory. The possibility of exploring a condition of tabula rasa and inhabiting a way of being that eschews a </w:t>
      </w:r>
      <w:r w:rsidR="00332915">
        <w:rPr>
          <w:color w:val="0E101A"/>
        </w:rPr>
        <w:t>‘</w:t>
      </w:r>
      <w:r w:rsidRPr="00F8488B">
        <w:rPr>
          <w:color w:val="0E101A"/>
        </w:rPr>
        <w:t>past</w:t>
      </w:r>
      <w:r w:rsidR="00332915">
        <w:rPr>
          <w:color w:val="0E101A"/>
        </w:rPr>
        <w:t>’</w:t>
      </w:r>
      <w:r w:rsidRPr="00F8488B">
        <w:rPr>
          <w:color w:val="0E101A"/>
        </w:rPr>
        <w:t xml:space="preserve"> was an incredibly powerful metaphor for the participants, given the inescapable reality of their criminal histories and incarceration. </w:t>
      </w:r>
      <w:r w:rsidR="00332915">
        <w:rPr>
          <w:color w:val="0E101A"/>
        </w:rPr>
        <w:t>Several men observed that</w:t>
      </w:r>
      <w:r w:rsidRPr="00F8488B">
        <w:rPr>
          <w:color w:val="0E101A"/>
        </w:rPr>
        <w:t xml:space="preserve"> it was a revelation to physically experience the state of </w:t>
      </w:r>
      <w:r w:rsidR="00F8488B">
        <w:rPr>
          <w:color w:val="0E101A"/>
        </w:rPr>
        <w:t xml:space="preserve">‘being and </w:t>
      </w:r>
      <w:r w:rsidRPr="00F8488B">
        <w:rPr>
          <w:color w:val="0E101A"/>
        </w:rPr>
        <w:t>doing</w:t>
      </w:r>
      <w:r w:rsidR="00F8488B">
        <w:rPr>
          <w:color w:val="0E101A"/>
        </w:rPr>
        <w:t xml:space="preserve"> </w:t>
      </w:r>
      <w:r w:rsidRPr="00E7267C">
        <w:rPr>
          <w:color w:val="0E101A"/>
        </w:rPr>
        <w:t>for the first time</w:t>
      </w:r>
      <w:r w:rsidR="00F8488B">
        <w:rPr>
          <w:color w:val="0E101A"/>
        </w:rPr>
        <w:t>’</w:t>
      </w:r>
      <w:r w:rsidRPr="00F8488B">
        <w:rPr>
          <w:color w:val="0E101A"/>
        </w:rPr>
        <w:t xml:space="preserve"> with no previous story or narrative. They commented on ideas of </w:t>
      </w:r>
      <w:r w:rsidR="00F8488B">
        <w:rPr>
          <w:color w:val="0E101A"/>
        </w:rPr>
        <w:t>‘</w:t>
      </w:r>
      <w:r w:rsidRPr="00F8488B">
        <w:rPr>
          <w:color w:val="0E101A"/>
        </w:rPr>
        <w:t>purity</w:t>
      </w:r>
      <w:r w:rsidR="00F8488B">
        <w:rPr>
          <w:color w:val="0E101A"/>
        </w:rPr>
        <w:t>’</w:t>
      </w:r>
      <w:r w:rsidRPr="00F8488B">
        <w:rPr>
          <w:color w:val="0E101A"/>
        </w:rPr>
        <w:t xml:space="preserve"> and </w:t>
      </w:r>
      <w:r w:rsidR="00F8488B">
        <w:rPr>
          <w:color w:val="0E101A"/>
        </w:rPr>
        <w:t>‘</w:t>
      </w:r>
      <w:r w:rsidRPr="00F8488B">
        <w:rPr>
          <w:color w:val="0E101A"/>
        </w:rPr>
        <w:t>having no memory</w:t>
      </w:r>
      <w:r w:rsidR="00F8488B">
        <w:rPr>
          <w:color w:val="0E101A"/>
        </w:rPr>
        <w:t xml:space="preserve">’ </w:t>
      </w:r>
      <w:r w:rsidRPr="00F8488B">
        <w:rPr>
          <w:color w:val="0E101A"/>
        </w:rPr>
        <w:t>and related the neutral mask to th</w:t>
      </w:r>
      <w:r w:rsidR="0018724F">
        <w:rPr>
          <w:color w:val="0E101A"/>
        </w:rPr>
        <w:t xml:space="preserve">eir </w:t>
      </w:r>
      <w:r w:rsidR="00E7267C">
        <w:rPr>
          <w:color w:val="0E101A"/>
        </w:rPr>
        <w:t xml:space="preserve">therapy </w:t>
      </w:r>
      <w:r w:rsidR="0018724F">
        <w:rPr>
          <w:color w:val="0E101A"/>
        </w:rPr>
        <w:t xml:space="preserve">at </w:t>
      </w:r>
      <w:proofErr w:type="spellStart"/>
      <w:r w:rsidR="0018724F">
        <w:rPr>
          <w:color w:val="0E101A"/>
        </w:rPr>
        <w:t>Te</w:t>
      </w:r>
      <w:proofErr w:type="spellEnd"/>
      <w:r w:rsidR="0018724F">
        <w:rPr>
          <w:color w:val="0E101A"/>
        </w:rPr>
        <w:t xml:space="preserve"> </w:t>
      </w:r>
      <w:proofErr w:type="spellStart"/>
      <w:r w:rsidR="0018724F">
        <w:rPr>
          <w:color w:val="0E101A"/>
        </w:rPr>
        <w:t>Piriti</w:t>
      </w:r>
      <w:proofErr w:type="spellEnd"/>
      <w:r w:rsidR="0018724F">
        <w:rPr>
          <w:color w:val="0E101A"/>
        </w:rPr>
        <w:t xml:space="preserve"> Unit.</w:t>
      </w:r>
      <w:r w:rsidR="00805D19" w:rsidRPr="00805D19">
        <w:rPr>
          <w:color w:val="0E101A"/>
        </w:rPr>
        <w:t xml:space="preserve"> </w:t>
      </w:r>
    </w:p>
    <w:p w14:paraId="460F65B9" w14:textId="0F24C529" w:rsidR="00805D19" w:rsidRDefault="00805D19" w:rsidP="00F8488B">
      <w:pPr>
        <w:pStyle w:val="Newparagraph"/>
        <w:spacing w:line="480" w:lineRule="auto"/>
        <w:rPr>
          <w:rFonts w:eastAsia="Cambria"/>
        </w:rPr>
      </w:pPr>
      <w:r>
        <w:rPr>
          <w:color w:val="0E101A"/>
        </w:rPr>
        <w:t xml:space="preserve">In the first session, </w:t>
      </w:r>
      <w:r w:rsidR="00E7267C">
        <w:rPr>
          <w:color w:val="0E101A"/>
        </w:rPr>
        <w:t xml:space="preserve">the participants </w:t>
      </w:r>
      <w:r>
        <w:rPr>
          <w:color w:val="0E101A"/>
        </w:rPr>
        <w:t xml:space="preserve">reflected on the parallels between mask in a performance context and their own experience building a new social mask. They spoke eloquently about </w:t>
      </w:r>
      <w:r w:rsidR="00F8488B">
        <w:rPr>
          <w:color w:val="0E101A"/>
        </w:rPr>
        <w:t>‘</w:t>
      </w:r>
      <w:r>
        <w:rPr>
          <w:color w:val="0E101A"/>
        </w:rPr>
        <w:t>changing their mask,</w:t>
      </w:r>
      <w:r w:rsidR="00F8488B">
        <w:rPr>
          <w:color w:val="0E101A"/>
        </w:rPr>
        <w:t>’</w:t>
      </w:r>
      <w:r>
        <w:rPr>
          <w:color w:val="0E101A"/>
        </w:rPr>
        <w:t xml:space="preserve"> </w:t>
      </w:r>
      <w:r w:rsidR="00F8488B">
        <w:rPr>
          <w:color w:val="0E101A"/>
        </w:rPr>
        <w:t>‘</w:t>
      </w:r>
      <w:r>
        <w:rPr>
          <w:color w:val="0E101A"/>
        </w:rPr>
        <w:t>rebuilding a mask,</w:t>
      </w:r>
      <w:r w:rsidR="00F8488B">
        <w:rPr>
          <w:color w:val="0E101A"/>
        </w:rPr>
        <w:t>’</w:t>
      </w:r>
      <w:r>
        <w:rPr>
          <w:color w:val="0E101A"/>
        </w:rPr>
        <w:t xml:space="preserve"> and </w:t>
      </w:r>
      <w:r w:rsidR="00F8488B">
        <w:rPr>
          <w:color w:val="0E101A"/>
        </w:rPr>
        <w:t>‘</w:t>
      </w:r>
      <w:r>
        <w:rPr>
          <w:color w:val="0E101A"/>
        </w:rPr>
        <w:t>coming to terms with their own masks.</w:t>
      </w:r>
      <w:r w:rsidR="00F8488B">
        <w:rPr>
          <w:color w:val="0E101A"/>
        </w:rPr>
        <w:t>’</w:t>
      </w:r>
      <w:r>
        <w:rPr>
          <w:color w:val="0E101A"/>
        </w:rPr>
        <w:t xml:space="preserve"> The men reflected on losing their social identity and having to assume </w:t>
      </w:r>
      <w:r w:rsidR="00F8488B">
        <w:rPr>
          <w:color w:val="0E101A"/>
        </w:rPr>
        <w:t>‘</w:t>
      </w:r>
      <w:r>
        <w:rPr>
          <w:color w:val="0E101A"/>
        </w:rPr>
        <w:t>the prison mask</w:t>
      </w:r>
      <w:r w:rsidR="00B20D0E">
        <w:rPr>
          <w:color w:val="0E101A"/>
        </w:rPr>
        <w:t>.</w:t>
      </w:r>
      <w:r w:rsidR="00F8488B">
        <w:rPr>
          <w:color w:val="0E101A"/>
        </w:rPr>
        <w:t>’</w:t>
      </w:r>
      <w:r>
        <w:rPr>
          <w:color w:val="0E101A"/>
        </w:rPr>
        <w:t xml:space="preserve"> Peter Brook's idea of </w:t>
      </w:r>
      <w:r w:rsidR="00F8488B">
        <w:rPr>
          <w:color w:val="0E101A"/>
        </w:rPr>
        <w:t>‘</w:t>
      </w:r>
      <w:r>
        <w:rPr>
          <w:color w:val="0E101A"/>
        </w:rPr>
        <w:t xml:space="preserve">the invisible made visible’ (1969, 39) as a central aspect of sacredness in theatre gains a new dimension when the inmates put </w:t>
      </w:r>
      <w:r>
        <w:rPr>
          <w:color w:val="0E101A"/>
        </w:rPr>
        <w:lastRenderedPageBreak/>
        <w:t xml:space="preserve">the mask on to unmask the carceral narrative. Workshop participants began to associate the concept of having a mask on stage with their masks in everyday life. One of the men described how mask functioned in the prison context: </w:t>
      </w:r>
      <w:r w:rsidR="00F8488B">
        <w:rPr>
          <w:color w:val="0E101A"/>
        </w:rPr>
        <w:t>‘</w:t>
      </w:r>
      <w:r>
        <w:rPr>
          <w:color w:val="0E101A"/>
        </w:rPr>
        <w:t xml:space="preserve">The first thing that we have to do when we come here [Te Piriti Unit] </w:t>
      </w:r>
      <w:r>
        <w:rPr>
          <w:rFonts w:eastAsia="Cambria"/>
        </w:rPr>
        <w:t>is to remove our mask; we need to be true to ourselves and others</w:t>
      </w:r>
      <w:r w:rsidR="006577F2">
        <w:rPr>
          <w:rFonts w:eastAsia="Cambria"/>
        </w:rPr>
        <w:t>.</w:t>
      </w:r>
      <w:r w:rsidR="00F8488B">
        <w:rPr>
          <w:rFonts w:eastAsia="Cambria"/>
        </w:rPr>
        <w:t xml:space="preserve">’ </w:t>
      </w:r>
      <w:r w:rsidR="006577F2">
        <w:rPr>
          <w:rFonts w:eastAsia="Cambria"/>
        </w:rPr>
        <w:t>A</w:t>
      </w:r>
      <w:r>
        <w:rPr>
          <w:rFonts w:eastAsia="Cambria"/>
        </w:rPr>
        <w:t>nother observed</w:t>
      </w:r>
      <w:r w:rsidR="006577F2">
        <w:rPr>
          <w:rFonts w:eastAsia="Cambria"/>
        </w:rPr>
        <w:t>:</w:t>
      </w:r>
      <w:r>
        <w:rPr>
          <w:rFonts w:eastAsia="Cambria"/>
        </w:rPr>
        <w:t xml:space="preserve"> </w:t>
      </w:r>
      <w:r w:rsidR="00F8488B">
        <w:rPr>
          <w:rFonts w:eastAsia="Cambria"/>
        </w:rPr>
        <w:t>‘</w:t>
      </w:r>
      <w:r>
        <w:rPr>
          <w:rFonts w:eastAsia="Cambria"/>
        </w:rPr>
        <w:t>Masks gave me the freedom to do things I normally don’t do</w:t>
      </w:r>
      <w:r w:rsidR="00B20D0E">
        <w:rPr>
          <w:rFonts w:eastAsia="Cambria"/>
        </w:rPr>
        <w:t>.</w:t>
      </w:r>
      <w:r w:rsidR="00F8488B">
        <w:rPr>
          <w:rFonts w:eastAsia="Cambria"/>
        </w:rPr>
        <w:t>’</w:t>
      </w:r>
      <w:r w:rsidR="00B20D0E">
        <w:rPr>
          <w:rFonts w:eastAsia="Cambria"/>
        </w:rPr>
        <w:t xml:space="preserve"> </w:t>
      </w:r>
      <w:r>
        <w:rPr>
          <w:rFonts w:eastAsia="Cambria"/>
        </w:rPr>
        <w:t>These comments support the idea that using mask in a project such as this can elicit both artistic and therapeutic outcomes. This approach has been explored extensively in the work of Geese Theatre in the UK, who use mask as a central metaphor in their prison-based practice (</w:t>
      </w:r>
      <w:proofErr w:type="spellStart"/>
      <w:r>
        <w:rPr>
          <w:rFonts w:eastAsia="Cambria"/>
        </w:rPr>
        <w:t>Baim</w:t>
      </w:r>
      <w:proofErr w:type="spellEnd"/>
      <w:r>
        <w:rPr>
          <w:rFonts w:eastAsia="Cambria"/>
        </w:rPr>
        <w:t xml:space="preserve">, Brookes, and Mountford 2002). The men </w:t>
      </w:r>
      <w:r w:rsidR="00F8488B">
        <w:rPr>
          <w:rFonts w:eastAsia="Cambria"/>
        </w:rPr>
        <w:t xml:space="preserve">recognised </w:t>
      </w:r>
      <w:r>
        <w:rPr>
          <w:rFonts w:eastAsia="Cambria"/>
        </w:rPr>
        <w:t xml:space="preserve">the metaphor of mask beyond the framework of performance, reflecting on their personal mask, and how masks are not permanent and rigid artefacts, but </w:t>
      </w:r>
      <w:r w:rsidR="009F0A2C">
        <w:rPr>
          <w:rFonts w:eastAsia="Cambria"/>
        </w:rPr>
        <w:t xml:space="preserve">are </w:t>
      </w:r>
      <w:r>
        <w:rPr>
          <w:rFonts w:eastAsia="Cambria"/>
        </w:rPr>
        <w:t>rather in a state of constant flow.</w:t>
      </w:r>
    </w:p>
    <w:p w14:paraId="3FA77BA9" w14:textId="1C65F1C2" w:rsidR="00CE689E" w:rsidRDefault="00CE689E" w:rsidP="009F0A2C">
      <w:pPr>
        <w:pStyle w:val="Newparagraph"/>
        <w:spacing w:line="480" w:lineRule="auto"/>
        <w:rPr>
          <w:color w:val="0E101A"/>
        </w:rPr>
      </w:pPr>
      <w:r w:rsidRPr="002304F1">
        <w:rPr>
          <w:color w:val="0E101A"/>
        </w:rPr>
        <w:t xml:space="preserve">The second set of masks workshop participants encountered were character masks, allowing them to explore </w:t>
      </w:r>
      <w:r w:rsidR="00B20D0E">
        <w:rPr>
          <w:color w:val="0E101A"/>
        </w:rPr>
        <w:t>the</w:t>
      </w:r>
      <w:r w:rsidR="002304F1" w:rsidRPr="002304F1">
        <w:rPr>
          <w:color w:val="0E101A"/>
        </w:rPr>
        <w:t xml:space="preserve"> </w:t>
      </w:r>
      <w:r w:rsidRPr="002304F1">
        <w:rPr>
          <w:color w:val="0E101A"/>
        </w:rPr>
        <w:t>physicality</w:t>
      </w:r>
      <w:r w:rsidR="00B20D0E">
        <w:rPr>
          <w:color w:val="0E101A"/>
        </w:rPr>
        <w:t xml:space="preserve"> of different personas</w:t>
      </w:r>
      <w:r w:rsidRPr="002304F1">
        <w:rPr>
          <w:color w:val="0E101A"/>
        </w:rPr>
        <w:t xml:space="preserve"> and investigate simple dramatic situations. It was clear that the masks allowed</w:t>
      </w:r>
      <w:r w:rsidR="002304F1">
        <w:rPr>
          <w:color w:val="0E101A"/>
        </w:rPr>
        <w:t xml:space="preserve"> the men</w:t>
      </w:r>
      <w:r w:rsidRPr="002304F1">
        <w:rPr>
          <w:color w:val="0E101A"/>
        </w:rPr>
        <w:t xml:space="preserve"> a certain aesthetic distance from themselves and safety to explore dramatic situations without exposing their persona</w:t>
      </w:r>
      <w:r w:rsidR="002304F1">
        <w:rPr>
          <w:color w:val="0E101A"/>
        </w:rPr>
        <w:t>s</w:t>
      </w:r>
      <w:r w:rsidRPr="002304F1">
        <w:rPr>
          <w:color w:val="0E101A"/>
        </w:rPr>
        <w:t xml:space="preserve"> to each other and the workshop facilitators. In the last part of the workshop, participants had the opportunity to work with the New Zealand Masks. These masks were designed by sculptor Kate Lang in collaboration with Pedro Ilgenfritz, and they depict New Zealand archetypes </w:t>
      </w:r>
      <w:r w:rsidR="002304F1">
        <w:rPr>
          <w:color w:val="0E101A"/>
        </w:rPr>
        <w:t>representing</w:t>
      </w:r>
      <w:r w:rsidRPr="002304F1">
        <w:rPr>
          <w:color w:val="0E101A"/>
        </w:rPr>
        <w:t xml:space="preserve"> Aotearoa's cultural diversity</w:t>
      </w:r>
      <w:r w:rsidR="002304F1">
        <w:rPr>
          <w:color w:val="0E101A"/>
        </w:rPr>
        <w:t xml:space="preserve"> but nevertheless created in the European mask making tradition</w:t>
      </w:r>
      <w:r w:rsidRPr="002304F1">
        <w:rPr>
          <w:color w:val="0E101A"/>
        </w:rPr>
        <w:t>.</w:t>
      </w:r>
      <w:r w:rsidR="00805D19" w:rsidRPr="00805D19">
        <w:rPr>
          <w:rStyle w:val="FootnoteReference"/>
          <w:rFonts w:ascii="Cambria" w:hAnsi="Cambria"/>
        </w:rPr>
        <w:t xml:space="preserve"> </w:t>
      </w:r>
      <w:r w:rsidR="00805D19" w:rsidRPr="005E6121">
        <w:rPr>
          <w:rStyle w:val="FootnoteReference"/>
          <w:rFonts w:ascii="Cambria" w:hAnsi="Cambria"/>
        </w:rPr>
        <w:footnoteReference w:id="7"/>
      </w:r>
      <w:r w:rsidRPr="002304F1">
        <w:rPr>
          <w:color w:val="0E101A"/>
        </w:rPr>
        <w:t xml:space="preserve"> </w:t>
      </w:r>
      <w:r w:rsidR="00805D19">
        <w:rPr>
          <w:rFonts w:eastAsia="Cambria"/>
        </w:rPr>
        <w:t xml:space="preserve">The masks gave the men at Te Piriti confidence and knowledge that was transferred to the </w:t>
      </w:r>
      <w:r w:rsidR="00805D19">
        <w:rPr>
          <w:rFonts w:eastAsia="Cambria"/>
        </w:rPr>
        <w:lastRenderedPageBreak/>
        <w:t xml:space="preserve">performance of </w:t>
      </w:r>
      <w:proofErr w:type="spellStart"/>
      <w:r w:rsidR="00805D19">
        <w:rPr>
          <w:rFonts w:eastAsia="Cambria"/>
          <w:i/>
        </w:rPr>
        <w:t>Ngā</w:t>
      </w:r>
      <w:proofErr w:type="spellEnd"/>
      <w:r w:rsidR="00805D19">
        <w:rPr>
          <w:rFonts w:eastAsia="Cambria"/>
          <w:i/>
        </w:rPr>
        <w:t xml:space="preserve"> </w:t>
      </w:r>
      <w:proofErr w:type="spellStart"/>
      <w:r w:rsidR="00805D19">
        <w:rPr>
          <w:rFonts w:eastAsia="Cambria"/>
          <w:i/>
        </w:rPr>
        <w:t>Pātū</w:t>
      </w:r>
      <w:proofErr w:type="spellEnd"/>
      <w:r w:rsidR="00805D19">
        <w:rPr>
          <w:rFonts w:eastAsia="Cambria"/>
          <w:i/>
        </w:rPr>
        <w:t xml:space="preserve"> </w:t>
      </w:r>
      <w:proofErr w:type="spellStart"/>
      <w:r w:rsidR="00805D19">
        <w:rPr>
          <w:rFonts w:eastAsia="Cambria"/>
          <w:i/>
        </w:rPr>
        <w:t>Kōrero</w:t>
      </w:r>
      <w:proofErr w:type="spellEnd"/>
      <w:r w:rsidR="00805D19">
        <w:rPr>
          <w:rFonts w:eastAsia="Cambria"/>
          <w:i/>
        </w:rPr>
        <w:t>: Walls That Talk</w:t>
      </w:r>
      <w:r w:rsidR="009F5D4B">
        <w:rPr>
          <w:rFonts w:eastAsia="Cambria"/>
          <w:iCs/>
        </w:rPr>
        <w:t xml:space="preserve"> (Fig. 2)</w:t>
      </w:r>
      <w:r w:rsidR="00805D19">
        <w:rPr>
          <w:rFonts w:eastAsia="Cambria"/>
        </w:rPr>
        <w:t xml:space="preserve">. </w:t>
      </w:r>
      <w:r w:rsidRPr="002304F1">
        <w:rPr>
          <w:color w:val="0E101A"/>
        </w:rPr>
        <w:t xml:space="preserve">The verbatim text </w:t>
      </w:r>
      <w:r w:rsidR="00AE3D31">
        <w:rPr>
          <w:color w:val="0E101A"/>
        </w:rPr>
        <w:t xml:space="preserve">composed of </w:t>
      </w:r>
      <w:r w:rsidRPr="002304F1">
        <w:rPr>
          <w:color w:val="0E101A"/>
        </w:rPr>
        <w:t>their own stories was performed using the New Zealand masks, allowing them to safeguard their own identities, take liberties in terms of physicality and character construction, and</w:t>
      </w:r>
      <w:r w:rsidR="00AE3D31">
        <w:rPr>
          <w:color w:val="0E101A"/>
        </w:rPr>
        <w:t xml:space="preserve"> providing</w:t>
      </w:r>
      <w:r w:rsidRPr="002304F1">
        <w:rPr>
          <w:color w:val="0E101A"/>
        </w:rPr>
        <w:t xml:space="preserve"> a technical base to explore the details and intricacies of the text.</w:t>
      </w:r>
    </w:p>
    <w:p w14:paraId="7A766B1D" w14:textId="77350173" w:rsidR="0025308E" w:rsidRDefault="0025308E" w:rsidP="009F0A2C">
      <w:pPr>
        <w:pStyle w:val="Newparagraph"/>
        <w:spacing w:line="480" w:lineRule="auto"/>
        <w:rPr>
          <w:color w:val="0E101A"/>
        </w:rPr>
      </w:pPr>
    </w:p>
    <w:p w14:paraId="2BBF936E" w14:textId="5D0E7DED" w:rsidR="006E5B70" w:rsidRDefault="006E5B70" w:rsidP="0025308E">
      <w:pPr>
        <w:pStyle w:val="Figurecaption"/>
        <w:rPr>
          <w:rFonts w:eastAsia="Cambria"/>
        </w:rPr>
      </w:pPr>
      <w:r>
        <w:rPr>
          <w:rFonts w:eastAsia="Cambria"/>
          <w:noProof/>
        </w:rPr>
        <w:drawing>
          <wp:inline distT="0" distB="0" distL="0" distR="0" wp14:anchorId="1001C764" wp14:editId="669754D9">
            <wp:extent cx="5396865" cy="3599180"/>
            <wp:effectExtent l="0" t="0" r="635" b="0"/>
            <wp:docPr id="2" name="Picture 2" descr="A picture containing person, indoor, people, grou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person, indoor, people, group&#10;&#10;Description automatically generated"/>
                    <pic:cNvPicPr/>
                  </pic:nvPicPr>
                  <pic:blipFill>
                    <a:blip r:embed="rId9" cstate="hqprint">
                      <a:extLst>
                        <a:ext uri="{28A0092B-C50C-407E-A947-70E740481C1C}">
                          <a14:useLocalDpi xmlns:a14="http://schemas.microsoft.com/office/drawing/2010/main" val="0"/>
                        </a:ext>
                      </a:extLst>
                    </a:blip>
                    <a:stretch>
                      <a:fillRect/>
                    </a:stretch>
                  </pic:blipFill>
                  <pic:spPr>
                    <a:xfrm>
                      <a:off x="0" y="0"/>
                      <a:ext cx="5396865" cy="3599180"/>
                    </a:xfrm>
                    <a:prstGeom prst="rect">
                      <a:avLst/>
                    </a:prstGeom>
                  </pic:spPr>
                </pic:pic>
              </a:graphicData>
            </a:graphic>
          </wp:inline>
        </w:drawing>
      </w:r>
    </w:p>
    <w:p w14:paraId="6C4B61BB" w14:textId="33A3BE12" w:rsidR="0025308E" w:rsidRDefault="0025308E" w:rsidP="0025308E">
      <w:pPr>
        <w:pStyle w:val="Figurecaption"/>
        <w:rPr>
          <w:rFonts w:eastAsia="Cambria"/>
        </w:rPr>
      </w:pPr>
      <w:r>
        <w:rPr>
          <w:rFonts w:eastAsia="Cambria"/>
        </w:rPr>
        <w:t xml:space="preserve">Fig.2 A scene from the play showing the use of the half-masks created by Kate Lang and Pedro </w:t>
      </w:r>
      <w:proofErr w:type="spellStart"/>
      <w:r>
        <w:rPr>
          <w:rFonts w:eastAsia="Cambria"/>
        </w:rPr>
        <w:t>Ilgenfritz</w:t>
      </w:r>
      <w:proofErr w:type="spellEnd"/>
      <w:r>
        <w:rPr>
          <w:rFonts w:eastAsia="Cambria"/>
        </w:rPr>
        <w:t xml:space="preserve"> </w:t>
      </w:r>
      <w:r w:rsidRPr="001A1069">
        <w:rPr>
          <w:rFonts w:eastAsia="Cambria"/>
        </w:rPr>
        <w:t>to enhance the physical skills and expressiveness of the performers</w:t>
      </w:r>
      <w:r>
        <w:rPr>
          <w:rFonts w:eastAsia="Cambria"/>
        </w:rPr>
        <w:t>. Photo credit: Sarah Woodland.</w:t>
      </w:r>
    </w:p>
    <w:p w14:paraId="03D1FE79" w14:textId="77777777" w:rsidR="0025308E" w:rsidRPr="00931CAC" w:rsidRDefault="0025308E" w:rsidP="00931CAC"/>
    <w:p w14:paraId="20663C1D" w14:textId="10AC63C2" w:rsidR="001F26EB" w:rsidRDefault="00D74515" w:rsidP="001F26EB">
      <w:pPr>
        <w:pStyle w:val="Newparagraph"/>
        <w:spacing w:line="480" w:lineRule="auto"/>
        <w:rPr>
          <w:rFonts w:eastAsia="Cambria"/>
        </w:rPr>
      </w:pPr>
      <w:r>
        <w:rPr>
          <w:rFonts w:eastAsia="Cambria"/>
        </w:rPr>
        <w:t xml:space="preserve">Sam </w:t>
      </w:r>
      <w:proofErr w:type="spellStart"/>
      <w:r>
        <w:rPr>
          <w:rFonts w:eastAsia="Cambria"/>
        </w:rPr>
        <w:t>McKegney</w:t>
      </w:r>
      <w:proofErr w:type="spellEnd"/>
      <w:r>
        <w:rPr>
          <w:rFonts w:eastAsia="Cambria"/>
        </w:rPr>
        <w:t xml:space="preserve"> (2016, 202-204) discusses the </w:t>
      </w:r>
      <w:r w:rsidR="002304F1">
        <w:rPr>
          <w:rFonts w:eastAsia="Cambria"/>
        </w:rPr>
        <w:t>‘</w:t>
      </w:r>
      <w:r>
        <w:rPr>
          <w:rFonts w:eastAsia="Cambria"/>
        </w:rPr>
        <w:t>fracturing</w:t>
      </w:r>
      <w:r w:rsidR="002304F1">
        <w:rPr>
          <w:rFonts w:eastAsia="Cambria"/>
        </w:rPr>
        <w:t xml:space="preserve">’ </w:t>
      </w:r>
      <w:r>
        <w:rPr>
          <w:rFonts w:eastAsia="Cambria"/>
        </w:rPr>
        <w:t xml:space="preserve">of connections between mind and body and the </w:t>
      </w:r>
      <w:r w:rsidR="002304F1">
        <w:rPr>
          <w:rFonts w:eastAsia="Cambria"/>
        </w:rPr>
        <w:t>‘</w:t>
      </w:r>
      <w:r>
        <w:rPr>
          <w:rFonts w:eastAsia="Cambria"/>
        </w:rPr>
        <w:t>coerced disembodiment</w:t>
      </w:r>
      <w:r w:rsidR="002304F1">
        <w:rPr>
          <w:rFonts w:eastAsia="Cambria"/>
        </w:rPr>
        <w:t xml:space="preserve">’ </w:t>
      </w:r>
      <w:r>
        <w:rPr>
          <w:rFonts w:eastAsia="Cambria"/>
        </w:rPr>
        <w:t xml:space="preserve">of Indigenous men through the colonial project, via carceral systems of control such as residential schools. He cites </w:t>
      </w:r>
      <w:proofErr w:type="spellStart"/>
      <w:r>
        <w:rPr>
          <w:rFonts w:eastAsia="Cambria"/>
        </w:rPr>
        <w:t>Hokowhitu</w:t>
      </w:r>
      <w:proofErr w:type="spellEnd"/>
      <w:r>
        <w:rPr>
          <w:rFonts w:eastAsia="Cambria"/>
        </w:rPr>
        <w:t xml:space="preserve"> (2009), who argues in relation to </w:t>
      </w:r>
      <w:proofErr w:type="spellStart"/>
      <w:r>
        <w:rPr>
          <w:rFonts w:eastAsia="Cambria"/>
        </w:rPr>
        <w:t>Māori</w:t>
      </w:r>
      <w:proofErr w:type="spellEnd"/>
      <w:r>
        <w:rPr>
          <w:rFonts w:eastAsia="Cambria"/>
        </w:rPr>
        <w:t xml:space="preserve"> masculinities that </w:t>
      </w:r>
      <w:r w:rsidR="00C97E72">
        <w:rPr>
          <w:rFonts w:eastAsia="Cambria"/>
        </w:rPr>
        <w:t>colonisation</w:t>
      </w:r>
      <w:r>
        <w:rPr>
          <w:rFonts w:eastAsia="Cambria"/>
        </w:rPr>
        <w:t xml:space="preserve"> involved the </w:t>
      </w:r>
      <w:r w:rsidR="002304F1">
        <w:rPr>
          <w:rFonts w:eastAsia="Cambria"/>
        </w:rPr>
        <w:t>‘</w:t>
      </w:r>
      <w:r>
        <w:rPr>
          <w:rFonts w:eastAsia="Cambria"/>
        </w:rPr>
        <w:t>domestication</w:t>
      </w:r>
      <w:r w:rsidR="002304F1">
        <w:rPr>
          <w:rFonts w:eastAsia="Cambria"/>
        </w:rPr>
        <w:t xml:space="preserve">’ </w:t>
      </w:r>
      <w:r>
        <w:rPr>
          <w:rFonts w:eastAsia="Cambria"/>
        </w:rPr>
        <w:t xml:space="preserve">of </w:t>
      </w:r>
      <w:proofErr w:type="spellStart"/>
      <w:r>
        <w:rPr>
          <w:rFonts w:eastAsia="Cambria"/>
        </w:rPr>
        <w:t>Māori</w:t>
      </w:r>
      <w:proofErr w:type="spellEnd"/>
      <w:r>
        <w:rPr>
          <w:rFonts w:eastAsia="Cambria"/>
        </w:rPr>
        <w:t xml:space="preserve"> male physicality. Institutions of incarceration </w:t>
      </w:r>
      <w:r w:rsidR="002304F1">
        <w:rPr>
          <w:rFonts w:eastAsia="Cambria"/>
        </w:rPr>
        <w:lastRenderedPageBreak/>
        <w:t>‘</w:t>
      </w:r>
      <w:r>
        <w:rPr>
          <w:rFonts w:eastAsia="Cambria"/>
        </w:rPr>
        <w:t>seek to limit embodied experience and replace it with fear of and revulsion toward the body</w:t>
      </w:r>
      <w:r w:rsidR="002304F1">
        <w:rPr>
          <w:rFonts w:eastAsia="Cambria"/>
        </w:rPr>
        <w:t xml:space="preserve">’ </w:t>
      </w:r>
      <w:r>
        <w:rPr>
          <w:rFonts w:eastAsia="Cambria"/>
        </w:rPr>
        <w:t>(</w:t>
      </w:r>
      <w:r w:rsidRPr="001F26EB">
        <w:rPr>
          <w:rFonts w:eastAsia="Cambria"/>
        </w:rPr>
        <w:t xml:space="preserve">204). </w:t>
      </w:r>
      <w:r w:rsidRPr="0024702B">
        <w:rPr>
          <w:rFonts w:eastAsia="Cambria"/>
        </w:rPr>
        <w:t xml:space="preserve">The </w:t>
      </w:r>
      <w:proofErr w:type="spellStart"/>
      <w:r w:rsidRPr="0024702B">
        <w:rPr>
          <w:rFonts w:eastAsia="Cambria"/>
        </w:rPr>
        <w:t>Te</w:t>
      </w:r>
      <w:proofErr w:type="spellEnd"/>
      <w:r w:rsidRPr="0024702B">
        <w:rPr>
          <w:rFonts w:eastAsia="Cambria"/>
        </w:rPr>
        <w:t xml:space="preserve"> Whare Tapa </w:t>
      </w:r>
      <w:proofErr w:type="spellStart"/>
      <w:r w:rsidRPr="0024702B">
        <w:rPr>
          <w:rFonts w:eastAsia="Cambria"/>
        </w:rPr>
        <w:t>Whā</w:t>
      </w:r>
      <w:proofErr w:type="spellEnd"/>
      <w:r w:rsidRPr="0024702B">
        <w:rPr>
          <w:rFonts w:eastAsia="Cambria"/>
        </w:rPr>
        <w:t xml:space="preserve"> model seeks to reunify in a holistic sense, elements that were disaggregated by Western concepts of health and wellbeing</w:t>
      </w:r>
      <w:r w:rsidR="009F0A2C" w:rsidRPr="000E01C9">
        <w:rPr>
          <w:rFonts w:eastAsia="Cambria"/>
        </w:rPr>
        <w:t xml:space="preserve">, and in the production, the </w:t>
      </w:r>
      <w:r w:rsidRPr="00C02CBA">
        <w:rPr>
          <w:rFonts w:eastAsia="Cambria"/>
        </w:rPr>
        <w:t xml:space="preserve">mask and physical performance </w:t>
      </w:r>
      <w:r w:rsidR="009F0A2C" w:rsidRPr="00C02CBA">
        <w:rPr>
          <w:rFonts w:eastAsia="Cambria"/>
        </w:rPr>
        <w:t xml:space="preserve">provided </w:t>
      </w:r>
      <w:r w:rsidR="003B08FD" w:rsidRPr="00C02CBA">
        <w:rPr>
          <w:rFonts w:eastAsia="Cambria"/>
        </w:rPr>
        <w:t>an opportunity</w:t>
      </w:r>
      <w:r w:rsidRPr="00C02CBA">
        <w:rPr>
          <w:rFonts w:eastAsia="Cambria"/>
        </w:rPr>
        <w:t xml:space="preserve"> to facilitate a kind of re-embodiment</w:t>
      </w:r>
      <w:r w:rsidR="001F26EB" w:rsidRPr="00C97E72">
        <w:rPr>
          <w:rFonts w:eastAsia="Cambria"/>
        </w:rPr>
        <w:t xml:space="preserve"> and engender a more holistic and relational focus that is indicative of</w:t>
      </w:r>
      <w:r w:rsidR="001F26EB" w:rsidRPr="001F26EB">
        <w:rPr>
          <w:rFonts w:eastAsia="Cambria"/>
        </w:rPr>
        <w:t xml:space="preserve"> a Māori worldview</w:t>
      </w:r>
      <w:r w:rsidR="001F26EB" w:rsidRPr="0024702B">
        <w:rPr>
          <w:rFonts w:eastAsia="Cambria"/>
        </w:rPr>
        <w:t>.</w:t>
      </w:r>
    </w:p>
    <w:p w14:paraId="12D16F0C" w14:textId="77777777" w:rsidR="00D74515" w:rsidRDefault="00D74515" w:rsidP="00116165">
      <w:pPr>
        <w:pStyle w:val="Heading1"/>
        <w:spacing w:line="480" w:lineRule="auto"/>
        <w:rPr>
          <w:rFonts w:eastAsia="Cambria"/>
        </w:rPr>
      </w:pPr>
      <w:proofErr w:type="spellStart"/>
      <w:r>
        <w:rPr>
          <w:rFonts w:eastAsia="Cambria"/>
        </w:rPr>
        <w:t>Te</w:t>
      </w:r>
      <w:proofErr w:type="spellEnd"/>
      <w:r>
        <w:rPr>
          <w:rFonts w:eastAsia="Cambria"/>
        </w:rPr>
        <w:t xml:space="preserve"> Whare Tapa </w:t>
      </w:r>
      <w:proofErr w:type="spellStart"/>
      <w:r>
        <w:rPr>
          <w:rFonts w:eastAsia="Cambria"/>
        </w:rPr>
        <w:t>Whā</w:t>
      </w:r>
      <w:proofErr w:type="spellEnd"/>
      <w:r>
        <w:rPr>
          <w:rFonts w:eastAsia="Cambria"/>
        </w:rPr>
        <w:t xml:space="preserve"> in performance</w:t>
      </w:r>
    </w:p>
    <w:p w14:paraId="079DE19A" w14:textId="3D6C7A00" w:rsidR="00D74515" w:rsidRDefault="00D74515" w:rsidP="001A1069">
      <w:pPr>
        <w:pStyle w:val="Paragraph"/>
        <w:spacing w:line="480" w:lineRule="auto"/>
        <w:rPr>
          <w:rFonts w:eastAsia="Cambria"/>
        </w:rPr>
      </w:pPr>
      <w:r>
        <w:rPr>
          <w:rFonts w:eastAsia="Cambria"/>
        </w:rPr>
        <w:t xml:space="preserve">During the 1980s in New Zealand, there was increasing interest </w:t>
      </w:r>
      <w:proofErr w:type="spellStart"/>
      <w:r>
        <w:rPr>
          <w:rFonts w:eastAsia="Cambria"/>
        </w:rPr>
        <w:t>Māori</w:t>
      </w:r>
      <w:proofErr w:type="spellEnd"/>
      <w:r>
        <w:rPr>
          <w:rFonts w:eastAsia="Cambria"/>
        </w:rPr>
        <w:t xml:space="preserve"> conceptions of wellbeing and a growing awareness of the limitations of Western treatment models in addressing the health needs of </w:t>
      </w:r>
      <w:proofErr w:type="spellStart"/>
      <w:r>
        <w:rPr>
          <w:rFonts w:eastAsia="Cambria"/>
        </w:rPr>
        <w:t>Māori</w:t>
      </w:r>
      <w:proofErr w:type="spellEnd"/>
      <w:r>
        <w:rPr>
          <w:rFonts w:eastAsia="Cambria"/>
        </w:rPr>
        <w:t xml:space="preserve"> (</w:t>
      </w:r>
      <w:proofErr w:type="spellStart"/>
      <w:r>
        <w:rPr>
          <w:rFonts w:eastAsia="Cambria"/>
        </w:rPr>
        <w:t>Thakker</w:t>
      </w:r>
      <w:proofErr w:type="spellEnd"/>
      <w:r>
        <w:rPr>
          <w:rFonts w:eastAsia="Cambria"/>
        </w:rPr>
        <w:t xml:space="preserve"> 2013, 398). This led to the development of several models of Māori health of which </w:t>
      </w:r>
      <w:proofErr w:type="spellStart"/>
      <w:r>
        <w:rPr>
          <w:rFonts w:eastAsia="Cambria"/>
        </w:rPr>
        <w:t>Te</w:t>
      </w:r>
      <w:proofErr w:type="spellEnd"/>
      <w:r>
        <w:rPr>
          <w:rFonts w:eastAsia="Cambria"/>
        </w:rPr>
        <w:t xml:space="preserve"> Whare Tapa </w:t>
      </w:r>
      <w:proofErr w:type="spellStart"/>
      <w:r>
        <w:rPr>
          <w:rFonts w:eastAsia="Cambria"/>
        </w:rPr>
        <w:t>Whā</w:t>
      </w:r>
      <w:proofErr w:type="spellEnd"/>
      <w:r>
        <w:rPr>
          <w:rFonts w:eastAsia="Cambria"/>
        </w:rPr>
        <w:t xml:space="preserve"> is seen as particularly significant. As proposed by Sir Mason Durie, </w:t>
      </w:r>
      <w:proofErr w:type="spellStart"/>
      <w:r>
        <w:rPr>
          <w:rFonts w:eastAsia="Cambria"/>
        </w:rPr>
        <w:t>Te</w:t>
      </w:r>
      <w:proofErr w:type="spellEnd"/>
      <w:r>
        <w:rPr>
          <w:rFonts w:eastAsia="Cambria"/>
        </w:rPr>
        <w:t xml:space="preserve"> Whare Tapa </w:t>
      </w:r>
      <w:proofErr w:type="spellStart"/>
      <w:r>
        <w:rPr>
          <w:rFonts w:eastAsia="Cambria"/>
        </w:rPr>
        <w:t>Whā</w:t>
      </w:r>
      <w:proofErr w:type="spellEnd"/>
      <w:r>
        <w:rPr>
          <w:rFonts w:eastAsia="Cambria"/>
        </w:rPr>
        <w:t xml:space="preserve"> became widely accepted as the preferred Māori model of health during the 1980s (Durie 1994), and has since achieved wide and common usage.</w:t>
      </w:r>
      <w:r>
        <w:rPr>
          <w:rFonts w:eastAsia="Cambria"/>
          <w:vertAlign w:val="superscript"/>
        </w:rPr>
        <w:footnoteReference w:id="8"/>
      </w:r>
      <w:r>
        <w:rPr>
          <w:rFonts w:eastAsia="Cambria"/>
        </w:rPr>
        <w:t xml:space="preserve"> As explained earlier, </w:t>
      </w:r>
      <w:proofErr w:type="spellStart"/>
      <w:r>
        <w:rPr>
          <w:rFonts w:eastAsia="Cambria"/>
        </w:rPr>
        <w:t>Te</w:t>
      </w:r>
      <w:proofErr w:type="spellEnd"/>
      <w:r>
        <w:rPr>
          <w:rFonts w:eastAsia="Cambria"/>
        </w:rPr>
        <w:t xml:space="preserve"> Whare Tapa </w:t>
      </w:r>
      <w:proofErr w:type="spellStart"/>
      <w:r>
        <w:rPr>
          <w:rFonts w:eastAsia="Cambria"/>
        </w:rPr>
        <w:t>Whā</w:t>
      </w:r>
      <w:proofErr w:type="spellEnd"/>
      <w:r>
        <w:rPr>
          <w:rFonts w:eastAsia="Cambria"/>
        </w:rPr>
        <w:t xml:space="preserve"> uses the metaphor of the wharenui or meeting house with four walls or sides. These walls include taha </w:t>
      </w:r>
      <w:proofErr w:type="spellStart"/>
      <w:r>
        <w:rPr>
          <w:rFonts w:eastAsia="Cambria"/>
        </w:rPr>
        <w:t>tinana</w:t>
      </w:r>
      <w:proofErr w:type="spellEnd"/>
      <w:r>
        <w:rPr>
          <w:rFonts w:eastAsia="Cambria"/>
        </w:rPr>
        <w:t xml:space="preserve"> (physical health), taha </w:t>
      </w:r>
      <w:proofErr w:type="spellStart"/>
      <w:r>
        <w:rPr>
          <w:rFonts w:eastAsia="Cambria"/>
        </w:rPr>
        <w:t>wairua</w:t>
      </w:r>
      <w:proofErr w:type="spellEnd"/>
      <w:r>
        <w:rPr>
          <w:rFonts w:eastAsia="Cambria"/>
        </w:rPr>
        <w:t xml:space="preserve"> (spiritual health), taha </w:t>
      </w:r>
      <w:proofErr w:type="spellStart"/>
      <w:r>
        <w:rPr>
          <w:rFonts w:eastAsia="Cambria"/>
        </w:rPr>
        <w:t>hinengaro</w:t>
      </w:r>
      <w:proofErr w:type="spellEnd"/>
      <w:r>
        <w:rPr>
          <w:rFonts w:eastAsia="Cambria"/>
        </w:rPr>
        <w:t xml:space="preserve"> (mental health), and taha </w:t>
      </w:r>
      <w:proofErr w:type="spellStart"/>
      <w:r>
        <w:rPr>
          <w:rFonts w:eastAsia="Cambria"/>
        </w:rPr>
        <w:t>whānau</w:t>
      </w:r>
      <w:proofErr w:type="spellEnd"/>
      <w:r>
        <w:rPr>
          <w:rFonts w:eastAsia="Cambria"/>
        </w:rPr>
        <w:t xml:space="preserve"> (</w:t>
      </w:r>
      <w:r w:rsidR="00FE298D">
        <w:rPr>
          <w:rFonts w:eastAsia="Cambria"/>
        </w:rPr>
        <w:t xml:space="preserve">social </w:t>
      </w:r>
      <w:r>
        <w:rPr>
          <w:rFonts w:eastAsia="Cambria"/>
        </w:rPr>
        <w:t xml:space="preserve">health). Within this holistic model, each wall interacts and is necessary to the strength of the building. As Glover (2005, 13) explains, </w:t>
      </w:r>
      <w:r w:rsidR="002304F1">
        <w:rPr>
          <w:rFonts w:eastAsia="Cambria"/>
        </w:rPr>
        <w:t>‘</w:t>
      </w:r>
      <w:r>
        <w:rPr>
          <w:rFonts w:eastAsia="Cambria"/>
        </w:rPr>
        <w:t>The model is attractive for its simplicity, metaphorical resonance for Māori and basis in a Māori world view</w:t>
      </w:r>
      <w:r w:rsidR="00FA5A03">
        <w:rPr>
          <w:rFonts w:eastAsia="Cambria"/>
        </w:rPr>
        <w:t>.</w:t>
      </w:r>
      <w:r w:rsidR="002304F1">
        <w:rPr>
          <w:rFonts w:eastAsia="Cambria"/>
        </w:rPr>
        <w:t xml:space="preserve">’ </w:t>
      </w:r>
      <w:r>
        <w:rPr>
          <w:rFonts w:eastAsia="Cambria"/>
        </w:rPr>
        <w:t xml:space="preserve">According to </w:t>
      </w:r>
      <w:proofErr w:type="spellStart"/>
      <w:r>
        <w:rPr>
          <w:rFonts w:eastAsia="Cambria"/>
        </w:rPr>
        <w:t>Thakker</w:t>
      </w:r>
      <w:proofErr w:type="spellEnd"/>
      <w:r>
        <w:rPr>
          <w:rFonts w:eastAsia="Cambria"/>
        </w:rPr>
        <w:t xml:space="preserve"> (2013), the </w:t>
      </w:r>
      <w:proofErr w:type="spellStart"/>
      <w:r>
        <w:rPr>
          <w:rFonts w:eastAsia="Cambria"/>
        </w:rPr>
        <w:t>Te</w:t>
      </w:r>
      <w:proofErr w:type="spellEnd"/>
      <w:r>
        <w:rPr>
          <w:rFonts w:eastAsia="Cambria"/>
        </w:rPr>
        <w:t xml:space="preserve"> Whare Tapa </w:t>
      </w:r>
      <w:proofErr w:type="spellStart"/>
      <w:r>
        <w:rPr>
          <w:rFonts w:eastAsia="Cambria"/>
        </w:rPr>
        <w:t>Whā</w:t>
      </w:r>
      <w:proofErr w:type="spellEnd"/>
      <w:r>
        <w:rPr>
          <w:rFonts w:eastAsia="Cambria"/>
        </w:rPr>
        <w:t xml:space="preserve"> model is now widely used within corrections in New </w:t>
      </w:r>
      <w:r w:rsidR="009F0A2C">
        <w:rPr>
          <w:rFonts w:eastAsia="Cambria"/>
        </w:rPr>
        <w:t>Zealand and</w:t>
      </w:r>
      <w:r>
        <w:rPr>
          <w:rFonts w:eastAsia="Cambria"/>
        </w:rPr>
        <w:t xml:space="preserve"> has informed various approaches including alcohol or drug rehabilitation programs targeted at Māori </w:t>
      </w:r>
      <w:r>
        <w:rPr>
          <w:rFonts w:eastAsia="Cambria"/>
        </w:rPr>
        <w:lastRenderedPageBreak/>
        <w:t xml:space="preserve">offenders. </w:t>
      </w:r>
    </w:p>
    <w:p w14:paraId="68A2C7A4" w14:textId="0FBDA067" w:rsidR="002304F1" w:rsidRDefault="00D74515" w:rsidP="001A1069">
      <w:pPr>
        <w:pStyle w:val="Newparagraph"/>
        <w:spacing w:line="480" w:lineRule="auto"/>
        <w:rPr>
          <w:rFonts w:eastAsia="Cambria"/>
        </w:rPr>
      </w:pPr>
      <w:r>
        <w:rPr>
          <w:rFonts w:eastAsia="Cambria"/>
        </w:rPr>
        <w:t>Along with the inclusion of Maori models of wellbeing, attempts have been made to tailor Western-based approaches to the needs of Maori offenders (</w:t>
      </w:r>
      <w:proofErr w:type="spellStart"/>
      <w:r>
        <w:rPr>
          <w:rFonts w:eastAsia="Cambria"/>
        </w:rPr>
        <w:t>Thakker</w:t>
      </w:r>
      <w:proofErr w:type="spellEnd"/>
      <w:r>
        <w:rPr>
          <w:rFonts w:eastAsia="Cambria"/>
        </w:rPr>
        <w:t xml:space="preserve"> 2013). An example is the Te Piriti Unit, which functions as a therapeutic community requiring participants to attend both group and individual therapy sessions which combine mainstream Western perspectives such as cognitive behavioural models with traditional </w:t>
      </w:r>
      <w:proofErr w:type="spellStart"/>
      <w:r>
        <w:rPr>
          <w:rFonts w:eastAsia="Cambria"/>
        </w:rPr>
        <w:t>Māori</w:t>
      </w:r>
      <w:proofErr w:type="spellEnd"/>
      <w:r>
        <w:rPr>
          <w:rFonts w:eastAsia="Cambria"/>
        </w:rPr>
        <w:t xml:space="preserve"> approaches such as </w:t>
      </w:r>
      <w:proofErr w:type="spellStart"/>
      <w:r>
        <w:rPr>
          <w:rFonts w:eastAsia="Cambria"/>
        </w:rPr>
        <w:t>Te</w:t>
      </w:r>
      <w:proofErr w:type="spellEnd"/>
      <w:r>
        <w:rPr>
          <w:rFonts w:eastAsia="Cambria"/>
        </w:rPr>
        <w:t xml:space="preserve"> Whare Tapa </w:t>
      </w:r>
      <w:proofErr w:type="spellStart"/>
      <w:r>
        <w:rPr>
          <w:rFonts w:eastAsia="Cambria"/>
        </w:rPr>
        <w:t>Whā</w:t>
      </w:r>
      <w:proofErr w:type="spellEnd"/>
      <w:r>
        <w:rPr>
          <w:rFonts w:eastAsia="Cambria"/>
        </w:rPr>
        <w:t xml:space="preserve"> (</w:t>
      </w:r>
      <w:proofErr w:type="spellStart"/>
      <w:r>
        <w:rPr>
          <w:rFonts w:eastAsia="Cambria"/>
        </w:rPr>
        <w:t>Thakker</w:t>
      </w:r>
      <w:proofErr w:type="spellEnd"/>
      <w:r>
        <w:rPr>
          <w:rFonts w:eastAsia="Cambria"/>
        </w:rPr>
        <w:t xml:space="preserve">). It is worth noting that some tensions exist around the co-option of Māori values in state justice practices, which has led some Māori to reject the possibility of integrating Māori philosophies within the current system. Moana Jackson (1995, 34) summarises the concern with grafting Māori processes onto a state-controlled system: </w:t>
      </w:r>
    </w:p>
    <w:p w14:paraId="5517336F" w14:textId="1A67AB8F" w:rsidR="002304F1" w:rsidRPr="009F0A2C" w:rsidRDefault="00D74515" w:rsidP="009F0A2C">
      <w:pPr>
        <w:pStyle w:val="Newparagraph"/>
        <w:spacing w:before="240" w:after="360" w:line="480" w:lineRule="auto"/>
        <w:ind w:left="720" w:right="420" w:firstLine="0"/>
        <w:rPr>
          <w:rFonts w:eastAsia="Cambria"/>
          <w:sz w:val="22"/>
          <w:szCs w:val="22"/>
        </w:rPr>
      </w:pPr>
      <w:r w:rsidRPr="009F0A2C">
        <w:rPr>
          <w:rFonts w:eastAsia="Cambria"/>
          <w:sz w:val="22"/>
          <w:szCs w:val="22"/>
        </w:rPr>
        <w:t>No matter how well intentioned and sincere such efforts, it is respectfully suggested that they will merely maintain the co-option and redefinition of Māori values and authority which underpins so much of the colonial will to control. A ‘cultural justice system’ controlled by the Crown is another colonising artefact</w:t>
      </w:r>
      <w:r w:rsidR="002304F1" w:rsidRPr="009F0A2C">
        <w:rPr>
          <w:rFonts w:eastAsia="Cambria"/>
          <w:sz w:val="22"/>
          <w:szCs w:val="22"/>
        </w:rPr>
        <w:t>.</w:t>
      </w:r>
      <w:r w:rsidRPr="009F0A2C">
        <w:rPr>
          <w:rFonts w:eastAsia="Cambria"/>
          <w:sz w:val="22"/>
          <w:szCs w:val="22"/>
        </w:rPr>
        <w:t xml:space="preserve"> (cited in Webb 2017, 689) </w:t>
      </w:r>
    </w:p>
    <w:p w14:paraId="4EE473F0" w14:textId="4CB9874D" w:rsidR="00D74515" w:rsidRDefault="00D74515" w:rsidP="009F0A2C">
      <w:pPr>
        <w:pStyle w:val="Newparagraph"/>
        <w:spacing w:line="480" w:lineRule="auto"/>
        <w:ind w:firstLine="0"/>
        <w:rPr>
          <w:rFonts w:eastAsia="Cambria"/>
        </w:rPr>
      </w:pPr>
      <w:r>
        <w:rPr>
          <w:rFonts w:eastAsia="Cambria"/>
        </w:rPr>
        <w:t xml:space="preserve">Conscious of these tensions, the team nevertheless recognised that the group at </w:t>
      </w:r>
      <w:proofErr w:type="spellStart"/>
      <w:r>
        <w:rPr>
          <w:rFonts w:eastAsia="Cambria"/>
        </w:rPr>
        <w:t>Te</w:t>
      </w:r>
      <w:proofErr w:type="spellEnd"/>
      <w:r>
        <w:rPr>
          <w:rFonts w:eastAsia="Cambria"/>
        </w:rPr>
        <w:t xml:space="preserve"> </w:t>
      </w:r>
      <w:proofErr w:type="spellStart"/>
      <w:r>
        <w:rPr>
          <w:rFonts w:eastAsia="Cambria"/>
        </w:rPr>
        <w:t>Piriti</w:t>
      </w:r>
      <w:proofErr w:type="spellEnd"/>
      <w:r>
        <w:rPr>
          <w:rFonts w:eastAsia="Cambria"/>
        </w:rPr>
        <w:t xml:space="preserve"> presented </w:t>
      </w:r>
      <w:proofErr w:type="spellStart"/>
      <w:r>
        <w:rPr>
          <w:rFonts w:eastAsia="Cambria"/>
        </w:rPr>
        <w:t>Te</w:t>
      </w:r>
      <w:proofErr w:type="spellEnd"/>
      <w:r>
        <w:rPr>
          <w:rFonts w:eastAsia="Cambria"/>
        </w:rPr>
        <w:t xml:space="preserve"> Whare Tapa </w:t>
      </w:r>
      <w:proofErr w:type="spellStart"/>
      <w:r>
        <w:rPr>
          <w:rFonts w:eastAsia="Cambria"/>
        </w:rPr>
        <w:t>Whā</w:t>
      </w:r>
      <w:proofErr w:type="spellEnd"/>
      <w:r>
        <w:rPr>
          <w:rFonts w:eastAsia="Cambria"/>
        </w:rPr>
        <w:t xml:space="preserve"> as a compelling framework for the creative process.</w:t>
      </w:r>
      <w:r w:rsidR="008E50D6">
        <w:rPr>
          <w:rFonts w:eastAsia="Cambria"/>
        </w:rPr>
        <w:t xml:space="preserve"> The participants were keen to engage creatively with this model which privileged Māori knowledge</w:t>
      </w:r>
      <w:r w:rsidR="009329F2">
        <w:rPr>
          <w:rFonts w:eastAsia="Cambria"/>
        </w:rPr>
        <w:t>.</w:t>
      </w:r>
      <w:r w:rsidR="008E50D6">
        <w:rPr>
          <w:rFonts w:eastAsia="Cambria"/>
        </w:rPr>
        <w:t xml:space="preserve"> </w:t>
      </w:r>
      <w:r w:rsidR="009329F2">
        <w:rPr>
          <w:rFonts w:eastAsia="Cambria"/>
        </w:rPr>
        <w:t>As non-Māori artists we felt compelled to facilitate this engagement as much as we could with a view that it offered a means to acknowledge and enhance the experience of the participants.</w:t>
      </w:r>
    </w:p>
    <w:p w14:paraId="2D40915C" w14:textId="113ED1E9" w:rsidR="00D74515" w:rsidRDefault="00D74515" w:rsidP="001A1069">
      <w:pPr>
        <w:pStyle w:val="Newparagraph"/>
        <w:spacing w:line="480" w:lineRule="auto"/>
        <w:rPr>
          <w:rFonts w:eastAsia="Cambria"/>
        </w:rPr>
      </w:pPr>
      <w:r>
        <w:rPr>
          <w:rFonts w:eastAsia="Cambria"/>
        </w:rPr>
        <w:t xml:space="preserve">The idea of </w:t>
      </w:r>
      <w:proofErr w:type="spellStart"/>
      <w:r>
        <w:rPr>
          <w:rFonts w:eastAsia="Cambria"/>
        </w:rPr>
        <w:t>Te</w:t>
      </w:r>
      <w:proofErr w:type="spellEnd"/>
      <w:r>
        <w:rPr>
          <w:rFonts w:eastAsia="Cambria"/>
        </w:rPr>
        <w:t xml:space="preserve"> Whare Tapa </w:t>
      </w:r>
      <w:proofErr w:type="spellStart"/>
      <w:r>
        <w:rPr>
          <w:rFonts w:eastAsia="Cambria"/>
        </w:rPr>
        <w:t>Whā</w:t>
      </w:r>
      <w:proofErr w:type="spellEnd"/>
      <w:r w:rsidR="008E50D6">
        <w:rPr>
          <w:rFonts w:eastAsia="Cambria"/>
        </w:rPr>
        <w:t xml:space="preserve"> with the house as a metaphor, as well as</w:t>
      </w:r>
      <w:r>
        <w:rPr>
          <w:rFonts w:eastAsia="Cambria"/>
        </w:rPr>
        <w:t xml:space="preserve"> </w:t>
      </w:r>
      <w:r w:rsidR="009329F2">
        <w:rPr>
          <w:rFonts w:eastAsia="Cambria"/>
        </w:rPr>
        <w:t xml:space="preserve">the </w:t>
      </w:r>
      <w:r w:rsidR="008E50D6">
        <w:rPr>
          <w:rFonts w:eastAsia="Cambria"/>
        </w:rPr>
        <w:t>metaphor of</w:t>
      </w:r>
      <w:r>
        <w:rPr>
          <w:rFonts w:eastAsia="Cambria"/>
        </w:rPr>
        <w:t xml:space="preserve"> building </w:t>
      </w:r>
      <w:r w:rsidR="009329F2">
        <w:rPr>
          <w:rFonts w:eastAsia="Cambria"/>
        </w:rPr>
        <w:t>and maintaining the integrity of</w:t>
      </w:r>
      <w:r w:rsidR="008E50D6">
        <w:rPr>
          <w:rFonts w:eastAsia="Cambria"/>
        </w:rPr>
        <w:t xml:space="preserve"> </w:t>
      </w:r>
      <w:r>
        <w:rPr>
          <w:rFonts w:eastAsia="Cambria"/>
        </w:rPr>
        <w:t>a house</w:t>
      </w:r>
      <w:r w:rsidR="009329F2">
        <w:rPr>
          <w:rFonts w:eastAsia="Cambria"/>
        </w:rPr>
        <w:t>,</w:t>
      </w:r>
      <w:r>
        <w:rPr>
          <w:rFonts w:eastAsia="Cambria"/>
        </w:rPr>
        <w:t xml:space="preserve"> </w:t>
      </w:r>
      <w:r w:rsidR="008E50D6">
        <w:rPr>
          <w:rFonts w:eastAsia="Cambria"/>
        </w:rPr>
        <w:t>became</w:t>
      </w:r>
      <w:r>
        <w:rPr>
          <w:rFonts w:eastAsia="Cambria"/>
        </w:rPr>
        <w:t xml:space="preserve"> central device</w:t>
      </w:r>
      <w:r w:rsidR="008E50D6">
        <w:rPr>
          <w:rFonts w:eastAsia="Cambria"/>
        </w:rPr>
        <w:t>s</w:t>
      </w:r>
      <w:r>
        <w:rPr>
          <w:rFonts w:eastAsia="Cambria"/>
        </w:rPr>
        <w:t xml:space="preserve"> that structures the play and performance. Throughout the performance the characters </w:t>
      </w:r>
      <w:r w:rsidR="00907585">
        <w:rPr>
          <w:rFonts w:eastAsia="Cambria"/>
        </w:rPr>
        <w:lastRenderedPageBreak/>
        <w:t xml:space="preserve">use mime to </w:t>
      </w:r>
      <w:r>
        <w:rPr>
          <w:rFonts w:eastAsia="Cambria"/>
        </w:rPr>
        <w:t>erect walls and describe how prison impacts on aspects of the physical body, the spirit, mental and emotional states, and on family and social relations. At the start of the play, the performers assemble in a line at the back of the playing area. One of the performers shouts a command</w:t>
      </w:r>
      <w:r w:rsidR="00F54A3B">
        <w:rPr>
          <w:rFonts w:eastAsia="Cambria"/>
        </w:rPr>
        <w:t>,</w:t>
      </w:r>
      <w:r>
        <w:rPr>
          <w:rFonts w:eastAsia="Cambria"/>
        </w:rPr>
        <w:t xml:space="preserve"> </w:t>
      </w:r>
      <w:r w:rsidR="002304F1">
        <w:rPr>
          <w:rFonts w:eastAsia="Cambria"/>
        </w:rPr>
        <w:t>‘</w:t>
      </w:r>
      <w:proofErr w:type="spellStart"/>
      <w:r>
        <w:rPr>
          <w:rFonts w:eastAsia="Cambria"/>
        </w:rPr>
        <w:t>Kua</w:t>
      </w:r>
      <w:proofErr w:type="spellEnd"/>
      <w:r>
        <w:rPr>
          <w:rFonts w:eastAsia="Cambria"/>
        </w:rPr>
        <w:t xml:space="preserve"> </w:t>
      </w:r>
      <w:r w:rsidR="00F54A3B">
        <w:rPr>
          <w:rFonts w:eastAsia="Cambria"/>
        </w:rPr>
        <w:t>r</w:t>
      </w:r>
      <w:r>
        <w:rPr>
          <w:rFonts w:eastAsia="Cambria"/>
        </w:rPr>
        <w:t>ite</w:t>
      </w:r>
      <w:r w:rsidR="002304F1">
        <w:rPr>
          <w:rFonts w:eastAsia="Cambria"/>
        </w:rPr>
        <w:t xml:space="preserve">!’ </w:t>
      </w:r>
      <w:r>
        <w:rPr>
          <w:rFonts w:eastAsia="Cambria"/>
        </w:rPr>
        <w:t>(get ready). The leader shouts</w:t>
      </w:r>
      <w:r w:rsidR="00F54A3B">
        <w:rPr>
          <w:rFonts w:eastAsia="Cambria"/>
        </w:rPr>
        <w:t>,</w:t>
      </w:r>
      <w:r>
        <w:rPr>
          <w:rFonts w:eastAsia="Cambria"/>
        </w:rPr>
        <w:t xml:space="preserve"> </w:t>
      </w:r>
      <w:r w:rsidR="002304F1">
        <w:rPr>
          <w:rFonts w:eastAsia="Cambria"/>
        </w:rPr>
        <w:t>‘</w:t>
      </w:r>
      <w:r>
        <w:rPr>
          <w:rFonts w:eastAsia="Cambria"/>
        </w:rPr>
        <w:t xml:space="preserve">Ki </w:t>
      </w:r>
      <w:proofErr w:type="spellStart"/>
      <w:r w:rsidR="00F54A3B">
        <w:rPr>
          <w:rFonts w:eastAsia="Cambria"/>
        </w:rPr>
        <w:t>r</w:t>
      </w:r>
      <w:r>
        <w:rPr>
          <w:rFonts w:eastAsia="Cambria"/>
        </w:rPr>
        <w:t>aro</w:t>
      </w:r>
      <w:proofErr w:type="spellEnd"/>
      <w:r w:rsidR="002304F1">
        <w:rPr>
          <w:rFonts w:eastAsia="Cambria"/>
        </w:rPr>
        <w:t xml:space="preserve">!’ </w:t>
      </w:r>
      <w:r>
        <w:rPr>
          <w:rFonts w:eastAsia="Cambria"/>
        </w:rPr>
        <w:t>(go down) and together the actors mime the actions of bending down to grasp a large section of wall. When the leader shouts</w:t>
      </w:r>
      <w:r w:rsidR="00F54A3B">
        <w:rPr>
          <w:rFonts w:eastAsia="Cambria"/>
        </w:rPr>
        <w:t>,</w:t>
      </w:r>
      <w:r>
        <w:rPr>
          <w:rFonts w:eastAsia="Cambria"/>
        </w:rPr>
        <w:t xml:space="preserve"> </w:t>
      </w:r>
      <w:r w:rsidR="002304F1">
        <w:rPr>
          <w:rFonts w:eastAsia="Cambria"/>
        </w:rPr>
        <w:t>‘</w:t>
      </w:r>
      <w:r>
        <w:rPr>
          <w:rFonts w:eastAsia="Cambria"/>
        </w:rPr>
        <w:t>Hikitia</w:t>
      </w:r>
      <w:r w:rsidR="002304F1">
        <w:rPr>
          <w:rFonts w:eastAsia="Cambria"/>
        </w:rPr>
        <w:t xml:space="preserve">!’ </w:t>
      </w:r>
      <w:r>
        <w:rPr>
          <w:rFonts w:eastAsia="Cambria"/>
        </w:rPr>
        <w:t>(lift or raise-up), the ensemble together mime</w:t>
      </w:r>
      <w:r w:rsidR="00F54A3B">
        <w:rPr>
          <w:rFonts w:eastAsia="Cambria"/>
        </w:rPr>
        <w:t>s</w:t>
      </w:r>
      <w:r>
        <w:rPr>
          <w:rFonts w:eastAsia="Cambria"/>
        </w:rPr>
        <w:t xml:space="preserve"> the actions of lifting a heavy wall up to stand it in the space. They wait a moment signalling that they are ensuring that the wall is erect before taking a step back to admire their work. A second later another performer announces</w:t>
      </w:r>
      <w:r w:rsidR="00F54A3B">
        <w:rPr>
          <w:rFonts w:eastAsia="Cambria"/>
        </w:rPr>
        <w:t>,</w:t>
      </w:r>
      <w:r>
        <w:rPr>
          <w:rFonts w:eastAsia="Cambria"/>
        </w:rPr>
        <w:t xml:space="preserve"> </w:t>
      </w:r>
      <w:r w:rsidR="002304F1">
        <w:rPr>
          <w:rFonts w:eastAsia="Cambria"/>
        </w:rPr>
        <w:t>‘</w:t>
      </w:r>
      <w:r>
        <w:rPr>
          <w:rFonts w:eastAsia="Cambria"/>
        </w:rPr>
        <w:t xml:space="preserve">Taha </w:t>
      </w:r>
      <w:proofErr w:type="spellStart"/>
      <w:r w:rsidR="00F54A3B">
        <w:rPr>
          <w:rFonts w:eastAsia="Cambria"/>
        </w:rPr>
        <w:t>t</w:t>
      </w:r>
      <w:r>
        <w:rPr>
          <w:rFonts w:eastAsia="Cambria"/>
        </w:rPr>
        <w:t>inana</w:t>
      </w:r>
      <w:proofErr w:type="spellEnd"/>
      <w:r w:rsidR="002304F1">
        <w:rPr>
          <w:rFonts w:eastAsia="Cambria"/>
        </w:rPr>
        <w:t xml:space="preserve">’ </w:t>
      </w:r>
      <w:r>
        <w:rPr>
          <w:rFonts w:eastAsia="Cambria"/>
        </w:rPr>
        <w:t>(</w:t>
      </w:r>
      <w:r w:rsidR="00F54A3B">
        <w:rPr>
          <w:rFonts w:eastAsia="Cambria"/>
        </w:rPr>
        <w:t>t</w:t>
      </w:r>
      <w:r>
        <w:rPr>
          <w:rFonts w:eastAsia="Cambria"/>
        </w:rPr>
        <w:t xml:space="preserve">he </w:t>
      </w:r>
      <w:r w:rsidR="00F54A3B">
        <w:rPr>
          <w:rFonts w:eastAsia="Cambria"/>
        </w:rPr>
        <w:t>b</w:t>
      </w:r>
      <w:r>
        <w:rPr>
          <w:rFonts w:eastAsia="Cambria"/>
        </w:rPr>
        <w:t xml:space="preserve">ody), which becomes the title of the scene that follows and in which the various characters share aspects of prison life as it impacts on the physical body. In this way the production uses the physical action of erecting walls as a dramaturgical device for structuring the performance. The characters repeat this action while cycling through the various sides or aspects of </w:t>
      </w:r>
      <w:proofErr w:type="spellStart"/>
      <w:r>
        <w:rPr>
          <w:rFonts w:eastAsia="Cambria"/>
        </w:rPr>
        <w:t>Te</w:t>
      </w:r>
      <w:proofErr w:type="spellEnd"/>
      <w:r>
        <w:rPr>
          <w:rFonts w:eastAsia="Cambria"/>
        </w:rPr>
        <w:t xml:space="preserve"> Whare Tapa </w:t>
      </w:r>
      <w:proofErr w:type="spellStart"/>
      <w:r>
        <w:rPr>
          <w:rFonts w:eastAsia="Cambria"/>
        </w:rPr>
        <w:t>Whā</w:t>
      </w:r>
      <w:proofErr w:type="spellEnd"/>
      <w:r>
        <w:rPr>
          <w:rFonts w:eastAsia="Cambria"/>
        </w:rPr>
        <w:t xml:space="preserve"> including </w:t>
      </w:r>
      <w:r w:rsidR="00F54A3B">
        <w:rPr>
          <w:rFonts w:eastAsia="Cambria"/>
        </w:rPr>
        <w:t>t</w:t>
      </w:r>
      <w:r>
        <w:rPr>
          <w:rFonts w:eastAsia="Cambria"/>
        </w:rPr>
        <w:t xml:space="preserve">aha </w:t>
      </w:r>
      <w:proofErr w:type="spellStart"/>
      <w:r w:rsidR="00F54A3B">
        <w:rPr>
          <w:rFonts w:eastAsia="Cambria"/>
        </w:rPr>
        <w:t>w</w:t>
      </w:r>
      <w:r>
        <w:rPr>
          <w:rFonts w:eastAsia="Cambria"/>
        </w:rPr>
        <w:t>airua</w:t>
      </w:r>
      <w:proofErr w:type="spellEnd"/>
      <w:r>
        <w:rPr>
          <w:rFonts w:eastAsia="Cambria"/>
        </w:rPr>
        <w:t xml:space="preserve"> (</w:t>
      </w:r>
      <w:r w:rsidR="00F54A3B">
        <w:rPr>
          <w:rFonts w:eastAsia="Cambria"/>
        </w:rPr>
        <w:t>t</w:t>
      </w:r>
      <w:r>
        <w:rPr>
          <w:rFonts w:eastAsia="Cambria"/>
        </w:rPr>
        <w:t xml:space="preserve">he </w:t>
      </w:r>
      <w:r w:rsidR="00F54A3B">
        <w:rPr>
          <w:rFonts w:eastAsia="Cambria"/>
        </w:rPr>
        <w:t>s</w:t>
      </w:r>
      <w:r>
        <w:rPr>
          <w:rFonts w:eastAsia="Cambria"/>
        </w:rPr>
        <w:t xml:space="preserve">pirit), </w:t>
      </w:r>
      <w:r w:rsidR="00F54A3B">
        <w:rPr>
          <w:rFonts w:eastAsia="Cambria"/>
        </w:rPr>
        <w:t>t</w:t>
      </w:r>
      <w:r>
        <w:rPr>
          <w:rFonts w:eastAsia="Cambria"/>
        </w:rPr>
        <w:t xml:space="preserve">aha </w:t>
      </w:r>
      <w:proofErr w:type="spellStart"/>
      <w:r w:rsidR="00F54A3B">
        <w:rPr>
          <w:rFonts w:eastAsia="Cambria"/>
        </w:rPr>
        <w:t>h</w:t>
      </w:r>
      <w:r>
        <w:rPr>
          <w:rFonts w:eastAsia="Cambria"/>
        </w:rPr>
        <w:t>inengaro</w:t>
      </w:r>
      <w:proofErr w:type="spellEnd"/>
      <w:r>
        <w:rPr>
          <w:rFonts w:eastAsia="Cambria"/>
        </w:rPr>
        <w:t xml:space="preserve"> (</w:t>
      </w:r>
      <w:r w:rsidR="00F54A3B">
        <w:rPr>
          <w:rFonts w:eastAsia="Cambria"/>
        </w:rPr>
        <w:t>t</w:t>
      </w:r>
      <w:r>
        <w:rPr>
          <w:rFonts w:eastAsia="Cambria"/>
        </w:rPr>
        <w:t xml:space="preserve">he </w:t>
      </w:r>
      <w:r w:rsidR="00F54A3B">
        <w:rPr>
          <w:rFonts w:eastAsia="Cambria"/>
        </w:rPr>
        <w:t>m</w:t>
      </w:r>
      <w:r>
        <w:rPr>
          <w:rFonts w:eastAsia="Cambria"/>
        </w:rPr>
        <w:t xml:space="preserve">ind), and </w:t>
      </w:r>
      <w:r w:rsidR="00F54A3B">
        <w:rPr>
          <w:rFonts w:eastAsia="Cambria"/>
        </w:rPr>
        <w:t>t</w:t>
      </w:r>
      <w:r>
        <w:rPr>
          <w:rFonts w:eastAsia="Cambria"/>
        </w:rPr>
        <w:t xml:space="preserve">aha </w:t>
      </w:r>
      <w:proofErr w:type="spellStart"/>
      <w:r w:rsidR="00F54A3B">
        <w:rPr>
          <w:rFonts w:eastAsia="Cambria"/>
        </w:rPr>
        <w:t>w</w:t>
      </w:r>
      <w:r>
        <w:rPr>
          <w:rFonts w:eastAsia="Cambria"/>
        </w:rPr>
        <w:t>hānau</w:t>
      </w:r>
      <w:proofErr w:type="spellEnd"/>
      <w:r>
        <w:rPr>
          <w:rFonts w:eastAsia="Cambria"/>
        </w:rPr>
        <w:t xml:space="preserve"> (</w:t>
      </w:r>
      <w:r w:rsidR="00F54A3B">
        <w:rPr>
          <w:rFonts w:eastAsia="Cambria"/>
        </w:rPr>
        <w:t>t</w:t>
      </w:r>
      <w:r>
        <w:rPr>
          <w:rFonts w:eastAsia="Cambria"/>
        </w:rPr>
        <w:t xml:space="preserve">he </w:t>
      </w:r>
      <w:r w:rsidR="00F54A3B">
        <w:rPr>
          <w:rFonts w:eastAsia="Cambria"/>
        </w:rPr>
        <w:t>f</w:t>
      </w:r>
      <w:r>
        <w:rPr>
          <w:rFonts w:eastAsia="Cambria"/>
        </w:rPr>
        <w:t xml:space="preserve">amily). </w:t>
      </w:r>
    </w:p>
    <w:p w14:paraId="211541BA" w14:textId="05E663E6" w:rsidR="00D74515" w:rsidRDefault="00D74515" w:rsidP="001A1069">
      <w:pPr>
        <w:pStyle w:val="Newparagraph"/>
        <w:spacing w:line="480" w:lineRule="auto"/>
        <w:rPr>
          <w:rFonts w:eastAsia="Cambria"/>
        </w:rPr>
      </w:pPr>
      <w:r>
        <w:rPr>
          <w:rFonts w:eastAsia="Cambria"/>
        </w:rPr>
        <w:t xml:space="preserve">In the scene </w:t>
      </w:r>
      <w:r w:rsidR="002304F1">
        <w:rPr>
          <w:rFonts w:eastAsia="Cambria"/>
        </w:rPr>
        <w:t>‘</w:t>
      </w:r>
      <w:r w:rsidR="00F54A3B">
        <w:rPr>
          <w:rFonts w:eastAsia="Cambria"/>
        </w:rPr>
        <w:t>T</w:t>
      </w:r>
      <w:r>
        <w:rPr>
          <w:rFonts w:eastAsia="Cambria"/>
        </w:rPr>
        <w:t xml:space="preserve">aha </w:t>
      </w:r>
      <w:r w:rsidR="00F54A3B">
        <w:rPr>
          <w:rFonts w:eastAsia="Cambria"/>
        </w:rPr>
        <w:t>T</w:t>
      </w:r>
      <w:r>
        <w:rPr>
          <w:rFonts w:eastAsia="Cambria"/>
        </w:rPr>
        <w:t>inana</w:t>
      </w:r>
      <w:r w:rsidR="002304F1">
        <w:rPr>
          <w:rFonts w:eastAsia="Cambria"/>
        </w:rPr>
        <w:t xml:space="preserve">’ </w:t>
      </w:r>
      <w:r>
        <w:rPr>
          <w:rFonts w:eastAsia="Cambria"/>
        </w:rPr>
        <w:t>(</w:t>
      </w:r>
      <w:r w:rsidR="00F54A3B">
        <w:rPr>
          <w:rFonts w:eastAsia="Cambria"/>
        </w:rPr>
        <w:t>t</w:t>
      </w:r>
      <w:r>
        <w:rPr>
          <w:rFonts w:eastAsia="Cambria"/>
        </w:rPr>
        <w:t xml:space="preserve">he </w:t>
      </w:r>
      <w:r w:rsidR="00F54A3B">
        <w:rPr>
          <w:rFonts w:eastAsia="Cambria"/>
        </w:rPr>
        <w:t>b</w:t>
      </w:r>
      <w:r>
        <w:rPr>
          <w:rFonts w:eastAsia="Cambria"/>
        </w:rPr>
        <w:t>ody), the character Hemi explains the physical changes that he underwent after arriving in prison and importantly how these physical changes impacted on other aspects of his wellbeing:</w:t>
      </w:r>
    </w:p>
    <w:p w14:paraId="4787451A" w14:textId="77777777" w:rsidR="00D74515" w:rsidRDefault="00D74515" w:rsidP="001A1069">
      <w:pPr>
        <w:pStyle w:val="Displayedquotation"/>
        <w:spacing w:line="480" w:lineRule="auto"/>
        <w:rPr>
          <w:rFonts w:eastAsia="Cambria"/>
        </w:rPr>
      </w:pPr>
      <w:r>
        <w:rPr>
          <w:rFonts w:eastAsia="Cambria"/>
        </w:rPr>
        <w:t>I was pretty sick, when I first come to jail from smoking meth all day every day. So, it’s probably saved my life I think, jail. Huh, in a way. [I was] just gaunt, not a healthy weight. I had heaps of sores, and that wasn’t too healthy at all, but then you come to jail [and] you get three meals a day, and free medical attention. When I first come in</w:t>
      </w:r>
      <w:r w:rsidR="00116165">
        <w:rPr>
          <w:rFonts w:eastAsia="Cambria"/>
        </w:rPr>
        <w:t>,</w:t>
      </w:r>
      <w:r>
        <w:rPr>
          <w:rFonts w:eastAsia="Cambria"/>
        </w:rPr>
        <w:t xml:space="preserve"> I was still quite high. So, I didn’t sleep for about four days; it took me about two years to get a regular sleep pattern going. [Now] good sleep; six o’clock every night. I wake at 6:30am for work, so it’s healthy sleep patterns now. I think [my dreams] have changed too, since I first come to jail. Instead of scary </w:t>
      </w:r>
      <w:r>
        <w:rPr>
          <w:rFonts w:eastAsia="Cambria"/>
        </w:rPr>
        <w:lastRenderedPageBreak/>
        <w:t>dreams, to dreaming about hanging out with my kids, and all that sort of stuff now. It makes you in a better headspace, when you wake up from one of those dreams. (</w:t>
      </w:r>
      <w:proofErr w:type="spellStart"/>
      <w:r>
        <w:rPr>
          <w:rFonts w:eastAsia="Cambria"/>
          <w:i/>
        </w:rPr>
        <w:t>Ngā</w:t>
      </w:r>
      <w:proofErr w:type="spellEnd"/>
      <w:r>
        <w:rPr>
          <w:rFonts w:eastAsia="Cambria"/>
          <w:i/>
        </w:rPr>
        <w:t xml:space="preserve"> </w:t>
      </w:r>
      <w:proofErr w:type="spellStart"/>
      <w:r>
        <w:rPr>
          <w:rFonts w:eastAsia="Cambria"/>
          <w:i/>
        </w:rPr>
        <w:t>Pātū</w:t>
      </w:r>
      <w:proofErr w:type="spellEnd"/>
      <w:r>
        <w:rPr>
          <w:rFonts w:eastAsia="Cambria"/>
          <w:i/>
        </w:rPr>
        <w:t xml:space="preserve"> </w:t>
      </w:r>
      <w:proofErr w:type="spellStart"/>
      <w:r>
        <w:rPr>
          <w:rFonts w:eastAsia="Cambria"/>
          <w:i/>
        </w:rPr>
        <w:t>Kōrero</w:t>
      </w:r>
      <w:proofErr w:type="spellEnd"/>
      <w:r>
        <w:rPr>
          <w:rFonts w:eastAsia="Cambria"/>
        </w:rPr>
        <w:t xml:space="preserve">, Unpublished Script, 2019, 1) </w:t>
      </w:r>
    </w:p>
    <w:p w14:paraId="2B72C9B1" w14:textId="261E5903" w:rsidR="00D74515" w:rsidRDefault="00D74515" w:rsidP="001A1069">
      <w:pPr>
        <w:pStyle w:val="Paragraph"/>
        <w:spacing w:line="480" w:lineRule="auto"/>
        <w:rPr>
          <w:rFonts w:eastAsia="Cambria"/>
        </w:rPr>
      </w:pPr>
      <w:r>
        <w:rPr>
          <w:rFonts w:eastAsia="Cambria"/>
        </w:rPr>
        <w:t xml:space="preserve">This short monologue eloquently demonstrates the integrated conception of </w:t>
      </w:r>
      <w:proofErr w:type="spellStart"/>
      <w:r>
        <w:rPr>
          <w:rFonts w:eastAsia="Cambria"/>
        </w:rPr>
        <w:t>Te</w:t>
      </w:r>
      <w:proofErr w:type="spellEnd"/>
      <w:r>
        <w:rPr>
          <w:rFonts w:eastAsia="Cambria"/>
        </w:rPr>
        <w:t xml:space="preserve"> Whare Tapa </w:t>
      </w:r>
      <w:proofErr w:type="spellStart"/>
      <w:r>
        <w:rPr>
          <w:rFonts w:eastAsia="Cambria"/>
        </w:rPr>
        <w:t>Whā</w:t>
      </w:r>
      <w:proofErr w:type="spellEnd"/>
      <w:r>
        <w:rPr>
          <w:rFonts w:eastAsia="Cambria"/>
        </w:rPr>
        <w:t xml:space="preserve"> as representative of a Māori world view of what constitutes good health. As Professor </w:t>
      </w:r>
      <w:proofErr w:type="spellStart"/>
      <w:r>
        <w:rPr>
          <w:rFonts w:eastAsia="Cambria"/>
        </w:rPr>
        <w:t>Meihana</w:t>
      </w:r>
      <w:proofErr w:type="spellEnd"/>
      <w:r>
        <w:rPr>
          <w:rFonts w:eastAsia="Cambria"/>
        </w:rPr>
        <w:t xml:space="preserve"> Durie, son of Sir Mason and the head of Massey University’s School of Māori Art, Knowledge and Education (</w:t>
      </w:r>
      <w:proofErr w:type="spellStart"/>
      <w:r>
        <w:rPr>
          <w:rFonts w:eastAsia="Cambria"/>
        </w:rPr>
        <w:t>Te</w:t>
      </w:r>
      <w:proofErr w:type="spellEnd"/>
      <w:r>
        <w:rPr>
          <w:rFonts w:eastAsia="Cambria"/>
        </w:rPr>
        <w:t xml:space="preserve"> </w:t>
      </w:r>
      <w:proofErr w:type="spellStart"/>
      <w:r>
        <w:rPr>
          <w:rFonts w:eastAsia="Cambria"/>
        </w:rPr>
        <w:t>Pūtahi</w:t>
      </w:r>
      <w:proofErr w:type="spellEnd"/>
      <w:r>
        <w:rPr>
          <w:rFonts w:eastAsia="Cambria"/>
        </w:rPr>
        <w:t>-ā-Toi) explained in an interview</w:t>
      </w:r>
      <w:r w:rsidR="007F7A29">
        <w:rPr>
          <w:rStyle w:val="FootnoteReference"/>
          <w:rFonts w:eastAsia="Cambria"/>
        </w:rPr>
        <w:footnoteReference w:id="9"/>
      </w:r>
      <w:r>
        <w:rPr>
          <w:rFonts w:eastAsia="Cambria"/>
        </w:rPr>
        <w:t xml:space="preserve">: </w:t>
      </w:r>
    </w:p>
    <w:p w14:paraId="6DB05D92" w14:textId="77777777" w:rsidR="00D74515" w:rsidRDefault="00D74515" w:rsidP="001A1069">
      <w:pPr>
        <w:pStyle w:val="Displayedquotation"/>
        <w:spacing w:line="480" w:lineRule="auto"/>
        <w:rPr>
          <w:rFonts w:eastAsia="Cambria"/>
        </w:rPr>
      </w:pPr>
      <w:r w:rsidRPr="008864C8">
        <w:rPr>
          <w:rFonts w:eastAsia="Cambria"/>
        </w:rPr>
        <w:t xml:space="preserve">Often the point is missed that </w:t>
      </w:r>
      <w:proofErr w:type="spellStart"/>
      <w:r w:rsidRPr="008864C8">
        <w:rPr>
          <w:rFonts w:eastAsia="Cambria"/>
        </w:rPr>
        <w:t>Te</w:t>
      </w:r>
      <w:proofErr w:type="spellEnd"/>
      <w:r w:rsidRPr="008864C8">
        <w:rPr>
          <w:rFonts w:eastAsia="Cambria"/>
        </w:rPr>
        <w:t xml:space="preserve"> Whare Tapa </w:t>
      </w:r>
      <w:proofErr w:type="spellStart"/>
      <w:r w:rsidRPr="008864C8">
        <w:rPr>
          <w:rFonts w:eastAsia="Cambria"/>
        </w:rPr>
        <w:t>Whā</w:t>
      </w:r>
      <w:proofErr w:type="spellEnd"/>
      <w:r w:rsidRPr="008864C8">
        <w:rPr>
          <w:rFonts w:eastAsia="Cambria"/>
        </w:rPr>
        <w:t xml:space="preserve"> is not about these four dimensions being separated or disconnected, [...] it is trying to impress on people that Māori wellbeing is about how all four dimensions are interwoven and interact. Somebody who is well will have a really strong flow and interaction of all four. To return to the image of the whare, if you can imagine pulling out one wall – taha </w:t>
      </w:r>
      <w:proofErr w:type="spellStart"/>
      <w:r w:rsidRPr="008864C8">
        <w:rPr>
          <w:rFonts w:eastAsia="Cambria"/>
        </w:rPr>
        <w:t>tinana</w:t>
      </w:r>
      <w:proofErr w:type="spellEnd"/>
      <w:r w:rsidRPr="008864C8">
        <w:rPr>
          <w:rFonts w:eastAsia="Cambria"/>
        </w:rPr>
        <w:t xml:space="preserve"> – so if someone is not eating well, or has injuries, when you pull out that wall everything is weakened as a result. </w:t>
      </w:r>
    </w:p>
    <w:p w14:paraId="220294D0" w14:textId="6A164F0D" w:rsidR="00D74515" w:rsidRDefault="00D74515" w:rsidP="001A1069">
      <w:pPr>
        <w:pStyle w:val="Paragraph"/>
        <w:spacing w:line="480" w:lineRule="auto"/>
        <w:rPr>
          <w:rFonts w:eastAsia="Cambria"/>
        </w:rPr>
      </w:pPr>
      <w:r>
        <w:rPr>
          <w:rFonts w:eastAsia="Cambria"/>
        </w:rPr>
        <w:t xml:space="preserve">For </w:t>
      </w:r>
      <w:proofErr w:type="spellStart"/>
      <w:r>
        <w:rPr>
          <w:rFonts w:eastAsia="Cambria"/>
        </w:rPr>
        <w:t>Meihana</w:t>
      </w:r>
      <w:proofErr w:type="spellEnd"/>
      <w:r>
        <w:rPr>
          <w:rFonts w:eastAsia="Cambria"/>
        </w:rPr>
        <w:t xml:space="preserve"> Durie the model’s holistic approach and </w:t>
      </w:r>
      <w:r w:rsidR="001D1F39">
        <w:rPr>
          <w:rFonts w:eastAsia="Cambria"/>
        </w:rPr>
        <w:t xml:space="preserve">relational </w:t>
      </w:r>
      <w:r>
        <w:rPr>
          <w:rFonts w:eastAsia="Cambria"/>
        </w:rPr>
        <w:t xml:space="preserve">focus is an expression of a Māori worldview that is contradistinctive to </w:t>
      </w:r>
      <w:r>
        <w:rPr>
          <w:rFonts w:eastAsia="Cambria"/>
          <w:highlight w:val="white"/>
        </w:rPr>
        <w:t>Western epistemology:</w:t>
      </w:r>
    </w:p>
    <w:p w14:paraId="5813C342" w14:textId="55D22D08" w:rsidR="00D74515" w:rsidRDefault="00D74515" w:rsidP="001A1069">
      <w:pPr>
        <w:pStyle w:val="Displayedquotation"/>
        <w:spacing w:line="480" w:lineRule="auto"/>
        <w:rPr>
          <w:rFonts w:eastAsia="Cambria"/>
        </w:rPr>
      </w:pPr>
      <w:r w:rsidRPr="008864C8">
        <w:rPr>
          <w:rFonts w:eastAsia="Cambria"/>
        </w:rPr>
        <w:t>It’s not trying to take a scientific approach where you take a microscope and try and narrow down and pull out something that is tiny and minute and say this is the cause of the problem. The Māori approach is to go the other way - to expand out and look at the forces and energies that are coming together to diminish wellbeing so that they can be resolved.</w:t>
      </w:r>
      <w:r w:rsidR="009948BC" w:rsidRPr="009948BC">
        <w:rPr>
          <w:rStyle w:val="FootnoteReference"/>
          <w:rFonts w:eastAsia="Cambria"/>
        </w:rPr>
        <w:t xml:space="preserve"> </w:t>
      </w:r>
      <w:r w:rsidRPr="008864C8">
        <w:rPr>
          <w:rFonts w:eastAsia="Cambria"/>
        </w:rPr>
        <w:t xml:space="preserve"> </w:t>
      </w:r>
    </w:p>
    <w:p w14:paraId="093690B3" w14:textId="77777777" w:rsidR="00D74515" w:rsidRPr="00D74515" w:rsidRDefault="00D74515" w:rsidP="001A1069">
      <w:pPr>
        <w:pStyle w:val="Paragraph"/>
        <w:spacing w:line="480" w:lineRule="auto"/>
        <w:rPr>
          <w:rFonts w:eastAsia="Cambria"/>
        </w:rPr>
      </w:pPr>
      <w:r w:rsidRPr="00D74515">
        <w:rPr>
          <w:rFonts w:eastAsia="Cambria"/>
        </w:rPr>
        <w:t xml:space="preserve">The model therefore gave the verbatim interview participants and the performers a </w:t>
      </w:r>
      <w:r w:rsidRPr="00D74515">
        <w:rPr>
          <w:rFonts w:eastAsia="Cambria"/>
        </w:rPr>
        <w:lastRenderedPageBreak/>
        <w:t>vocabulary and structure around which to explore their experiences inside prison through this more expansive Māori cultural lens. At times in editing the script, it was difficult to decide to which of the four sides a comment or monologue should be attributed, with many of the elements interacting with each other. Yet it worked particularly effectively as a framework for the verbatim interviews and as a dramaturgical device in performance, with some of those from Te Piriti reflecting later that the creative process had reinvigorated their understanding of the model and its importance in their lives. The model also anchored the process and the resulting performance in strengths-based discourse, a key feature of ethical and decolonising engagement with Indigenous peoples’ life stories and experiences (see Fogarty et al., 2018). While there were difficult and traumatic experiences represented within the work, the overall trajectory was towards strength, growth, and healing.</w:t>
      </w:r>
    </w:p>
    <w:p w14:paraId="0079261C" w14:textId="266A5D43" w:rsidR="00F66CEE" w:rsidRPr="00F66CEE" w:rsidRDefault="001D1F39" w:rsidP="007E68F6">
      <w:pPr>
        <w:pStyle w:val="Paragraph"/>
        <w:spacing w:before="0" w:line="480" w:lineRule="auto"/>
        <w:rPr>
          <w:rFonts w:eastAsia="Cambria"/>
        </w:rPr>
      </w:pPr>
      <w:r>
        <w:rPr>
          <w:rFonts w:eastAsia="Cambria"/>
        </w:rPr>
        <w:tab/>
      </w:r>
      <w:r w:rsidR="00F66CEE" w:rsidRPr="00F66CEE">
        <w:rPr>
          <w:rFonts w:eastAsia="Cambria"/>
        </w:rPr>
        <w:t>A strong legacy exists for drama-based methods being used in prisoner rehabilitation, and specifically sex offender treatment programmes</w:t>
      </w:r>
      <w:r w:rsidR="00E739DB">
        <w:rPr>
          <w:rFonts w:eastAsia="Cambria"/>
        </w:rPr>
        <w:t>.</w:t>
      </w:r>
      <w:r w:rsidR="00F66CEE" w:rsidRPr="00F66CEE">
        <w:rPr>
          <w:rFonts w:eastAsia="Cambria"/>
        </w:rPr>
        <w:t xml:space="preserve"> In the case of Geese Theatre Company, and the subsequent work of their founding members </w:t>
      </w:r>
      <w:r w:rsidR="00E739DB">
        <w:rPr>
          <w:rFonts w:eastAsia="Cambria"/>
        </w:rPr>
        <w:t xml:space="preserve">Clark </w:t>
      </w:r>
      <w:proofErr w:type="spellStart"/>
      <w:r w:rsidR="00F66CEE" w:rsidRPr="00F66CEE">
        <w:rPr>
          <w:rFonts w:eastAsia="Cambria"/>
        </w:rPr>
        <w:t>Baim</w:t>
      </w:r>
      <w:proofErr w:type="spellEnd"/>
      <w:r w:rsidR="00F66CEE" w:rsidRPr="00F66CEE">
        <w:rPr>
          <w:rFonts w:eastAsia="Cambria"/>
        </w:rPr>
        <w:t xml:space="preserve"> (</w:t>
      </w:r>
      <w:proofErr w:type="spellStart"/>
      <w:r w:rsidR="00E739DB">
        <w:rPr>
          <w:rFonts w:eastAsia="Cambria"/>
        </w:rPr>
        <w:t>Baim</w:t>
      </w:r>
      <w:proofErr w:type="spellEnd"/>
      <w:r w:rsidR="00E739DB">
        <w:rPr>
          <w:rFonts w:eastAsia="Cambria"/>
        </w:rPr>
        <w:t xml:space="preserve"> et al. 1999</w:t>
      </w:r>
      <w:r w:rsidR="00F66CEE" w:rsidRPr="00F66CEE">
        <w:rPr>
          <w:rFonts w:eastAsia="Cambria"/>
        </w:rPr>
        <w:t xml:space="preserve">), </w:t>
      </w:r>
      <w:r w:rsidR="00E739DB">
        <w:rPr>
          <w:rFonts w:eastAsia="Cambria"/>
        </w:rPr>
        <w:t xml:space="preserve">John </w:t>
      </w:r>
      <w:r w:rsidR="00F66CEE" w:rsidRPr="00F66CEE">
        <w:rPr>
          <w:rFonts w:eastAsia="Cambria"/>
        </w:rPr>
        <w:t xml:space="preserve">Bergman and </w:t>
      </w:r>
      <w:r w:rsidR="00E739DB">
        <w:rPr>
          <w:rFonts w:eastAsia="Cambria"/>
        </w:rPr>
        <w:t xml:space="preserve">Saul </w:t>
      </w:r>
      <w:r w:rsidR="00F66CEE" w:rsidRPr="00F66CEE">
        <w:rPr>
          <w:rFonts w:eastAsia="Cambria"/>
        </w:rPr>
        <w:t>Hewish (</w:t>
      </w:r>
      <w:r w:rsidR="00E739DB">
        <w:rPr>
          <w:rFonts w:eastAsia="Cambria"/>
        </w:rPr>
        <w:t xml:space="preserve">Bergman and Hewish </w:t>
      </w:r>
      <w:r>
        <w:rPr>
          <w:rFonts w:eastAsia="Cambria"/>
        </w:rPr>
        <w:t>2003</w:t>
      </w:r>
      <w:r w:rsidR="00F66CEE" w:rsidRPr="00F66CEE">
        <w:rPr>
          <w:rFonts w:eastAsia="Cambria"/>
        </w:rPr>
        <w:t xml:space="preserve">), the work in </w:t>
      </w:r>
      <w:r w:rsidR="00C341FC">
        <w:rPr>
          <w:rFonts w:eastAsia="Cambria"/>
        </w:rPr>
        <w:t>sex offender treatment</w:t>
      </w:r>
      <w:r w:rsidR="00F66CEE" w:rsidRPr="00F66CEE">
        <w:rPr>
          <w:rFonts w:eastAsia="Cambria"/>
        </w:rPr>
        <w:t xml:space="preserve"> was developed over many years, incorporating a fusion of image theatre, forum theatre and psychodrama with psychosocial approaches such as role theory and social learning theory and accepted sex offender treatment paradigms such as cognitive and behavioural therapy. While the use of mask was more widespread in Geese’s mainstream offender focused programmes, Geese also included this approach within the </w:t>
      </w:r>
      <w:r w:rsidR="00C341FC">
        <w:rPr>
          <w:rFonts w:eastAsia="Cambria"/>
        </w:rPr>
        <w:t>sex offender treatment</w:t>
      </w:r>
      <w:r w:rsidR="00F66CEE" w:rsidRPr="00F66CEE">
        <w:rPr>
          <w:rFonts w:eastAsia="Cambria"/>
        </w:rPr>
        <w:t xml:space="preserve"> context, focusing as ever on the mask as a metaphor for the different external behaviours that a person might present to themselves and the outside world, enabling them to cope with high pressure situations and (in some cases) hide from responsibility for their offending</w:t>
      </w:r>
      <w:r>
        <w:rPr>
          <w:rFonts w:eastAsia="Cambria"/>
        </w:rPr>
        <w:t xml:space="preserve"> (see </w:t>
      </w:r>
      <w:proofErr w:type="spellStart"/>
      <w:r>
        <w:rPr>
          <w:rFonts w:eastAsia="Cambria"/>
        </w:rPr>
        <w:t>Baim</w:t>
      </w:r>
      <w:proofErr w:type="spellEnd"/>
      <w:r>
        <w:rPr>
          <w:rFonts w:eastAsia="Cambria"/>
        </w:rPr>
        <w:t xml:space="preserve">, Brookes and Mountford </w:t>
      </w:r>
      <w:r>
        <w:rPr>
          <w:rFonts w:eastAsia="Cambria"/>
        </w:rPr>
        <w:lastRenderedPageBreak/>
        <w:t>2002, Watson 20</w:t>
      </w:r>
      <w:r w:rsidR="00E51BE2">
        <w:rPr>
          <w:rFonts w:eastAsia="Cambria"/>
        </w:rPr>
        <w:t>13</w:t>
      </w:r>
      <w:r>
        <w:rPr>
          <w:rFonts w:eastAsia="Cambria"/>
        </w:rPr>
        <w:t>)</w:t>
      </w:r>
      <w:r w:rsidR="00F66CEE" w:rsidRPr="00F66CEE">
        <w:rPr>
          <w:rFonts w:eastAsia="Cambria"/>
        </w:rPr>
        <w:t>.</w:t>
      </w:r>
      <w:r w:rsidRPr="00F66CEE" w:rsidDel="001D1F39">
        <w:rPr>
          <w:rFonts w:eastAsia="Cambria"/>
          <w:vertAlign w:val="superscript"/>
        </w:rPr>
        <w:t xml:space="preserve"> </w:t>
      </w:r>
    </w:p>
    <w:p w14:paraId="19BF03A5" w14:textId="598893B4" w:rsidR="00F66CEE" w:rsidRPr="00F66CEE" w:rsidRDefault="000834E0" w:rsidP="007E68F6">
      <w:pPr>
        <w:pStyle w:val="Paragraph"/>
        <w:spacing w:before="0" w:line="480" w:lineRule="auto"/>
        <w:ind w:firstLine="720"/>
        <w:rPr>
          <w:rFonts w:eastAsia="Cambria"/>
        </w:rPr>
      </w:pPr>
      <w:r>
        <w:rPr>
          <w:rFonts w:eastAsia="Cambria"/>
        </w:rPr>
        <w:t>The</w:t>
      </w:r>
      <w:r w:rsidR="00F66CEE" w:rsidRPr="00F66CEE">
        <w:rPr>
          <w:rFonts w:eastAsia="Cambria"/>
        </w:rPr>
        <w:t xml:space="preserve"> methodology </w:t>
      </w:r>
      <w:r>
        <w:rPr>
          <w:rFonts w:eastAsia="Cambria"/>
        </w:rPr>
        <w:t xml:space="preserve">utilised as part of </w:t>
      </w:r>
      <w:proofErr w:type="spellStart"/>
      <w:r w:rsidRPr="007E68F6">
        <w:rPr>
          <w:rFonts w:eastAsia="Cambria"/>
          <w:i/>
          <w:iCs/>
        </w:rPr>
        <w:t>Ngā</w:t>
      </w:r>
      <w:proofErr w:type="spellEnd"/>
      <w:r w:rsidRPr="007E68F6">
        <w:rPr>
          <w:rFonts w:eastAsia="Cambria"/>
          <w:i/>
          <w:iCs/>
        </w:rPr>
        <w:t xml:space="preserve"> </w:t>
      </w:r>
      <w:proofErr w:type="spellStart"/>
      <w:r w:rsidRPr="007E68F6">
        <w:rPr>
          <w:rFonts w:eastAsia="Cambria"/>
          <w:i/>
          <w:iCs/>
        </w:rPr>
        <w:t>Pātū</w:t>
      </w:r>
      <w:proofErr w:type="spellEnd"/>
      <w:r w:rsidRPr="007E68F6">
        <w:rPr>
          <w:rFonts w:eastAsia="Cambria"/>
          <w:i/>
          <w:iCs/>
        </w:rPr>
        <w:t xml:space="preserve"> </w:t>
      </w:r>
      <w:proofErr w:type="spellStart"/>
      <w:r w:rsidRPr="007E68F6">
        <w:rPr>
          <w:rFonts w:eastAsia="Cambria"/>
          <w:i/>
          <w:iCs/>
        </w:rPr>
        <w:t>Kōrero</w:t>
      </w:r>
      <w:proofErr w:type="spellEnd"/>
      <w:r>
        <w:rPr>
          <w:rFonts w:eastAsia="Cambria"/>
        </w:rPr>
        <w:t xml:space="preserve"> at </w:t>
      </w:r>
      <w:proofErr w:type="spellStart"/>
      <w:r w:rsidR="00F66CEE" w:rsidRPr="00F66CEE">
        <w:rPr>
          <w:rFonts w:eastAsia="Cambria"/>
        </w:rPr>
        <w:t>Te</w:t>
      </w:r>
      <w:proofErr w:type="spellEnd"/>
      <w:r w:rsidR="00F66CEE" w:rsidRPr="00F66CEE">
        <w:rPr>
          <w:rFonts w:eastAsia="Cambria"/>
        </w:rPr>
        <w:t xml:space="preserve"> </w:t>
      </w:r>
      <w:proofErr w:type="spellStart"/>
      <w:r w:rsidR="00F66CEE" w:rsidRPr="00F66CEE">
        <w:rPr>
          <w:rFonts w:eastAsia="Cambria"/>
        </w:rPr>
        <w:t>Piriti</w:t>
      </w:r>
      <w:proofErr w:type="spellEnd"/>
      <w:r w:rsidR="00F66CEE" w:rsidRPr="00F66CEE">
        <w:rPr>
          <w:rFonts w:eastAsia="Cambria"/>
        </w:rPr>
        <w:t xml:space="preserve"> was perhaps unique in terms of theatre in a </w:t>
      </w:r>
      <w:r w:rsidR="00C341FC">
        <w:rPr>
          <w:rFonts w:eastAsia="Cambria"/>
        </w:rPr>
        <w:t>sex offender treatment</w:t>
      </w:r>
      <w:r w:rsidR="00F66CEE" w:rsidRPr="00F66CEE">
        <w:rPr>
          <w:rFonts w:eastAsia="Cambria"/>
        </w:rPr>
        <w:t xml:space="preserve"> context. As we </w:t>
      </w:r>
      <w:r w:rsidR="00073C11">
        <w:rPr>
          <w:rFonts w:eastAsia="Cambria"/>
        </w:rPr>
        <w:t xml:space="preserve">have </w:t>
      </w:r>
      <w:r w:rsidR="00F66CEE" w:rsidRPr="00F66CEE">
        <w:rPr>
          <w:rFonts w:eastAsia="Cambria"/>
        </w:rPr>
        <w:t>discus</w:t>
      </w:r>
      <w:r w:rsidR="00073C11">
        <w:rPr>
          <w:rFonts w:eastAsia="Cambria"/>
        </w:rPr>
        <w:t>sed</w:t>
      </w:r>
      <w:r w:rsidR="00F66CEE" w:rsidRPr="00F66CEE">
        <w:rPr>
          <w:rFonts w:eastAsia="Cambria"/>
        </w:rPr>
        <w:t>, mask, although freighted with similar meaning</w:t>
      </w:r>
      <w:r w:rsidR="001F26EB">
        <w:rPr>
          <w:rFonts w:eastAsia="Cambria"/>
        </w:rPr>
        <w:t>s</w:t>
      </w:r>
      <w:r w:rsidR="00F66CEE" w:rsidRPr="00F66CEE">
        <w:rPr>
          <w:rFonts w:eastAsia="Cambria"/>
        </w:rPr>
        <w:t xml:space="preserve"> as a metaphor, was used differently in this </w:t>
      </w:r>
      <w:r w:rsidR="003D3EA8">
        <w:rPr>
          <w:rFonts w:eastAsia="Cambria"/>
        </w:rPr>
        <w:t>case</w:t>
      </w:r>
      <w:r w:rsidR="00F66CEE" w:rsidRPr="00F66CEE">
        <w:rPr>
          <w:rFonts w:eastAsia="Cambria"/>
        </w:rPr>
        <w:t xml:space="preserve">. We approached the project with an open mind as to what the participants would explore and the rationale, as described earlier, was anchored in the ethos of community-based theatre rather than offender rehabilitation. This was an important distinction for us, aimed at progressing our ideals around a </w:t>
      </w:r>
      <w:r w:rsidR="003D3EA8">
        <w:rPr>
          <w:rFonts w:eastAsia="Cambria"/>
        </w:rPr>
        <w:t>decolonial</w:t>
      </w:r>
      <w:r w:rsidR="003D3EA8" w:rsidRPr="00F66CEE">
        <w:rPr>
          <w:rFonts w:eastAsia="Cambria"/>
        </w:rPr>
        <w:t xml:space="preserve"> </w:t>
      </w:r>
      <w:r w:rsidR="00F66CEE" w:rsidRPr="00F66CEE">
        <w:rPr>
          <w:rFonts w:eastAsia="Cambria"/>
        </w:rPr>
        <w:t xml:space="preserve">approach that might resist being drawn into a </w:t>
      </w:r>
      <w:r w:rsidR="00D35269">
        <w:rPr>
          <w:rFonts w:eastAsia="Cambria"/>
        </w:rPr>
        <w:t>Western</w:t>
      </w:r>
      <w:r w:rsidR="00F66CEE" w:rsidRPr="00F66CEE">
        <w:rPr>
          <w:rFonts w:eastAsia="Cambria"/>
        </w:rPr>
        <w:t xml:space="preserve">-centric rehabilitation agenda, and would place the participants and their knowledge, stories and life experiences at the centre of the </w:t>
      </w:r>
      <w:r w:rsidR="00907585">
        <w:rPr>
          <w:rFonts w:eastAsia="Cambria"/>
        </w:rPr>
        <w:t xml:space="preserve">artistic </w:t>
      </w:r>
      <w:r w:rsidR="00F66CEE" w:rsidRPr="00F66CEE">
        <w:rPr>
          <w:rFonts w:eastAsia="Cambria"/>
        </w:rPr>
        <w:t xml:space="preserve">process. </w:t>
      </w:r>
    </w:p>
    <w:p w14:paraId="4EDF52EE" w14:textId="1DBA44CF" w:rsidR="00F66CEE" w:rsidRPr="00F66CEE" w:rsidRDefault="00F66CEE" w:rsidP="007E68F6">
      <w:pPr>
        <w:pStyle w:val="Newparagraph"/>
        <w:spacing w:line="480" w:lineRule="auto"/>
        <w:rPr>
          <w:rFonts w:eastAsia="Cambria"/>
        </w:rPr>
      </w:pPr>
      <w:r w:rsidRPr="00F66CEE">
        <w:rPr>
          <w:rFonts w:eastAsia="Cambria"/>
        </w:rPr>
        <w:t xml:space="preserve">An extension of this was the recognition that </w:t>
      </w:r>
      <w:r w:rsidR="001D1F39">
        <w:rPr>
          <w:rFonts w:eastAsia="Cambria"/>
        </w:rPr>
        <w:t>‘</w:t>
      </w:r>
      <w:r w:rsidRPr="00F66CEE">
        <w:rPr>
          <w:rFonts w:eastAsia="Cambria"/>
        </w:rPr>
        <w:t>sex offenders</w:t>
      </w:r>
      <w:r w:rsidR="00D35269">
        <w:rPr>
          <w:rFonts w:eastAsia="Cambria"/>
        </w:rPr>
        <w:t>,</w:t>
      </w:r>
      <w:r w:rsidR="001D1F39">
        <w:rPr>
          <w:rFonts w:eastAsia="Cambria"/>
        </w:rPr>
        <w:t>’</w:t>
      </w:r>
      <w:r w:rsidRPr="00F66CEE">
        <w:rPr>
          <w:rFonts w:eastAsia="Cambria"/>
        </w:rPr>
        <w:t xml:space="preserve"> particularly those who have offended against children, have a singular place in the wider public’s carceral imaginary. They are reviled and stigmatised as the ultimate transgressors who deserve nothing but the most punitive treatment – but preferably banishment from society or death. There is no way back. As others have suggested, the carceral imaginary pervades the media, popular culture and public discourse, often directly influencing criminal justice policy (</w:t>
      </w:r>
      <w:proofErr w:type="spellStart"/>
      <w:r w:rsidR="00E739DB">
        <w:rPr>
          <w:rFonts w:eastAsia="Cambria"/>
        </w:rPr>
        <w:t>Fludernik</w:t>
      </w:r>
      <w:proofErr w:type="spellEnd"/>
      <w:r w:rsidR="00E739DB">
        <w:rPr>
          <w:rFonts w:eastAsia="Cambria"/>
        </w:rPr>
        <w:t xml:space="preserve"> 2019</w:t>
      </w:r>
      <w:r w:rsidRPr="00F66CEE">
        <w:rPr>
          <w:rFonts w:eastAsia="Cambria"/>
        </w:rPr>
        <w:t>), and operating as a legacy of successive colonial and neo-colonial logics. And yet, as we discuss elsewhere, traditional M</w:t>
      </w:r>
      <w:r w:rsidR="00D35269" w:rsidRPr="00F66CEE">
        <w:rPr>
          <w:rFonts w:eastAsia="Cambria"/>
          <w:lang w:val="en-GB"/>
        </w:rPr>
        <w:t>ā</w:t>
      </w:r>
      <w:proofErr w:type="spellStart"/>
      <w:r w:rsidRPr="00F66CEE">
        <w:rPr>
          <w:rFonts w:eastAsia="Cambria"/>
        </w:rPr>
        <w:t>ori</w:t>
      </w:r>
      <w:proofErr w:type="spellEnd"/>
      <w:r w:rsidRPr="00F66CEE">
        <w:rPr>
          <w:rFonts w:eastAsia="Cambria"/>
        </w:rPr>
        <w:t xml:space="preserve"> law dictates that the cultural and spiritual consequences for </w:t>
      </w:r>
      <w:r w:rsidRPr="00F66CEE">
        <w:rPr>
          <w:rFonts w:eastAsia="Cambria"/>
          <w:lang w:val="en-GB"/>
        </w:rPr>
        <w:t xml:space="preserve">Māori men who offend sexually against children are greater than for other offences. </w:t>
      </w:r>
      <w:proofErr w:type="spellStart"/>
      <w:r w:rsidRPr="00F66CEE">
        <w:rPr>
          <w:rFonts w:eastAsia="Cambria"/>
        </w:rPr>
        <w:t>Te</w:t>
      </w:r>
      <w:proofErr w:type="spellEnd"/>
      <w:r w:rsidRPr="00F66CEE">
        <w:rPr>
          <w:rFonts w:eastAsia="Cambria"/>
        </w:rPr>
        <w:t xml:space="preserve"> </w:t>
      </w:r>
      <w:proofErr w:type="spellStart"/>
      <w:r w:rsidRPr="00F66CEE">
        <w:rPr>
          <w:rFonts w:eastAsia="Cambria"/>
        </w:rPr>
        <w:t>Piriti</w:t>
      </w:r>
      <w:proofErr w:type="spellEnd"/>
      <w:r w:rsidRPr="00F66CEE">
        <w:rPr>
          <w:rFonts w:eastAsia="Cambria"/>
        </w:rPr>
        <w:t xml:space="preserve"> and </w:t>
      </w:r>
      <w:proofErr w:type="spellStart"/>
      <w:r w:rsidRPr="00F66CEE">
        <w:rPr>
          <w:rFonts w:eastAsia="Cambria"/>
        </w:rPr>
        <w:t>Te</w:t>
      </w:r>
      <w:proofErr w:type="spellEnd"/>
      <w:r w:rsidRPr="00F66CEE">
        <w:rPr>
          <w:rFonts w:eastAsia="Cambria"/>
        </w:rPr>
        <w:t xml:space="preserve"> Whare Tapa </w:t>
      </w:r>
      <w:proofErr w:type="spellStart"/>
      <w:r w:rsidRPr="00F66CEE">
        <w:rPr>
          <w:rFonts w:eastAsia="Cambria"/>
        </w:rPr>
        <w:t>Wha</w:t>
      </w:r>
      <w:proofErr w:type="spellEnd"/>
      <w:r w:rsidRPr="00F66CEE">
        <w:rPr>
          <w:rFonts w:eastAsia="Cambria"/>
        </w:rPr>
        <w:t xml:space="preserve">̄ aims to create a </w:t>
      </w:r>
      <w:r w:rsidR="001D1F39">
        <w:rPr>
          <w:rFonts w:eastAsia="Cambria"/>
        </w:rPr>
        <w:t>‘</w:t>
      </w:r>
      <w:r w:rsidRPr="00F66CEE">
        <w:rPr>
          <w:rFonts w:eastAsia="Cambria"/>
        </w:rPr>
        <w:t>way back</w:t>
      </w:r>
      <w:r w:rsidR="001D1F39">
        <w:rPr>
          <w:rFonts w:eastAsia="Cambria"/>
        </w:rPr>
        <w:t xml:space="preserve">’ </w:t>
      </w:r>
      <w:r w:rsidRPr="00F66CEE">
        <w:rPr>
          <w:rFonts w:eastAsia="Cambria"/>
        </w:rPr>
        <w:t xml:space="preserve">for these men by focusing on ways that they can restore mana. Approaching a theatre project with this group, we were therefore conscious that an unqualified aim of empowerment or </w:t>
      </w:r>
      <w:r w:rsidR="001D1F39">
        <w:rPr>
          <w:rFonts w:eastAsia="Cambria"/>
        </w:rPr>
        <w:t>‘</w:t>
      </w:r>
      <w:r w:rsidRPr="00F66CEE">
        <w:rPr>
          <w:rFonts w:eastAsia="Cambria"/>
        </w:rPr>
        <w:t>giving voice</w:t>
      </w:r>
      <w:r w:rsidR="001D1F39">
        <w:rPr>
          <w:rFonts w:eastAsia="Cambria"/>
        </w:rPr>
        <w:t>’</w:t>
      </w:r>
      <w:r w:rsidRPr="00F66CEE">
        <w:rPr>
          <w:rFonts w:eastAsia="Cambria"/>
        </w:rPr>
        <w:t xml:space="preserve"> </w:t>
      </w:r>
      <w:r w:rsidR="001D1F39">
        <w:rPr>
          <w:rFonts w:eastAsia="Cambria"/>
        </w:rPr>
        <w:t>may</w:t>
      </w:r>
      <w:r w:rsidRPr="00F66CEE">
        <w:rPr>
          <w:rFonts w:eastAsia="Cambria"/>
        </w:rPr>
        <w:t xml:space="preserve"> not </w:t>
      </w:r>
      <w:r w:rsidR="001D1F39">
        <w:rPr>
          <w:rFonts w:eastAsia="Cambria"/>
        </w:rPr>
        <w:t xml:space="preserve">be </w:t>
      </w:r>
      <w:r w:rsidRPr="00F66CEE">
        <w:rPr>
          <w:rFonts w:eastAsia="Cambria"/>
        </w:rPr>
        <w:t xml:space="preserve">appropriate in this </w:t>
      </w:r>
      <w:r w:rsidRPr="00F66CEE">
        <w:rPr>
          <w:rFonts w:eastAsia="Cambria"/>
        </w:rPr>
        <w:lastRenderedPageBreak/>
        <w:t xml:space="preserve">context. The project needed to work within the culturally focused frameworks for healing and relationality that surrounded these participants. </w:t>
      </w:r>
    </w:p>
    <w:p w14:paraId="53D1C3E9" w14:textId="5ED2A42B" w:rsidR="001D1F39" w:rsidRPr="00F66CEE" w:rsidRDefault="001D1F39" w:rsidP="007E68F6">
      <w:pPr>
        <w:pStyle w:val="Heading1"/>
        <w:spacing w:line="480" w:lineRule="auto"/>
        <w:rPr>
          <w:rFonts w:eastAsia="Cambria"/>
        </w:rPr>
      </w:pPr>
      <w:r>
        <w:rPr>
          <w:rFonts w:eastAsia="Cambria"/>
        </w:rPr>
        <w:t>Conclusion: Leaving Behind</w:t>
      </w:r>
    </w:p>
    <w:p w14:paraId="46200E32" w14:textId="15A6410E" w:rsidR="001D1F39" w:rsidRDefault="001D1F39" w:rsidP="007E68F6">
      <w:pPr>
        <w:pStyle w:val="Newparagraph"/>
        <w:spacing w:line="480" w:lineRule="auto"/>
        <w:ind w:firstLine="0"/>
        <w:rPr>
          <w:rFonts w:eastAsia="Cambria"/>
        </w:rPr>
      </w:pPr>
      <w:r>
        <w:rPr>
          <w:rFonts w:eastAsia="Cambria"/>
        </w:rPr>
        <w:t>This article has illustrated how ultimately</w:t>
      </w:r>
      <w:r w:rsidRPr="00F66CEE">
        <w:rPr>
          <w:rFonts w:eastAsia="Cambria"/>
        </w:rPr>
        <w:t xml:space="preserve"> the participants themselves elected to use the </w:t>
      </w:r>
      <w:proofErr w:type="spellStart"/>
      <w:r w:rsidRPr="00F66CEE">
        <w:rPr>
          <w:rFonts w:eastAsia="Cambria"/>
        </w:rPr>
        <w:t>Te</w:t>
      </w:r>
      <w:proofErr w:type="spellEnd"/>
      <w:r w:rsidRPr="00F66CEE">
        <w:rPr>
          <w:rFonts w:eastAsia="Cambria"/>
        </w:rPr>
        <w:t xml:space="preserve"> Whare Tapa </w:t>
      </w:r>
      <w:proofErr w:type="spellStart"/>
      <w:r w:rsidRPr="00F66CEE">
        <w:rPr>
          <w:rFonts w:eastAsia="Cambria"/>
        </w:rPr>
        <w:t>Wha</w:t>
      </w:r>
      <w:proofErr w:type="spellEnd"/>
      <w:r w:rsidRPr="00F66CEE">
        <w:rPr>
          <w:rFonts w:eastAsia="Cambria"/>
        </w:rPr>
        <w:t xml:space="preserve">̄ therapeutic model in framing the performance, possibly because of its central place within the work of </w:t>
      </w:r>
      <w:proofErr w:type="spellStart"/>
      <w:r w:rsidRPr="00F66CEE">
        <w:rPr>
          <w:rFonts w:eastAsia="Cambria"/>
        </w:rPr>
        <w:t>Te</w:t>
      </w:r>
      <w:proofErr w:type="spellEnd"/>
      <w:r w:rsidRPr="00F66CEE">
        <w:rPr>
          <w:rFonts w:eastAsia="Cambria"/>
        </w:rPr>
        <w:t xml:space="preserve"> </w:t>
      </w:r>
      <w:proofErr w:type="spellStart"/>
      <w:r w:rsidRPr="00F66CEE">
        <w:rPr>
          <w:rFonts w:eastAsia="Cambria"/>
        </w:rPr>
        <w:t>Piriti</w:t>
      </w:r>
      <w:proofErr w:type="spellEnd"/>
      <w:r w:rsidRPr="00F66CEE">
        <w:rPr>
          <w:rFonts w:eastAsia="Cambria"/>
        </w:rPr>
        <w:t>. Also, it</w:t>
      </w:r>
      <w:r>
        <w:rPr>
          <w:rFonts w:eastAsia="Cambria"/>
        </w:rPr>
        <w:t>’</w:t>
      </w:r>
      <w:r w:rsidRPr="00F66CEE">
        <w:rPr>
          <w:rFonts w:eastAsia="Cambria"/>
        </w:rPr>
        <w:t xml:space="preserve">s strength as a culturally driven metaphor for healing made it a compelling framing device for this group. This meant that in some ways we were enlisted to accompany the residents of Te Piriti on their therapeutic journey, elevating the </w:t>
      </w:r>
      <w:proofErr w:type="spellStart"/>
      <w:r w:rsidRPr="00F66CEE">
        <w:rPr>
          <w:rFonts w:eastAsia="Cambria"/>
        </w:rPr>
        <w:t>Te</w:t>
      </w:r>
      <w:proofErr w:type="spellEnd"/>
      <w:r w:rsidRPr="00F66CEE">
        <w:rPr>
          <w:rFonts w:eastAsia="Cambria"/>
        </w:rPr>
        <w:t xml:space="preserve"> Whare Tapa </w:t>
      </w:r>
      <w:proofErr w:type="spellStart"/>
      <w:r w:rsidRPr="00F66CEE">
        <w:rPr>
          <w:rFonts w:eastAsia="Cambria"/>
        </w:rPr>
        <w:t>Wha</w:t>
      </w:r>
      <w:proofErr w:type="spellEnd"/>
      <w:r w:rsidRPr="00F66CEE">
        <w:rPr>
          <w:rFonts w:eastAsia="Cambria"/>
        </w:rPr>
        <w:t xml:space="preserve">̄ model into a new aesthetic and performative space. </w:t>
      </w:r>
      <w:r w:rsidR="008619CD">
        <w:rPr>
          <w:rFonts w:eastAsia="Cambria"/>
        </w:rPr>
        <w:t>By building on the importance of cultural rights within the prison as a foundation, the production provided an opportunity to centre indigenous knowledge and incorporate</w:t>
      </w:r>
      <w:r w:rsidR="008619CD" w:rsidRPr="00CF4370">
        <w:rPr>
          <w:rFonts w:eastAsia="Cambria"/>
        </w:rPr>
        <w:t xml:space="preserve"> </w:t>
      </w:r>
      <w:proofErr w:type="spellStart"/>
      <w:r w:rsidR="008619CD" w:rsidRPr="00CF4370">
        <w:rPr>
          <w:rFonts w:eastAsia="Cambria"/>
        </w:rPr>
        <w:t>Te</w:t>
      </w:r>
      <w:proofErr w:type="spellEnd"/>
      <w:r w:rsidR="008619CD" w:rsidRPr="00CF4370">
        <w:rPr>
          <w:rFonts w:eastAsia="Cambria"/>
        </w:rPr>
        <w:t xml:space="preserve"> Whare Tapa </w:t>
      </w:r>
      <w:proofErr w:type="spellStart"/>
      <w:r w:rsidR="008619CD" w:rsidRPr="00CF4370">
        <w:rPr>
          <w:rFonts w:eastAsia="Cambria"/>
        </w:rPr>
        <w:t>Whā</w:t>
      </w:r>
      <w:proofErr w:type="spellEnd"/>
      <w:r w:rsidR="008619CD" w:rsidRPr="00CF4370">
        <w:rPr>
          <w:rFonts w:eastAsia="Cambria"/>
        </w:rPr>
        <w:t xml:space="preserve"> as a dramaturgical device</w:t>
      </w:r>
      <w:r w:rsidR="008619CD">
        <w:rPr>
          <w:rFonts w:eastAsia="Cambria"/>
        </w:rPr>
        <w:t xml:space="preserve"> to help </w:t>
      </w:r>
      <w:r w:rsidR="00931CAC">
        <w:rPr>
          <w:rFonts w:eastAsia="Cambria"/>
        </w:rPr>
        <w:t>advance decolonising approaches to</w:t>
      </w:r>
      <w:r w:rsidR="008619CD">
        <w:rPr>
          <w:rFonts w:eastAsia="Cambria"/>
        </w:rPr>
        <w:t xml:space="preserve"> prison </w:t>
      </w:r>
      <w:r w:rsidR="00931CAC">
        <w:rPr>
          <w:rFonts w:eastAsia="Cambria"/>
        </w:rPr>
        <w:t>theatre</w:t>
      </w:r>
      <w:r w:rsidR="008619CD">
        <w:rPr>
          <w:rFonts w:eastAsia="Cambria"/>
        </w:rPr>
        <w:t xml:space="preserve"> practice.</w:t>
      </w:r>
    </w:p>
    <w:p w14:paraId="495BF1FC" w14:textId="703FFFAE" w:rsidR="00497807" w:rsidRDefault="00497807" w:rsidP="007E68F6">
      <w:pPr>
        <w:pStyle w:val="Newparagraph"/>
        <w:spacing w:line="480" w:lineRule="auto"/>
        <w:rPr>
          <w:rFonts w:eastAsia="Cambria"/>
          <w:highlight w:val="white"/>
        </w:rPr>
      </w:pPr>
      <w:r>
        <w:rPr>
          <w:rFonts w:eastAsia="Cambria"/>
        </w:rPr>
        <w:t xml:space="preserve">By incorporating </w:t>
      </w:r>
      <w:proofErr w:type="spellStart"/>
      <w:r>
        <w:rPr>
          <w:rFonts w:eastAsia="Cambria"/>
        </w:rPr>
        <w:t>Te</w:t>
      </w:r>
      <w:proofErr w:type="spellEnd"/>
      <w:r>
        <w:rPr>
          <w:rFonts w:eastAsia="Cambria"/>
        </w:rPr>
        <w:t xml:space="preserve"> Whare Tapa </w:t>
      </w:r>
      <w:proofErr w:type="spellStart"/>
      <w:r>
        <w:rPr>
          <w:rFonts w:eastAsia="Cambria"/>
        </w:rPr>
        <w:t>Whā</w:t>
      </w:r>
      <w:proofErr w:type="spellEnd"/>
      <w:r>
        <w:rPr>
          <w:rFonts w:eastAsia="Cambria"/>
        </w:rPr>
        <w:t xml:space="preserve"> as a dramaturgical and theatrical device in a prison theatre production, </w:t>
      </w:r>
      <w:proofErr w:type="spellStart"/>
      <w:r>
        <w:rPr>
          <w:rFonts w:eastAsia="Cambria"/>
          <w:i/>
        </w:rPr>
        <w:t>Ngā</w:t>
      </w:r>
      <w:proofErr w:type="spellEnd"/>
      <w:r>
        <w:rPr>
          <w:rFonts w:eastAsia="Cambria"/>
          <w:i/>
        </w:rPr>
        <w:t xml:space="preserve"> </w:t>
      </w:r>
      <w:proofErr w:type="spellStart"/>
      <w:r>
        <w:rPr>
          <w:rFonts w:eastAsia="Cambria"/>
          <w:i/>
        </w:rPr>
        <w:t>Pātū</w:t>
      </w:r>
      <w:proofErr w:type="spellEnd"/>
      <w:r>
        <w:rPr>
          <w:rFonts w:eastAsia="Cambria"/>
          <w:i/>
        </w:rPr>
        <w:t xml:space="preserve"> </w:t>
      </w:r>
      <w:proofErr w:type="spellStart"/>
      <w:r>
        <w:rPr>
          <w:rFonts w:eastAsia="Cambria"/>
          <w:i/>
        </w:rPr>
        <w:t>Kōrero</w:t>
      </w:r>
      <w:proofErr w:type="spellEnd"/>
      <w:r>
        <w:rPr>
          <w:rFonts w:eastAsia="Cambria"/>
        </w:rPr>
        <w:t xml:space="preserve"> highlighted how conceptions of healing underpin Indigenous approaches to justice, and reinforced the assertion of Indigenous culture as an important part of decolonising Western criminal justice systems (</w:t>
      </w:r>
      <w:proofErr w:type="spellStart"/>
      <w:r>
        <w:rPr>
          <w:rFonts w:eastAsia="Cambria"/>
        </w:rPr>
        <w:t>Cunneen</w:t>
      </w:r>
      <w:proofErr w:type="spellEnd"/>
      <w:r>
        <w:rPr>
          <w:rFonts w:eastAsia="Cambria"/>
        </w:rPr>
        <w:t xml:space="preserve"> and Tauri, 2016, 131). </w:t>
      </w:r>
      <w:r>
        <w:rPr>
          <w:rFonts w:eastAsia="Cambria"/>
          <w:highlight w:val="white"/>
        </w:rPr>
        <w:t xml:space="preserve">A focus on healing relies on </w:t>
      </w:r>
      <w:r w:rsidR="00DF7603">
        <w:rPr>
          <w:rFonts w:eastAsia="Cambria"/>
          <w:highlight w:val="white"/>
        </w:rPr>
        <w:t>‘</w:t>
      </w:r>
      <w:r>
        <w:rPr>
          <w:rFonts w:eastAsia="Cambria"/>
          <w:highlight w:val="white"/>
        </w:rPr>
        <w:t>inter-relationality rather than individualism, and the importance of identity and culture in the process of decolonisation</w:t>
      </w:r>
      <w:r w:rsidR="00DF7603">
        <w:rPr>
          <w:rFonts w:eastAsia="Cambria"/>
          <w:highlight w:val="white"/>
        </w:rPr>
        <w:t xml:space="preserve">’ </w:t>
      </w:r>
      <w:r>
        <w:rPr>
          <w:rFonts w:eastAsia="Cambria"/>
          <w:highlight w:val="white"/>
        </w:rPr>
        <w:t xml:space="preserve">which can work to shift </w:t>
      </w:r>
      <w:r w:rsidR="00DF7603">
        <w:rPr>
          <w:rFonts w:eastAsia="Cambria"/>
          <w:highlight w:val="white"/>
        </w:rPr>
        <w:t>‘</w:t>
      </w:r>
      <w:r>
        <w:rPr>
          <w:rFonts w:eastAsia="Cambria"/>
          <w:highlight w:val="white"/>
        </w:rPr>
        <w:t>the epistemological priority given to Western understandings of crime and control</w:t>
      </w:r>
      <w:r w:rsidR="00DF7603">
        <w:rPr>
          <w:rFonts w:eastAsia="Cambria"/>
          <w:highlight w:val="white"/>
        </w:rPr>
        <w:t xml:space="preserve">’ </w:t>
      </w:r>
      <w:r>
        <w:rPr>
          <w:rFonts w:eastAsia="Cambria"/>
          <w:highlight w:val="white"/>
        </w:rPr>
        <w:t xml:space="preserve">(ibid., 129). </w:t>
      </w:r>
      <w:proofErr w:type="spellStart"/>
      <w:r>
        <w:rPr>
          <w:rFonts w:eastAsia="Cambria"/>
          <w:i/>
          <w:highlight w:val="white"/>
        </w:rPr>
        <w:t>Ngā</w:t>
      </w:r>
      <w:proofErr w:type="spellEnd"/>
      <w:r>
        <w:rPr>
          <w:rFonts w:eastAsia="Cambria"/>
          <w:i/>
          <w:highlight w:val="white"/>
        </w:rPr>
        <w:t xml:space="preserve"> </w:t>
      </w:r>
      <w:proofErr w:type="spellStart"/>
      <w:r>
        <w:rPr>
          <w:rFonts w:eastAsia="Cambria"/>
          <w:i/>
          <w:highlight w:val="white"/>
        </w:rPr>
        <w:t>Pātū</w:t>
      </w:r>
      <w:proofErr w:type="spellEnd"/>
      <w:r>
        <w:rPr>
          <w:rFonts w:eastAsia="Cambria"/>
          <w:i/>
          <w:highlight w:val="white"/>
        </w:rPr>
        <w:t xml:space="preserve"> </w:t>
      </w:r>
      <w:proofErr w:type="spellStart"/>
      <w:r>
        <w:rPr>
          <w:rFonts w:eastAsia="Cambria"/>
          <w:i/>
          <w:highlight w:val="white"/>
        </w:rPr>
        <w:t>Kōrero</w:t>
      </w:r>
      <w:proofErr w:type="spellEnd"/>
      <w:r>
        <w:rPr>
          <w:rFonts w:eastAsia="Cambria"/>
          <w:i/>
          <w:highlight w:val="white"/>
        </w:rPr>
        <w:t xml:space="preserve"> </w:t>
      </w:r>
      <w:r>
        <w:rPr>
          <w:rFonts w:eastAsia="Cambria"/>
          <w:highlight w:val="white"/>
        </w:rPr>
        <w:t xml:space="preserve">offered participants and audiences an opportunity to hear the personal stories of incarcerated persons in a communal experience which highlighted the importance of the relational in </w:t>
      </w:r>
      <w:r w:rsidR="00345A66">
        <w:rPr>
          <w:rFonts w:eastAsia="Cambria"/>
          <w:highlight w:val="white"/>
        </w:rPr>
        <w:t xml:space="preserve">restoring balance and </w:t>
      </w:r>
      <w:r>
        <w:rPr>
          <w:rFonts w:eastAsia="Cambria"/>
          <w:highlight w:val="white"/>
        </w:rPr>
        <w:t xml:space="preserve">achieving healing and cultural justice. The use of masks offered both protection and freedom, so that the performers might expand their physical vocabulary </w:t>
      </w:r>
      <w:r>
        <w:rPr>
          <w:rFonts w:eastAsia="Cambria"/>
          <w:highlight w:val="white"/>
        </w:rPr>
        <w:lastRenderedPageBreak/>
        <w:t xml:space="preserve">and hopefully achieve a sense of re-embodiment in a </w:t>
      </w:r>
      <w:r w:rsidR="00C97E72">
        <w:rPr>
          <w:rFonts w:eastAsia="Cambria"/>
          <w:highlight w:val="white"/>
        </w:rPr>
        <w:t xml:space="preserve">system </w:t>
      </w:r>
      <w:r>
        <w:rPr>
          <w:rFonts w:eastAsia="Cambria"/>
          <w:highlight w:val="white"/>
        </w:rPr>
        <w:t xml:space="preserve">where this is typically </w:t>
      </w:r>
      <w:r w:rsidR="00C97E72">
        <w:rPr>
          <w:rFonts w:eastAsia="Cambria"/>
          <w:highlight w:val="white"/>
        </w:rPr>
        <w:t>controlled and regulated</w:t>
      </w:r>
      <w:r>
        <w:rPr>
          <w:rFonts w:eastAsia="Cambria"/>
          <w:highlight w:val="white"/>
        </w:rPr>
        <w:t>.</w:t>
      </w:r>
    </w:p>
    <w:p w14:paraId="675F3087" w14:textId="0A015C03" w:rsidR="00497807" w:rsidRDefault="00497807" w:rsidP="001A1069">
      <w:pPr>
        <w:pStyle w:val="Newparagraph"/>
        <w:spacing w:line="480" w:lineRule="auto"/>
        <w:rPr>
          <w:rFonts w:eastAsia="Cambria"/>
        </w:rPr>
      </w:pPr>
      <w:r>
        <w:rPr>
          <w:rFonts w:eastAsia="Cambria"/>
        </w:rPr>
        <w:t>The final scene</w:t>
      </w:r>
      <w:r w:rsidR="00C97E72">
        <w:rPr>
          <w:rFonts w:eastAsia="Cambria"/>
        </w:rPr>
        <w:t xml:space="preserve"> of the play,</w:t>
      </w:r>
      <w:r>
        <w:rPr>
          <w:rFonts w:eastAsia="Cambria"/>
        </w:rPr>
        <w:t xml:space="preserve"> </w:t>
      </w:r>
      <w:r w:rsidR="00DF7603">
        <w:rPr>
          <w:rFonts w:eastAsia="Cambria"/>
        </w:rPr>
        <w:t>‘</w:t>
      </w:r>
      <w:r>
        <w:rPr>
          <w:rFonts w:eastAsia="Cambria"/>
        </w:rPr>
        <w:t>Leaving Behind</w:t>
      </w:r>
      <w:r w:rsidR="00C97E72">
        <w:rPr>
          <w:rFonts w:eastAsia="Cambria"/>
        </w:rPr>
        <w:t>,</w:t>
      </w:r>
      <w:r w:rsidR="00DF7603">
        <w:rPr>
          <w:rFonts w:eastAsia="Cambria"/>
        </w:rPr>
        <w:t xml:space="preserve">’ </w:t>
      </w:r>
      <w:r>
        <w:rPr>
          <w:rFonts w:eastAsia="Cambria"/>
        </w:rPr>
        <w:t xml:space="preserve">is based on interview responses about what members of the Unit wished to leave behind once they left prison. During the scene, as each character expresses their final thoughts or desires about leaving, the actors remove their masks and place them on the ground in the performing area. At the end of a show, </w:t>
      </w:r>
      <w:r w:rsidR="00C97E72">
        <w:rPr>
          <w:rFonts w:eastAsia="Cambria"/>
        </w:rPr>
        <w:t xml:space="preserve">the </w:t>
      </w:r>
      <w:r>
        <w:rPr>
          <w:rFonts w:eastAsia="Cambria"/>
        </w:rPr>
        <w:t xml:space="preserve">actors must take off their masks and leave their </w:t>
      </w:r>
      <w:r w:rsidR="00DF7603">
        <w:rPr>
          <w:rFonts w:eastAsia="Cambria"/>
        </w:rPr>
        <w:t>‘</w:t>
      </w:r>
      <w:r>
        <w:rPr>
          <w:rFonts w:eastAsia="Cambria"/>
        </w:rPr>
        <w:t>characters</w:t>
      </w:r>
      <w:r w:rsidR="00DF7603">
        <w:rPr>
          <w:rFonts w:eastAsia="Cambria"/>
        </w:rPr>
        <w:t xml:space="preserve">’ </w:t>
      </w:r>
      <w:r>
        <w:rPr>
          <w:rFonts w:eastAsia="Cambria"/>
        </w:rPr>
        <w:t xml:space="preserve">behind. But as one of the actors commented in final rehearsals, the four walls that they build throughout the performance will remain with them once they leave prison. In this way the performance stages the physical construction of different sides of a house and then ends with a sense </w:t>
      </w:r>
      <w:r w:rsidR="00C97E72">
        <w:rPr>
          <w:rFonts w:eastAsia="Cambria"/>
        </w:rPr>
        <w:t xml:space="preserve">that </w:t>
      </w:r>
      <w:r>
        <w:rPr>
          <w:rFonts w:eastAsia="Cambria"/>
        </w:rPr>
        <w:t xml:space="preserve">these walls or supports </w:t>
      </w:r>
      <w:r w:rsidR="00C97E72">
        <w:rPr>
          <w:rFonts w:eastAsia="Cambria"/>
        </w:rPr>
        <w:t xml:space="preserve">are </w:t>
      </w:r>
      <w:r>
        <w:rPr>
          <w:rFonts w:eastAsia="Cambria"/>
        </w:rPr>
        <w:t xml:space="preserve">becoming internalised in the bodies of the actors onstage. They will become the </w:t>
      </w:r>
      <w:proofErr w:type="spellStart"/>
      <w:r w:rsidRPr="00AB36F6">
        <w:rPr>
          <w:rFonts w:eastAsia="Cambria"/>
          <w:i/>
          <w:iCs/>
        </w:rPr>
        <w:t>pou</w:t>
      </w:r>
      <w:proofErr w:type="spellEnd"/>
      <w:r>
        <w:rPr>
          <w:rFonts w:eastAsia="Cambria"/>
        </w:rPr>
        <w:t xml:space="preserve"> or upright supports that will keep </w:t>
      </w:r>
      <w:r w:rsidR="00C97E72">
        <w:rPr>
          <w:rFonts w:eastAsia="Cambria"/>
        </w:rPr>
        <w:t xml:space="preserve">the men </w:t>
      </w:r>
      <w:r>
        <w:rPr>
          <w:rFonts w:eastAsia="Cambria"/>
        </w:rPr>
        <w:t>strong when they eventually transition into life outside the prison walls.</w:t>
      </w:r>
    </w:p>
    <w:p w14:paraId="56337719" w14:textId="0EB5DB89" w:rsidR="00C341FC" w:rsidRDefault="00C341FC" w:rsidP="003654C6">
      <w:pPr>
        <w:pStyle w:val="Newparagraph"/>
        <w:spacing w:line="480" w:lineRule="auto"/>
        <w:rPr>
          <w:rFonts w:eastAsia="Cambria"/>
        </w:rPr>
      </w:pPr>
      <w:r>
        <w:rPr>
          <w:rFonts w:eastAsia="Cambria"/>
        </w:rPr>
        <w:t xml:space="preserve">While this article documents certain </w:t>
      </w:r>
      <w:r w:rsidRPr="00271A97">
        <w:rPr>
          <w:rFonts w:eastAsia="Cambria"/>
        </w:rPr>
        <w:t xml:space="preserve">insights for decolonising prison theatre practices </w:t>
      </w:r>
      <w:r>
        <w:rPr>
          <w:rFonts w:eastAsia="Cambria"/>
        </w:rPr>
        <w:t>arising from an engagement with</w:t>
      </w:r>
      <w:r w:rsidRPr="00271A97">
        <w:rPr>
          <w:rFonts w:eastAsia="Cambria"/>
        </w:rPr>
        <w:t xml:space="preserve"> cultural rights</w:t>
      </w:r>
      <w:r>
        <w:rPr>
          <w:rFonts w:eastAsia="Cambria"/>
        </w:rPr>
        <w:t>, it is important also to be critical of the ongoing challenges.</w:t>
      </w:r>
      <w:r w:rsidRPr="00271A97">
        <w:rPr>
          <w:rFonts w:eastAsia="Cambria"/>
        </w:rPr>
        <w:t xml:space="preserve"> </w:t>
      </w:r>
      <w:r>
        <w:rPr>
          <w:rFonts w:eastAsia="Cambria"/>
        </w:rPr>
        <w:t xml:space="preserve">In the lead up to the public performance of </w:t>
      </w:r>
      <w:proofErr w:type="spellStart"/>
      <w:r w:rsidRPr="00AA5746">
        <w:rPr>
          <w:rFonts w:eastAsia="Cambria"/>
          <w:i/>
          <w:iCs/>
        </w:rPr>
        <w:t>Ngā</w:t>
      </w:r>
      <w:proofErr w:type="spellEnd"/>
      <w:r w:rsidRPr="00AA5746">
        <w:rPr>
          <w:rFonts w:eastAsia="Cambria"/>
          <w:i/>
          <w:iCs/>
        </w:rPr>
        <w:t xml:space="preserve"> </w:t>
      </w:r>
      <w:proofErr w:type="spellStart"/>
      <w:r w:rsidRPr="00AA5746">
        <w:rPr>
          <w:rFonts w:eastAsia="Cambria"/>
          <w:i/>
          <w:iCs/>
        </w:rPr>
        <w:t>Pātū</w:t>
      </w:r>
      <w:proofErr w:type="spellEnd"/>
      <w:r w:rsidRPr="00AA5746">
        <w:rPr>
          <w:rFonts w:eastAsia="Cambria"/>
          <w:i/>
          <w:iCs/>
        </w:rPr>
        <w:t xml:space="preserve"> </w:t>
      </w:r>
      <w:proofErr w:type="spellStart"/>
      <w:r w:rsidRPr="00AA5746">
        <w:rPr>
          <w:rFonts w:eastAsia="Cambria"/>
          <w:i/>
          <w:iCs/>
        </w:rPr>
        <w:t>Kōrero</w:t>
      </w:r>
      <w:proofErr w:type="spellEnd"/>
      <w:r>
        <w:rPr>
          <w:rFonts w:eastAsia="Cambria"/>
        </w:rPr>
        <w:t xml:space="preserve">, the creative team discussed the possibility arranging a </w:t>
      </w:r>
      <w:proofErr w:type="spellStart"/>
      <w:r w:rsidRPr="00181642">
        <w:rPr>
          <w:i/>
          <w:iCs/>
          <w:lang w:val="en-US"/>
        </w:rPr>
        <w:t>pōwhiri</w:t>
      </w:r>
      <w:proofErr w:type="spellEnd"/>
      <w:r w:rsidRPr="00575BBC">
        <w:rPr>
          <w:lang w:val="en-US"/>
        </w:rPr>
        <w:t xml:space="preserve"> </w:t>
      </w:r>
      <w:r>
        <w:rPr>
          <w:lang w:val="en-US"/>
        </w:rPr>
        <w:t xml:space="preserve">(cultural welcoming ceremony) with </w:t>
      </w:r>
      <w:r>
        <w:rPr>
          <w:rFonts w:eastAsia="Cambria"/>
        </w:rPr>
        <w:t xml:space="preserve">the Principle Corrections Officer of </w:t>
      </w:r>
      <w:proofErr w:type="spellStart"/>
      <w:r>
        <w:rPr>
          <w:rFonts w:eastAsia="Cambria"/>
        </w:rPr>
        <w:t>Te</w:t>
      </w:r>
      <w:proofErr w:type="spellEnd"/>
      <w:r>
        <w:rPr>
          <w:rFonts w:eastAsia="Cambria"/>
        </w:rPr>
        <w:t xml:space="preserve"> </w:t>
      </w:r>
      <w:proofErr w:type="spellStart"/>
      <w:r>
        <w:rPr>
          <w:rFonts w:eastAsia="Cambria"/>
        </w:rPr>
        <w:t>Piriti</w:t>
      </w:r>
      <w:proofErr w:type="spellEnd"/>
      <w:r>
        <w:rPr>
          <w:rFonts w:eastAsia="Cambria"/>
        </w:rPr>
        <w:t xml:space="preserve"> </w:t>
      </w:r>
      <w:r>
        <w:rPr>
          <w:lang w:val="en-US"/>
        </w:rPr>
        <w:t xml:space="preserve">as a way of inducting visitors and guests into </w:t>
      </w:r>
      <w:r>
        <w:rPr>
          <w:rFonts w:eastAsia="Cambria"/>
        </w:rPr>
        <w:t xml:space="preserve">Unit 8 for the show. We were informed that the Unit did not have any resources or provisions for providing </w:t>
      </w:r>
      <w:proofErr w:type="spellStart"/>
      <w:r>
        <w:rPr>
          <w:rFonts w:eastAsia="Cambria"/>
        </w:rPr>
        <w:t>M</w:t>
      </w:r>
      <w:r w:rsidRPr="00F66CEE">
        <w:rPr>
          <w:rFonts w:eastAsia="Cambria"/>
        </w:rPr>
        <w:t>ā</w:t>
      </w:r>
      <w:r>
        <w:rPr>
          <w:rFonts w:eastAsia="Cambria"/>
        </w:rPr>
        <w:t>ori</w:t>
      </w:r>
      <w:proofErr w:type="spellEnd"/>
      <w:r>
        <w:rPr>
          <w:rFonts w:eastAsia="Cambria"/>
        </w:rPr>
        <w:t xml:space="preserve"> tikanga or cultural protocols. This insistence stands in stark contrast to the documented success of the Unit which has been linked to the incorporation of Māori content and tikanga into the unit’s sex offender treatment program (Nathan, Wilson and Hillman 2003). This discrepancy reveals some ambivalence about the place of cultural rights and the importance of cultural engagement within corrections in Aotearoa. </w:t>
      </w:r>
      <w:r w:rsidR="00CC39F1">
        <w:rPr>
          <w:rFonts w:eastAsia="Cambria"/>
        </w:rPr>
        <w:t>After the show, o</w:t>
      </w:r>
      <w:r>
        <w:rPr>
          <w:rFonts w:eastAsia="Cambria"/>
        </w:rPr>
        <w:t xml:space="preserve">ne audience </w:t>
      </w:r>
      <w:r>
        <w:rPr>
          <w:rFonts w:eastAsia="Cambria"/>
        </w:rPr>
        <w:lastRenderedPageBreak/>
        <w:t>member noted the absence of the cultural welcome and how this might have enhanced an engagement with the stories and experience</w:t>
      </w:r>
      <w:r w:rsidR="00BB51AA">
        <w:rPr>
          <w:rFonts w:eastAsia="Cambria"/>
        </w:rPr>
        <w:t>s</w:t>
      </w:r>
      <w:r>
        <w:rPr>
          <w:rFonts w:eastAsia="Cambria"/>
        </w:rPr>
        <w:t xml:space="preserve"> presented. In reflection</w:t>
      </w:r>
      <w:r w:rsidR="00BB51AA">
        <w:rPr>
          <w:rFonts w:eastAsia="Cambria"/>
        </w:rPr>
        <w:t>,</w:t>
      </w:r>
      <w:r>
        <w:rPr>
          <w:rFonts w:eastAsia="Cambria"/>
        </w:rPr>
        <w:t xml:space="preserve"> perhaps this contradiction is an example of institutional resistance to shedding a particular mask and insisting instead on a demeanour entrenched in conventional Western approaches to corrections that</w:t>
      </w:r>
      <w:r w:rsidRPr="00B41C02">
        <w:rPr>
          <w:rFonts w:eastAsia="Cambria"/>
        </w:rPr>
        <w:t xml:space="preserve"> </w:t>
      </w:r>
      <w:r>
        <w:rPr>
          <w:rFonts w:eastAsia="Cambria"/>
        </w:rPr>
        <w:t xml:space="preserve">is depersonalised and </w:t>
      </w:r>
      <w:r w:rsidRPr="00B41C02">
        <w:rPr>
          <w:rFonts w:eastAsia="Cambria"/>
        </w:rPr>
        <w:t xml:space="preserve">emphasises </w:t>
      </w:r>
      <w:r>
        <w:rPr>
          <w:rFonts w:eastAsia="Cambria"/>
        </w:rPr>
        <w:t xml:space="preserve">the </w:t>
      </w:r>
      <w:r w:rsidRPr="00B41C02">
        <w:rPr>
          <w:rFonts w:eastAsia="Cambria"/>
        </w:rPr>
        <w:t>authority</w:t>
      </w:r>
      <w:r>
        <w:rPr>
          <w:rFonts w:eastAsia="Cambria"/>
        </w:rPr>
        <w:t xml:space="preserve"> of the </w:t>
      </w:r>
      <w:r w:rsidR="003654C6">
        <w:rPr>
          <w:rFonts w:eastAsia="Cambria"/>
        </w:rPr>
        <w:t>institution</w:t>
      </w:r>
      <w:r>
        <w:rPr>
          <w:rFonts w:eastAsia="Cambria"/>
        </w:rPr>
        <w:t xml:space="preserve">. </w:t>
      </w:r>
      <w:r w:rsidR="00920FAE">
        <w:rPr>
          <w:rFonts w:eastAsia="Cambria"/>
        </w:rPr>
        <w:t>The challenge for artists facilitating art</w:t>
      </w:r>
      <w:r w:rsidR="003654C6">
        <w:rPr>
          <w:rFonts w:eastAsia="Cambria"/>
        </w:rPr>
        <w:t>s</w:t>
      </w:r>
      <w:r w:rsidR="00920FAE">
        <w:rPr>
          <w:rFonts w:eastAsia="Cambria"/>
        </w:rPr>
        <w:t xml:space="preserve"> projects in justice settings is to insist on the engagement with culture as a right</w:t>
      </w:r>
      <w:r w:rsidR="00BB51AA">
        <w:rPr>
          <w:rFonts w:eastAsia="Cambria"/>
        </w:rPr>
        <w:t>,</w:t>
      </w:r>
      <w:r w:rsidR="00920FAE">
        <w:rPr>
          <w:rFonts w:eastAsia="Cambria"/>
        </w:rPr>
        <w:t xml:space="preserve"> as part of a decolonial </w:t>
      </w:r>
      <w:r w:rsidR="0081361E">
        <w:rPr>
          <w:rFonts w:eastAsia="Cambria"/>
        </w:rPr>
        <w:t xml:space="preserve">strategy to compel </w:t>
      </w:r>
      <w:r>
        <w:rPr>
          <w:rFonts w:eastAsia="Cambria"/>
        </w:rPr>
        <w:t xml:space="preserve">institutions </w:t>
      </w:r>
      <w:r w:rsidR="0081361E">
        <w:rPr>
          <w:rFonts w:eastAsia="Cambria"/>
        </w:rPr>
        <w:t xml:space="preserve">to </w:t>
      </w:r>
      <w:r>
        <w:rPr>
          <w:rFonts w:eastAsia="Cambria"/>
        </w:rPr>
        <w:t>shed their masks</w:t>
      </w:r>
      <w:r w:rsidR="0081361E">
        <w:rPr>
          <w:rFonts w:eastAsia="Cambria"/>
        </w:rPr>
        <w:t xml:space="preserve"> and leave behind colonial mindsets and legacies that disenfranchise </w:t>
      </w:r>
      <w:r w:rsidR="003654C6">
        <w:rPr>
          <w:rFonts w:eastAsia="Cambria"/>
        </w:rPr>
        <w:t>I</w:t>
      </w:r>
      <w:r w:rsidR="0081361E">
        <w:rPr>
          <w:rFonts w:eastAsia="Cambria"/>
        </w:rPr>
        <w:t xml:space="preserve">ndigenous communities. </w:t>
      </w:r>
    </w:p>
    <w:p w14:paraId="40E2C1D9" w14:textId="77777777" w:rsidR="00C341FC" w:rsidRPr="003E282C" w:rsidRDefault="00C341FC" w:rsidP="001A1069">
      <w:pPr>
        <w:pStyle w:val="Newparagraph"/>
        <w:spacing w:line="480" w:lineRule="auto"/>
      </w:pPr>
    </w:p>
    <w:p w14:paraId="6BB56124" w14:textId="77777777" w:rsidR="008324F7" w:rsidRDefault="008324F7" w:rsidP="00116165">
      <w:pPr>
        <w:pStyle w:val="Heading1"/>
        <w:spacing w:line="480" w:lineRule="auto"/>
        <w:rPr>
          <w:rFonts w:eastAsia="Cambria"/>
        </w:rPr>
      </w:pPr>
      <w:r>
        <w:rPr>
          <w:rFonts w:eastAsia="Cambria"/>
        </w:rPr>
        <w:t>Acknowledgements</w:t>
      </w:r>
    </w:p>
    <w:p w14:paraId="04F2B419" w14:textId="55ADEBB6" w:rsidR="008324F7" w:rsidRPr="00931CAC" w:rsidRDefault="008324F7" w:rsidP="00931CAC">
      <w:pPr>
        <w:pStyle w:val="Acknowledgements"/>
      </w:pPr>
      <w:r>
        <w:t xml:space="preserve">The authors would like to thank members of </w:t>
      </w:r>
      <w:proofErr w:type="spellStart"/>
      <w:r>
        <w:t>Te</w:t>
      </w:r>
      <w:proofErr w:type="spellEnd"/>
      <w:r>
        <w:t xml:space="preserve"> </w:t>
      </w:r>
      <w:proofErr w:type="spellStart"/>
      <w:r>
        <w:t>Piriti</w:t>
      </w:r>
      <w:proofErr w:type="spellEnd"/>
      <w:r>
        <w:t xml:space="preserve"> </w:t>
      </w:r>
      <w:r w:rsidR="0046339E">
        <w:t>for their support</w:t>
      </w:r>
      <w:r>
        <w:t xml:space="preserve"> and the cast for their perseverance and dedication. Research for this paper has been informed by conversations and consultations with </w:t>
      </w:r>
      <w:proofErr w:type="spellStart"/>
      <w:r>
        <w:t>M</w:t>
      </w:r>
      <w:r>
        <w:rPr>
          <w:rFonts w:ascii="AdvOT46dcae81+01" w:hAnsi="AdvOT46dcae81+01"/>
        </w:rPr>
        <w:t>ā</w:t>
      </w:r>
      <w:r>
        <w:t>ori</w:t>
      </w:r>
      <w:proofErr w:type="spellEnd"/>
      <w:r>
        <w:t xml:space="preserve"> colleagues. The authors would like to acknowledge the generosity and expertise of</w:t>
      </w:r>
      <w:r w:rsidRPr="008324F7">
        <w:t xml:space="preserve"> </w:t>
      </w:r>
      <w:r w:rsidR="00581780" w:rsidRPr="008324F7">
        <w:t>Assoc</w:t>
      </w:r>
      <w:r w:rsidRPr="008324F7">
        <w:t xml:space="preserve">. Prof. </w:t>
      </w:r>
      <w:proofErr w:type="spellStart"/>
      <w:r w:rsidRPr="008324F7">
        <w:t>Krushil</w:t>
      </w:r>
      <w:proofErr w:type="spellEnd"/>
      <w:r w:rsidRPr="008324F7">
        <w:t xml:space="preserve"> </w:t>
      </w:r>
      <w:proofErr w:type="spellStart"/>
      <w:r w:rsidRPr="008324F7">
        <w:t>Watene</w:t>
      </w:r>
      <w:proofErr w:type="spellEnd"/>
      <w:r w:rsidRPr="008324F7">
        <w:t xml:space="preserve"> (</w:t>
      </w:r>
      <w:proofErr w:type="spellStart"/>
      <w:r w:rsidRPr="008324F7">
        <w:t>Ngāti</w:t>
      </w:r>
      <w:proofErr w:type="spellEnd"/>
      <w:r w:rsidRPr="008324F7">
        <w:t xml:space="preserve"> Manu, </w:t>
      </w:r>
      <w:proofErr w:type="spellStart"/>
      <w:r w:rsidRPr="008324F7">
        <w:t>Ngāti</w:t>
      </w:r>
      <w:proofErr w:type="spellEnd"/>
      <w:r w:rsidRPr="008324F7">
        <w:t xml:space="preserve"> </w:t>
      </w:r>
      <w:proofErr w:type="spellStart"/>
      <w:r w:rsidRPr="008324F7">
        <w:t>Whātua</w:t>
      </w:r>
      <w:proofErr w:type="spellEnd"/>
      <w:r w:rsidRPr="008324F7">
        <w:t xml:space="preserve">) and Prof. </w:t>
      </w:r>
      <w:proofErr w:type="spellStart"/>
      <w:r w:rsidRPr="008324F7">
        <w:t>Meihana</w:t>
      </w:r>
      <w:proofErr w:type="spellEnd"/>
      <w:r w:rsidRPr="008324F7">
        <w:t xml:space="preserve"> Durie (</w:t>
      </w:r>
      <w:proofErr w:type="spellStart"/>
      <w:r w:rsidRPr="008324F7">
        <w:t>Ngāti</w:t>
      </w:r>
      <w:proofErr w:type="spellEnd"/>
      <w:r w:rsidRPr="008324F7">
        <w:t xml:space="preserve"> </w:t>
      </w:r>
      <w:proofErr w:type="spellStart"/>
      <w:r w:rsidRPr="008324F7">
        <w:t>Kauwhata</w:t>
      </w:r>
      <w:proofErr w:type="spellEnd"/>
      <w:r w:rsidRPr="008324F7">
        <w:t xml:space="preserve">, </w:t>
      </w:r>
      <w:proofErr w:type="spellStart"/>
      <w:r w:rsidRPr="008324F7">
        <w:t>Rangitāne</w:t>
      </w:r>
      <w:proofErr w:type="spellEnd"/>
      <w:r w:rsidRPr="008324F7">
        <w:t xml:space="preserve">, </w:t>
      </w:r>
      <w:proofErr w:type="spellStart"/>
      <w:r w:rsidRPr="008324F7">
        <w:t>Ngāti</w:t>
      </w:r>
      <w:proofErr w:type="spellEnd"/>
      <w:r w:rsidRPr="008324F7">
        <w:t xml:space="preserve"> </w:t>
      </w:r>
      <w:proofErr w:type="spellStart"/>
      <w:r w:rsidRPr="008324F7">
        <w:t>Porou</w:t>
      </w:r>
      <w:proofErr w:type="spellEnd"/>
      <w:r w:rsidRPr="008324F7">
        <w:t xml:space="preserve">, </w:t>
      </w:r>
      <w:proofErr w:type="spellStart"/>
      <w:r w:rsidRPr="008324F7">
        <w:t>Rongo</w:t>
      </w:r>
      <w:proofErr w:type="spellEnd"/>
      <w:r w:rsidRPr="008324F7">
        <w:t xml:space="preserve"> </w:t>
      </w:r>
      <w:proofErr w:type="spellStart"/>
      <w:r w:rsidRPr="008324F7">
        <w:t>Whakaata</w:t>
      </w:r>
      <w:proofErr w:type="spellEnd"/>
      <w:r w:rsidRPr="008324F7">
        <w:t xml:space="preserve">, </w:t>
      </w:r>
      <w:proofErr w:type="spellStart"/>
      <w:r w:rsidRPr="008324F7">
        <w:t>Ngāi</w:t>
      </w:r>
      <w:proofErr w:type="spellEnd"/>
      <w:r w:rsidRPr="008324F7">
        <w:t xml:space="preserve"> </w:t>
      </w:r>
      <w:proofErr w:type="spellStart"/>
      <w:r w:rsidRPr="008324F7">
        <w:t>Tahu</w:t>
      </w:r>
      <w:proofErr w:type="spellEnd"/>
      <w:r w:rsidRPr="008324F7">
        <w:t>)</w:t>
      </w:r>
      <w:r>
        <w:t>, who have both guided our understanding and research for this paper.</w:t>
      </w:r>
      <w:r w:rsidR="00581780">
        <w:t xml:space="preserve"> Special thanks also to Assoc. Prof. </w:t>
      </w:r>
      <w:r w:rsidR="00581780" w:rsidRPr="00581780">
        <w:t>Margaret Forster</w:t>
      </w:r>
      <w:r>
        <w:t xml:space="preserve"> </w:t>
      </w:r>
      <w:r w:rsidR="00581780">
        <w:t>(</w:t>
      </w:r>
      <w:proofErr w:type="spellStart"/>
      <w:r w:rsidR="00581780" w:rsidRPr="00581780">
        <w:t>Rongomaiwāhine</w:t>
      </w:r>
      <w:proofErr w:type="spellEnd"/>
      <w:r w:rsidR="00581780" w:rsidRPr="00581780">
        <w:t xml:space="preserve">, </w:t>
      </w:r>
      <w:proofErr w:type="spellStart"/>
      <w:r w:rsidR="00581780" w:rsidRPr="00581780">
        <w:t>Ngāti</w:t>
      </w:r>
      <w:proofErr w:type="spellEnd"/>
      <w:r w:rsidR="00581780" w:rsidRPr="00581780">
        <w:t xml:space="preserve"> </w:t>
      </w:r>
      <w:proofErr w:type="spellStart"/>
      <w:r w:rsidR="00581780" w:rsidRPr="00581780">
        <w:t>Kahungunu</w:t>
      </w:r>
      <w:proofErr w:type="spellEnd"/>
      <w:r w:rsidR="00581780">
        <w:t xml:space="preserve">) for providing valuable feedback on an earlier draft. </w:t>
      </w:r>
      <w:proofErr w:type="spellStart"/>
      <w:r>
        <w:t>Ngā</w:t>
      </w:r>
      <w:proofErr w:type="spellEnd"/>
      <w:r>
        <w:t xml:space="preserve"> mihi </w:t>
      </w:r>
      <w:proofErr w:type="spellStart"/>
      <w:r>
        <w:t>nui</w:t>
      </w:r>
      <w:proofErr w:type="spellEnd"/>
      <w:r>
        <w:t xml:space="preserve"> </w:t>
      </w:r>
      <w:proofErr w:type="spellStart"/>
      <w:r>
        <w:t>ki</w:t>
      </w:r>
      <w:proofErr w:type="spellEnd"/>
      <w:r>
        <w:t xml:space="preserve"> a k</w:t>
      </w:r>
      <w:r w:rsidR="00581780">
        <w:t>otou</w:t>
      </w:r>
      <w:r>
        <w:t>.</w:t>
      </w:r>
      <w:r w:rsidR="00581780">
        <w:t xml:space="preserve"> </w:t>
      </w:r>
    </w:p>
    <w:p w14:paraId="6B4E242D" w14:textId="77777777" w:rsidR="00DD4197" w:rsidRDefault="00DD4197" w:rsidP="00116165">
      <w:pPr>
        <w:pStyle w:val="Heading1"/>
        <w:spacing w:line="480" w:lineRule="auto"/>
        <w:rPr>
          <w:rFonts w:eastAsia="Cambria"/>
        </w:rPr>
      </w:pPr>
      <w:r>
        <w:rPr>
          <w:rFonts w:eastAsia="Cambria"/>
        </w:rPr>
        <w:t>Funding</w:t>
      </w:r>
    </w:p>
    <w:p w14:paraId="2B2E4B75" w14:textId="31ECFA22" w:rsidR="00DD4197" w:rsidRDefault="00DA3C5F" w:rsidP="00116165">
      <w:pPr>
        <w:pStyle w:val="Heading1"/>
        <w:spacing w:line="480" w:lineRule="auto"/>
        <w:rPr>
          <w:rFonts w:cs="Times New Roman"/>
          <w:b w:val="0"/>
          <w:bCs w:val="0"/>
          <w:kern w:val="0"/>
          <w:sz w:val="22"/>
          <w:szCs w:val="24"/>
        </w:rPr>
      </w:pPr>
      <w:proofErr w:type="spellStart"/>
      <w:r w:rsidRPr="003654C6">
        <w:rPr>
          <w:rFonts w:cs="Times New Roman"/>
          <w:b w:val="0"/>
          <w:bCs w:val="0"/>
          <w:i/>
          <w:iCs/>
          <w:kern w:val="0"/>
          <w:sz w:val="22"/>
          <w:szCs w:val="24"/>
        </w:rPr>
        <w:t>Ngā</w:t>
      </w:r>
      <w:proofErr w:type="spellEnd"/>
      <w:r w:rsidRPr="003654C6">
        <w:rPr>
          <w:rFonts w:cs="Times New Roman"/>
          <w:b w:val="0"/>
          <w:bCs w:val="0"/>
          <w:i/>
          <w:iCs/>
          <w:kern w:val="0"/>
          <w:sz w:val="22"/>
          <w:szCs w:val="24"/>
        </w:rPr>
        <w:t xml:space="preserve"> </w:t>
      </w:r>
      <w:proofErr w:type="spellStart"/>
      <w:r w:rsidRPr="003654C6">
        <w:rPr>
          <w:rFonts w:cs="Times New Roman"/>
          <w:b w:val="0"/>
          <w:bCs w:val="0"/>
          <w:i/>
          <w:iCs/>
          <w:kern w:val="0"/>
          <w:sz w:val="22"/>
          <w:szCs w:val="24"/>
        </w:rPr>
        <w:t>Pātū</w:t>
      </w:r>
      <w:proofErr w:type="spellEnd"/>
      <w:r w:rsidRPr="003654C6">
        <w:rPr>
          <w:rFonts w:cs="Times New Roman"/>
          <w:b w:val="0"/>
          <w:bCs w:val="0"/>
          <w:i/>
          <w:iCs/>
          <w:kern w:val="0"/>
          <w:sz w:val="22"/>
          <w:szCs w:val="24"/>
        </w:rPr>
        <w:t xml:space="preserve"> </w:t>
      </w:r>
      <w:proofErr w:type="spellStart"/>
      <w:r w:rsidRPr="003654C6">
        <w:rPr>
          <w:rFonts w:cs="Times New Roman"/>
          <w:b w:val="0"/>
          <w:bCs w:val="0"/>
          <w:i/>
          <w:iCs/>
          <w:kern w:val="0"/>
          <w:sz w:val="22"/>
          <w:szCs w:val="24"/>
        </w:rPr>
        <w:t>Kōrero</w:t>
      </w:r>
      <w:proofErr w:type="spellEnd"/>
      <w:r>
        <w:rPr>
          <w:rFonts w:cs="Times New Roman"/>
          <w:b w:val="0"/>
          <w:bCs w:val="0"/>
          <w:i/>
          <w:iCs/>
          <w:kern w:val="0"/>
          <w:sz w:val="22"/>
          <w:szCs w:val="24"/>
        </w:rPr>
        <w:t xml:space="preserve"> </w:t>
      </w:r>
      <w:r w:rsidRPr="003654C6">
        <w:rPr>
          <w:rFonts w:cs="Times New Roman"/>
          <w:b w:val="0"/>
          <w:bCs w:val="0"/>
          <w:kern w:val="0"/>
          <w:sz w:val="22"/>
          <w:szCs w:val="24"/>
        </w:rPr>
        <w:t xml:space="preserve">was </w:t>
      </w:r>
      <w:r w:rsidR="00963423">
        <w:rPr>
          <w:rFonts w:cs="Times New Roman"/>
          <w:b w:val="0"/>
          <w:bCs w:val="0"/>
          <w:kern w:val="0"/>
          <w:sz w:val="22"/>
          <w:szCs w:val="24"/>
        </w:rPr>
        <w:t>supported</w:t>
      </w:r>
      <w:r w:rsidRPr="003654C6">
        <w:rPr>
          <w:rFonts w:cs="Times New Roman"/>
          <w:b w:val="0"/>
          <w:bCs w:val="0"/>
          <w:kern w:val="0"/>
          <w:sz w:val="22"/>
          <w:szCs w:val="24"/>
        </w:rPr>
        <w:t xml:space="preserve"> by Creative NZ’s Creative Communities Scheme (CCS)</w:t>
      </w:r>
      <w:r>
        <w:rPr>
          <w:rFonts w:cs="Times New Roman"/>
          <w:b w:val="0"/>
          <w:bCs w:val="0"/>
          <w:kern w:val="0"/>
          <w:sz w:val="22"/>
          <w:szCs w:val="24"/>
        </w:rPr>
        <w:t xml:space="preserve"> through the funding of the Prison Voices project (</w:t>
      </w:r>
      <w:r w:rsidRPr="00DA3C5F">
        <w:rPr>
          <w:rFonts w:cs="Times New Roman"/>
          <w:b w:val="0"/>
          <w:bCs w:val="0"/>
          <w:kern w:val="0"/>
          <w:sz w:val="22"/>
          <w:szCs w:val="24"/>
        </w:rPr>
        <w:t>Application CCS19_1_258</w:t>
      </w:r>
      <w:r>
        <w:rPr>
          <w:rFonts w:cs="Times New Roman"/>
          <w:b w:val="0"/>
          <w:bCs w:val="0"/>
          <w:kern w:val="0"/>
          <w:sz w:val="22"/>
          <w:szCs w:val="24"/>
        </w:rPr>
        <w:t>)</w:t>
      </w:r>
      <w:r w:rsidRPr="003654C6">
        <w:rPr>
          <w:rFonts w:cs="Times New Roman"/>
          <w:b w:val="0"/>
          <w:bCs w:val="0"/>
          <w:kern w:val="0"/>
          <w:sz w:val="22"/>
          <w:szCs w:val="24"/>
        </w:rPr>
        <w:t>.</w:t>
      </w:r>
      <w:r>
        <w:rPr>
          <w:rFonts w:cs="Times New Roman"/>
          <w:b w:val="0"/>
          <w:bCs w:val="0"/>
          <w:kern w:val="0"/>
          <w:sz w:val="22"/>
          <w:szCs w:val="24"/>
        </w:rPr>
        <w:t xml:space="preserve"> The project was also funded by the Massey University </w:t>
      </w:r>
      <w:r w:rsidRPr="00DA3C5F">
        <w:rPr>
          <w:rFonts w:cs="Times New Roman"/>
          <w:b w:val="0"/>
          <w:bCs w:val="0"/>
          <w:kern w:val="0"/>
          <w:sz w:val="22"/>
          <w:szCs w:val="24"/>
        </w:rPr>
        <w:t>Strategic Research Excellence Fund (SREF)</w:t>
      </w:r>
      <w:r>
        <w:rPr>
          <w:rFonts w:cs="Times New Roman"/>
          <w:b w:val="0"/>
          <w:bCs w:val="0"/>
          <w:kern w:val="0"/>
          <w:sz w:val="22"/>
          <w:szCs w:val="24"/>
        </w:rPr>
        <w:t>.</w:t>
      </w:r>
    </w:p>
    <w:p w14:paraId="7A9E6E5D" w14:textId="77777777" w:rsidR="00DA3C5F" w:rsidRPr="003654C6" w:rsidRDefault="00DA3C5F" w:rsidP="003654C6">
      <w:pPr>
        <w:pStyle w:val="Paragraph"/>
      </w:pPr>
    </w:p>
    <w:p w14:paraId="49D59F08" w14:textId="2FCECA29" w:rsidR="00D74515" w:rsidRDefault="00497807" w:rsidP="00116165">
      <w:pPr>
        <w:pStyle w:val="Heading1"/>
        <w:spacing w:line="480" w:lineRule="auto"/>
        <w:rPr>
          <w:rFonts w:eastAsia="Cambria"/>
        </w:rPr>
      </w:pPr>
      <w:r>
        <w:rPr>
          <w:rFonts w:eastAsia="Cambria"/>
        </w:rPr>
        <w:lastRenderedPageBreak/>
        <w:t>References</w:t>
      </w:r>
    </w:p>
    <w:p w14:paraId="6A38670D" w14:textId="261BA551" w:rsidR="00E739DB" w:rsidRPr="00345A66" w:rsidRDefault="00E739DB" w:rsidP="00345A66">
      <w:pPr>
        <w:spacing w:before="120" w:line="360" w:lineRule="auto"/>
        <w:ind w:left="720" w:hanging="720"/>
        <w:rPr>
          <w:color w:val="000000"/>
        </w:rPr>
      </w:pPr>
      <w:proofErr w:type="spellStart"/>
      <w:r w:rsidRPr="00345A66">
        <w:rPr>
          <w:color w:val="000000"/>
        </w:rPr>
        <w:t>Baim</w:t>
      </w:r>
      <w:proofErr w:type="spellEnd"/>
      <w:r w:rsidRPr="00345A66">
        <w:rPr>
          <w:color w:val="000000"/>
        </w:rPr>
        <w:t xml:space="preserve">, </w:t>
      </w:r>
      <w:r w:rsidR="00AB3E7C">
        <w:rPr>
          <w:color w:val="000000"/>
        </w:rPr>
        <w:t xml:space="preserve">Clark, </w:t>
      </w:r>
      <w:r w:rsidRPr="00345A66">
        <w:rPr>
          <w:color w:val="000000"/>
        </w:rPr>
        <w:t>Jayne Allam, Ted Eames , Sue Dunford</w:t>
      </w:r>
      <w:r w:rsidR="00DF7603">
        <w:rPr>
          <w:color w:val="000000"/>
        </w:rPr>
        <w:t>,</w:t>
      </w:r>
      <w:r w:rsidRPr="00345A66">
        <w:rPr>
          <w:color w:val="000000"/>
        </w:rPr>
        <w:t xml:space="preserve"> </w:t>
      </w:r>
      <w:r w:rsidR="00DF7603">
        <w:rPr>
          <w:color w:val="000000"/>
        </w:rPr>
        <w:t>and</w:t>
      </w:r>
      <w:r w:rsidRPr="00345A66">
        <w:rPr>
          <w:color w:val="000000"/>
        </w:rPr>
        <w:t xml:space="preserve"> Sue Hunt</w:t>
      </w:r>
      <w:r w:rsidR="00DF7603">
        <w:rPr>
          <w:color w:val="000000"/>
        </w:rPr>
        <w:t xml:space="preserve">. </w:t>
      </w:r>
      <w:r w:rsidRPr="00345A66">
        <w:rPr>
          <w:color w:val="000000"/>
        </w:rPr>
        <w:t>1999</w:t>
      </w:r>
      <w:r w:rsidR="00DF7603">
        <w:rPr>
          <w:color w:val="000000"/>
        </w:rPr>
        <w:t>.</w:t>
      </w:r>
      <w:r w:rsidRPr="00345A66">
        <w:rPr>
          <w:color w:val="000000"/>
        </w:rPr>
        <w:t xml:space="preserve"> </w:t>
      </w:r>
      <w:r w:rsidR="00DF7603">
        <w:rPr>
          <w:color w:val="000000"/>
        </w:rPr>
        <w:t>“</w:t>
      </w:r>
      <w:r w:rsidRPr="00345A66">
        <w:rPr>
          <w:color w:val="000000"/>
        </w:rPr>
        <w:t>The use of psychodrama to enhance victim empathy in sex offenders: An evaluation</w:t>
      </w:r>
      <w:r w:rsidR="00DF7603">
        <w:rPr>
          <w:color w:val="000000"/>
        </w:rPr>
        <w:t>”</w:t>
      </w:r>
      <w:r w:rsidRPr="00345A66">
        <w:rPr>
          <w:color w:val="000000"/>
        </w:rPr>
        <w:t xml:space="preserve">, </w:t>
      </w:r>
      <w:r w:rsidRPr="00345A66">
        <w:rPr>
          <w:i/>
          <w:iCs/>
          <w:color w:val="000000"/>
        </w:rPr>
        <w:t>Journal of Sexual Aggression</w:t>
      </w:r>
      <w:r w:rsidRPr="00345A66">
        <w:rPr>
          <w:color w:val="000000"/>
        </w:rPr>
        <w:t>, 4</w:t>
      </w:r>
      <w:r w:rsidR="00DF7603">
        <w:rPr>
          <w:color w:val="000000"/>
        </w:rPr>
        <w:t xml:space="preserve"> (</w:t>
      </w:r>
      <w:r w:rsidRPr="00345A66">
        <w:rPr>
          <w:color w:val="000000"/>
        </w:rPr>
        <w:t>1</w:t>
      </w:r>
      <w:r w:rsidR="00DF7603">
        <w:rPr>
          <w:color w:val="000000"/>
        </w:rPr>
        <w:t xml:space="preserve">): </w:t>
      </w:r>
      <w:r w:rsidRPr="00345A66">
        <w:rPr>
          <w:color w:val="000000"/>
        </w:rPr>
        <w:t>4-14</w:t>
      </w:r>
      <w:r w:rsidR="00DF7603">
        <w:rPr>
          <w:color w:val="000000"/>
        </w:rPr>
        <w:t>.</w:t>
      </w:r>
      <w:r w:rsidRPr="00345A66">
        <w:rPr>
          <w:color w:val="000000"/>
        </w:rPr>
        <w:t xml:space="preserve"> </w:t>
      </w:r>
      <w:r w:rsidR="00DF7603">
        <w:rPr>
          <w:color w:val="000000"/>
        </w:rPr>
        <w:t>doi</w:t>
      </w:r>
      <w:r w:rsidRPr="00345A66">
        <w:rPr>
          <w:color w:val="000000"/>
        </w:rPr>
        <w:t>: 10.1080/13552609908413278</w:t>
      </w:r>
    </w:p>
    <w:p w14:paraId="2342D6A4" w14:textId="31488005" w:rsidR="00497807" w:rsidRPr="00691F99" w:rsidRDefault="00497807" w:rsidP="00691F99">
      <w:pPr>
        <w:pStyle w:val="References"/>
        <w:rPr>
          <w:rFonts w:eastAsia="Cambria"/>
          <w:highlight w:val="white"/>
        </w:rPr>
      </w:pPr>
      <w:proofErr w:type="spellStart"/>
      <w:r w:rsidRPr="00691F99">
        <w:rPr>
          <w:rFonts w:eastAsia="Cambria"/>
          <w:highlight w:val="white"/>
        </w:rPr>
        <w:t>Baim</w:t>
      </w:r>
      <w:proofErr w:type="spellEnd"/>
      <w:r w:rsidRPr="00691F99">
        <w:rPr>
          <w:rFonts w:eastAsia="Cambria"/>
          <w:highlight w:val="white"/>
        </w:rPr>
        <w:t>, C</w:t>
      </w:r>
      <w:r w:rsidR="00C40C43" w:rsidRPr="00691F99">
        <w:rPr>
          <w:rFonts w:eastAsia="Cambria"/>
          <w:highlight w:val="white"/>
        </w:rPr>
        <w:t>lark</w:t>
      </w:r>
      <w:r w:rsidRPr="00691F99">
        <w:rPr>
          <w:rFonts w:eastAsia="Cambria"/>
          <w:highlight w:val="white"/>
        </w:rPr>
        <w:t xml:space="preserve">, </w:t>
      </w:r>
      <w:r w:rsidR="00C40C43" w:rsidRPr="00691F99">
        <w:rPr>
          <w:rFonts w:eastAsia="Cambria"/>
          <w:highlight w:val="white"/>
        </w:rPr>
        <w:t xml:space="preserve">Sally </w:t>
      </w:r>
      <w:r w:rsidRPr="00691F99">
        <w:rPr>
          <w:rFonts w:eastAsia="Cambria"/>
          <w:highlight w:val="white"/>
        </w:rPr>
        <w:t xml:space="preserve">Brookes, and </w:t>
      </w:r>
      <w:r w:rsidR="00C40C43" w:rsidRPr="00691F99">
        <w:rPr>
          <w:rFonts w:eastAsia="Cambria"/>
          <w:highlight w:val="white"/>
        </w:rPr>
        <w:t xml:space="preserve">Alun </w:t>
      </w:r>
      <w:r w:rsidRPr="00691F99">
        <w:rPr>
          <w:rFonts w:eastAsia="Cambria"/>
          <w:highlight w:val="white"/>
        </w:rPr>
        <w:t>Mountford</w:t>
      </w:r>
      <w:r w:rsidR="00C40C43" w:rsidRPr="00691F99">
        <w:rPr>
          <w:rFonts w:eastAsia="Cambria"/>
          <w:highlight w:val="white"/>
        </w:rPr>
        <w:t>.</w:t>
      </w:r>
      <w:r w:rsidR="00DF7603">
        <w:rPr>
          <w:rFonts w:eastAsia="Cambria"/>
          <w:highlight w:val="white"/>
        </w:rPr>
        <w:t xml:space="preserve"> 2002.</w:t>
      </w:r>
      <w:r w:rsidRPr="00691F99">
        <w:rPr>
          <w:rFonts w:eastAsia="Cambria"/>
          <w:highlight w:val="white"/>
        </w:rPr>
        <w:t xml:space="preserve"> </w:t>
      </w:r>
      <w:r w:rsidRPr="00E51BE2">
        <w:rPr>
          <w:rFonts w:eastAsia="Cambria"/>
          <w:i/>
          <w:iCs/>
          <w:highlight w:val="white"/>
        </w:rPr>
        <w:t xml:space="preserve">The Geese </w:t>
      </w:r>
      <w:r w:rsidR="00C40C43" w:rsidRPr="00E51BE2">
        <w:rPr>
          <w:rFonts w:eastAsia="Cambria"/>
          <w:i/>
          <w:iCs/>
          <w:highlight w:val="white"/>
        </w:rPr>
        <w:t>T</w:t>
      </w:r>
      <w:r w:rsidRPr="00E51BE2">
        <w:rPr>
          <w:rFonts w:eastAsia="Cambria"/>
          <w:i/>
          <w:iCs/>
          <w:highlight w:val="white"/>
        </w:rPr>
        <w:t xml:space="preserve">heatre </w:t>
      </w:r>
      <w:r w:rsidR="00C40C43" w:rsidRPr="00E51BE2">
        <w:rPr>
          <w:rFonts w:eastAsia="Cambria"/>
          <w:i/>
          <w:iCs/>
          <w:highlight w:val="white"/>
        </w:rPr>
        <w:t>H</w:t>
      </w:r>
      <w:r w:rsidRPr="00E51BE2">
        <w:rPr>
          <w:rFonts w:eastAsia="Cambria"/>
          <w:i/>
          <w:iCs/>
          <w:highlight w:val="white"/>
        </w:rPr>
        <w:t xml:space="preserve">andbook: Drama with </w:t>
      </w:r>
      <w:r w:rsidR="00C40C43" w:rsidRPr="00E51BE2">
        <w:rPr>
          <w:rFonts w:eastAsia="Cambria"/>
          <w:i/>
          <w:iCs/>
          <w:highlight w:val="white"/>
        </w:rPr>
        <w:t>O</w:t>
      </w:r>
      <w:r w:rsidRPr="00E51BE2">
        <w:rPr>
          <w:rFonts w:eastAsia="Cambria"/>
          <w:i/>
          <w:iCs/>
          <w:highlight w:val="white"/>
        </w:rPr>
        <w:t xml:space="preserve">ffenders and </w:t>
      </w:r>
      <w:r w:rsidR="00C40C43" w:rsidRPr="00E51BE2">
        <w:rPr>
          <w:rFonts w:eastAsia="Cambria"/>
          <w:i/>
          <w:iCs/>
          <w:highlight w:val="white"/>
        </w:rPr>
        <w:t>P</w:t>
      </w:r>
      <w:r w:rsidRPr="00E51BE2">
        <w:rPr>
          <w:rFonts w:eastAsia="Cambria"/>
          <w:i/>
          <w:iCs/>
          <w:highlight w:val="white"/>
        </w:rPr>
        <w:t xml:space="preserve">eople at </w:t>
      </w:r>
      <w:r w:rsidR="00C40C43" w:rsidRPr="00E51BE2">
        <w:rPr>
          <w:rFonts w:eastAsia="Cambria"/>
          <w:i/>
          <w:iCs/>
          <w:highlight w:val="white"/>
        </w:rPr>
        <w:t>R</w:t>
      </w:r>
      <w:r w:rsidRPr="00E51BE2">
        <w:rPr>
          <w:rFonts w:eastAsia="Cambria"/>
          <w:i/>
          <w:iCs/>
          <w:highlight w:val="white"/>
        </w:rPr>
        <w:t>isk</w:t>
      </w:r>
      <w:r w:rsidRPr="00691F99">
        <w:rPr>
          <w:rFonts w:eastAsia="Cambria"/>
          <w:highlight w:val="white"/>
        </w:rPr>
        <w:t xml:space="preserve">. </w:t>
      </w:r>
      <w:r w:rsidR="00C40C43" w:rsidRPr="00691F99">
        <w:rPr>
          <w:rFonts w:eastAsia="Cambria"/>
          <w:highlight w:val="white"/>
        </w:rPr>
        <w:t xml:space="preserve">Winchester: </w:t>
      </w:r>
      <w:r w:rsidRPr="00691F99">
        <w:rPr>
          <w:rFonts w:eastAsia="Cambria"/>
          <w:highlight w:val="white"/>
        </w:rPr>
        <w:t>Waterside Press.</w:t>
      </w:r>
    </w:p>
    <w:p w14:paraId="3E71130E" w14:textId="7A3613C2" w:rsidR="00DF7603" w:rsidRPr="00DF7603" w:rsidRDefault="00DF7603" w:rsidP="00345A66">
      <w:pPr>
        <w:spacing w:before="120" w:line="360" w:lineRule="auto"/>
        <w:ind w:left="720" w:hanging="720"/>
      </w:pPr>
      <w:r w:rsidRPr="00345A66">
        <w:rPr>
          <w:color w:val="222222"/>
          <w:shd w:val="clear" w:color="auto" w:fill="FFFFFF"/>
        </w:rPr>
        <w:t>Bergman, John, and Saul Hewish.</w:t>
      </w:r>
      <w:r w:rsidR="00345A66">
        <w:rPr>
          <w:color w:val="222222"/>
          <w:shd w:val="clear" w:color="auto" w:fill="FFFFFF"/>
        </w:rPr>
        <w:t xml:space="preserve"> </w:t>
      </w:r>
      <w:r>
        <w:rPr>
          <w:color w:val="222222"/>
          <w:shd w:val="clear" w:color="auto" w:fill="FFFFFF"/>
        </w:rPr>
        <w:t xml:space="preserve">2003. </w:t>
      </w:r>
      <w:r w:rsidRPr="006577F2">
        <w:rPr>
          <w:i/>
          <w:iCs/>
          <w:color w:val="000000" w:themeColor="text1"/>
          <w:shd w:val="clear" w:color="auto" w:fill="FFFFFF"/>
        </w:rPr>
        <w:t>Challenging experience: An experiential approach to the treatment of serious offenders</w:t>
      </w:r>
      <w:r w:rsidRPr="006577F2">
        <w:rPr>
          <w:color w:val="000000" w:themeColor="text1"/>
          <w:shd w:val="clear" w:color="auto" w:fill="FFFFFF"/>
        </w:rPr>
        <w:t xml:space="preserve">. </w:t>
      </w:r>
      <w:r>
        <w:rPr>
          <w:color w:val="222222"/>
          <w:shd w:val="clear" w:color="auto" w:fill="FFFFFF"/>
        </w:rPr>
        <w:t xml:space="preserve">Oklahoma City: </w:t>
      </w:r>
      <w:r w:rsidRPr="00345A66">
        <w:rPr>
          <w:color w:val="222222"/>
          <w:shd w:val="clear" w:color="auto" w:fill="FFFFFF"/>
        </w:rPr>
        <w:t>Wood</w:t>
      </w:r>
      <w:r>
        <w:rPr>
          <w:color w:val="222222"/>
          <w:shd w:val="clear" w:color="auto" w:fill="FFFFFF"/>
        </w:rPr>
        <w:t xml:space="preserve"> </w:t>
      </w:r>
      <w:r w:rsidRPr="00345A66">
        <w:rPr>
          <w:color w:val="222222"/>
          <w:shd w:val="clear" w:color="auto" w:fill="FFFFFF"/>
        </w:rPr>
        <w:t>'N</w:t>
      </w:r>
      <w:r>
        <w:rPr>
          <w:color w:val="222222"/>
          <w:shd w:val="clear" w:color="auto" w:fill="FFFFFF"/>
        </w:rPr>
        <w:t xml:space="preserve"> </w:t>
      </w:r>
      <w:r w:rsidRPr="00345A66">
        <w:rPr>
          <w:color w:val="222222"/>
          <w:shd w:val="clear" w:color="auto" w:fill="FFFFFF"/>
        </w:rPr>
        <w:t>Barnes Publishing</w:t>
      </w:r>
      <w:r>
        <w:rPr>
          <w:color w:val="222222"/>
          <w:shd w:val="clear" w:color="auto" w:fill="FFFFFF"/>
        </w:rPr>
        <w:t>.</w:t>
      </w:r>
    </w:p>
    <w:p w14:paraId="6944C116" w14:textId="411126C3" w:rsidR="00CE689E" w:rsidRPr="00CE689E" w:rsidRDefault="00CE689E" w:rsidP="00CE689E">
      <w:pPr>
        <w:pStyle w:val="References"/>
        <w:rPr>
          <w:rFonts w:eastAsia="Cambria"/>
        </w:rPr>
      </w:pPr>
      <w:r w:rsidRPr="00CE689E">
        <w:rPr>
          <w:rFonts w:eastAsia="Cambria"/>
        </w:rPr>
        <w:t>Brook, Peter, 1968. </w:t>
      </w:r>
      <w:r w:rsidRPr="00CE689E">
        <w:rPr>
          <w:rFonts w:eastAsia="Cambria"/>
          <w:i/>
          <w:iCs/>
        </w:rPr>
        <w:t>The Empty Space</w:t>
      </w:r>
      <w:r w:rsidRPr="00CE689E">
        <w:rPr>
          <w:rFonts w:eastAsia="Cambria"/>
        </w:rPr>
        <w:t>. New York: Touchstone Book</w:t>
      </w:r>
      <w:r w:rsidR="00E51BE2">
        <w:rPr>
          <w:rFonts w:eastAsia="Cambria"/>
        </w:rPr>
        <w:t>s</w:t>
      </w:r>
      <w:r w:rsidRPr="00CE689E">
        <w:rPr>
          <w:rFonts w:eastAsia="Cambria"/>
        </w:rPr>
        <w:t>.</w:t>
      </w:r>
    </w:p>
    <w:p w14:paraId="56311829" w14:textId="06C63F53" w:rsidR="003B42D3" w:rsidRPr="00691F99" w:rsidRDefault="00497807" w:rsidP="00691F99">
      <w:pPr>
        <w:pStyle w:val="References"/>
      </w:pPr>
      <w:r w:rsidRPr="00691F99">
        <w:rPr>
          <w:rFonts w:eastAsia="Cambria"/>
        </w:rPr>
        <w:t>Bottoms, Stephen</w:t>
      </w:r>
      <w:r w:rsidR="00C97A18" w:rsidRPr="00691F99">
        <w:rPr>
          <w:rFonts w:eastAsia="Cambria"/>
        </w:rPr>
        <w:t>.</w:t>
      </w:r>
      <w:r w:rsidRPr="00691F99">
        <w:rPr>
          <w:rFonts w:eastAsia="Cambria"/>
        </w:rPr>
        <w:t xml:space="preserve"> 2006. </w:t>
      </w:r>
      <w:r w:rsidR="00C40C43" w:rsidRPr="00691F99">
        <w:rPr>
          <w:rFonts w:eastAsia="Cambria"/>
        </w:rPr>
        <w:t>“</w:t>
      </w:r>
      <w:r w:rsidRPr="00691F99">
        <w:rPr>
          <w:rFonts w:eastAsia="Cambria"/>
        </w:rPr>
        <w:t>Putting the Document into Documentary: An Unwelcome Corrective?</w:t>
      </w:r>
      <w:r w:rsidR="00C40C43" w:rsidRPr="00691F99">
        <w:rPr>
          <w:rFonts w:eastAsia="Cambria"/>
        </w:rPr>
        <w:t>”</w:t>
      </w:r>
      <w:r w:rsidRPr="00691F99">
        <w:rPr>
          <w:rFonts w:eastAsia="Cambria"/>
        </w:rPr>
        <w:t xml:space="preserve"> </w:t>
      </w:r>
      <w:r w:rsidRPr="009948BC">
        <w:rPr>
          <w:rFonts w:eastAsia="Cambria"/>
          <w:i/>
          <w:iCs/>
        </w:rPr>
        <w:t>The Drama Review</w:t>
      </w:r>
      <w:r w:rsidR="00C40C43" w:rsidRPr="00691F99">
        <w:rPr>
          <w:rFonts w:eastAsia="Cambria"/>
        </w:rPr>
        <w:t xml:space="preserve"> </w:t>
      </w:r>
      <w:r w:rsidRPr="00691F99">
        <w:rPr>
          <w:rFonts w:eastAsia="Cambria"/>
        </w:rPr>
        <w:t>50</w:t>
      </w:r>
      <w:r w:rsidR="00C40C43" w:rsidRPr="00691F99">
        <w:rPr>
          <w:rFonts w:eastAsia="Cambria"/>
        </w:rPr>
        <w:t xml:space="preserve"> (</w:t>
      </w:r>
      <w:r w:rsidRPr="00691F99">
        <w:rPr>
          <w:rFonts w:eastAsia="Cambria"/>
        </w:rPr>
        <w:t>3</w:t>
      </w:r>
      <w:r w:rsidR="00C40C43" w:rsidRPr="00691F99">
        <w:rPr>
          <w:rFonts w:eastAsia="Cambria"/>
        </w:rPr>
        <w:t>)</w:t>
      </w:r>
      <w:r w:rsidR="009948BC">
        <w:rPr>
          <w:rFonts w:eastAsia="Cambria"/>
        </w:rPr>
        <w:t>:</w:t>
      </w:r>
      <w:r w:rsidRPr="00691F99">
        <w:rPr>
          <w:rFonts w:eastAsia="Cambria"/>
        </w:rPr>
        <w:t xml:space="preserve"> 56-68.</w:t>
      </w:r>
      <w:r w:rsidR="003B42D3" w:rsidRPr="00691F99">
        <w:rPr>
          <w:rFonts w:eastAsia="Cambria"/>
        </w:rPr>
        <w:t xml:space="preserve"> </w:t>
      </w:r>
      <w:proofErr w:type="spellStart"/>
      <w:r w:rsidR="003B42D3" w:rsidRPr="00691F99">
        <w:rPr>
          <w:rFonts w:eastAsia="Cambria"/>
        </w:rPr>
        <w:t>doi</w:t>
      </w:r>
      <w:proofErr w:type="spellEnd"/>
      <w:r w:rsidR="003B42D3" w:rsidRPr="00691F99">
        <w:rPr>
          <w:rFonts w:eastAsia="Cambria"/>
        </w:rPr>
        <w:t xml:space="preserve">: </w:t>
      </w:r>
      <w:hyperlink r:id="rId10" w:history="1">
        <w:r w:rsidR="003B42D3" w:rsidRPr="00691F99">
          <w:rPr>
            <w:rStyle w:val="Hyperlink"/>
            <w:color w:val="auto"/>
            <w:u w:val="none"/>
          </w:rPr>
          <w:t>10.1162/dram.2006.50.3.56</w:t>
        </w:r>
      </w:hyperlink>
    </w:p>
    <w:p w14:paraId="3478BAC8" w14:textId="77777777" w:rsidR="00497807" w:rsidRPr="00691F99" w:rsidRDefault="00C40C43" w:rsidP="00691F99">
      <w:pPr>
        <w:pStyle w:val="References"/>
        <w:rPr>
          <w:rFonts w:eastAsia="Cambria"/>
        </w:rPr>
      </w:pPr>
      <w:r w:rsidRPr="00691F99">
        <w:rPr>
          <w:rFonts w:eastAsia="Cambria"/>
        </w:rPr>
        <w:t xml:space="preserve"> </w:t>
      </w:r>
      <w:proofErr w:type="spellStart"/>
      <w:r w:rsidR="00497807" w:rsidRPr="00691F99">
        <w:rPr>
          <w:rFonts w:eastAsia="Cambria"/>
        </w:rPr>
        <w:t>Cassaidy</w:t>
      </w:r>
      <w:proofErr w:type="spellEnd"/>
      <w:r w:rsidR="00497807" w:rsidRPr="00691F99">
        <w:rPr>
          <w:rFonts w:eastAsia="Cambria"/>
        </w:rPr>
        <w:t>, M</w:t>
      </w:r>
      <w:r w:rsidR="003B42D3" w:rsidRPr="00691F99">
        <w:rPr>
          <w:rFonts w:eastAsia="Cambria"/>
        </w:rPr>
        <w:t>aree</w:t>
      </w:r>
      <w:r w:rsidR="00497807" w:rsidRPr="00691F99">
        <w:rPr>
          <w:rFonts w:eastAsia="Cambria"/>
        </w:rPr>
        <w:t xml:space="preserve">, </w:t>
      </w:r>
      <w:r w:rsidR="003B42D3" w:rsidRPr="00691F99">
        <w:rPr>
          <w:rFonts w:eastAsia="Cambria"/>
        </w:rPr>
        <w:t>and Linda</w:t>
      </w:r>
      <w:r w:rsidR="00497807" w:rsidRPr="00691F99">
        <w:rPr>
          <w:rFonts w:eastAsia="Cambria"/>
        </w:rPr>
        <w:t xml:space="preserve"> Lim. 2016. </w:t>
      </w:r>
      <w:r w:rsidR="00C97A18" w:rsidRPr="00691F99">
        <w:rPr>
          <w:rFonts w:eastAsia="Cambria"/>
        </w:rPr>
        <w:t>“</w:t>
      </w:r>
      <w:r w:rsidR="00497807" w:rsidRPr="00691F99">
        <w:rPr>
          <w:rFonts w:eastAsia="Cambria"/>
        </w:rPr>
        <w:t xml:space="preserve">The </w:t>
      </w:r>
      <w:r w:rsidR="003B42D3" w:rsidRPr="00691F99">
        <w:rPr>
          <w:rFonts w:eastAsia="Cambria"/>
        </w:rPr>
        <w:t>R</w:t>
      </w:r>
      <w:r w:rsidR="00497807" w:rsidRPr="00691F99">
        <w:rPr>
          <w:rFonts w:eastAsia="Cambria"/>
        </w:rPr>
        <w:t xml:space="preserve">ights of </w:t>
      </w:r>
      <w:r w:rsidR="00C97A18" w:rsidRPr="00691F99">
        <w:rPr>
          <w:rFonts w:eastAsia="Cambria"/>
        </w:rPr>
        <w:t>T</w:t>
      </w:r>
      <w:r w:rsidR="00497807" w:rsidRPr="00691F99">
        <w:rPr>
          <w:rFonts w:eastAsia="Cambria"/>
        </w:rPr>
        <w:t xml:space="preserve">ransgender </w:t>
      </w:r>
      <w:r w:rsidR="00C97A18" w:rsidRPr="00691F99">
        <w:rPr>
          <w:rFonts w:eastAsia="Cambria"/>
        </w:rPr>
        <w:t>P</w:t>
      </w:r>
      <w:r w:rsidR="00497807" w:rsidRPr="00691F99">
        <w:rPr>
          <w:rFonts w:eastAsia="Cambria"/>
        </w:rPr>
        <w:t xml:space="preserve">eople in </w:t>
      </w:r>
      <w:r w:rsidR="00C97A18" w:rsidRPr="00691F99">
        <w:rPr>
          <w:rFonts w:eastAsia="Cambria"/>
        </w:rPr>
        <w:t>P</w:t>
      </w:r>
      <w:r w:rsidR="00497807" w:rsidRPr="00691F99">
        <w:rPr>
          <w:rFonts w:eastAsia="Cambria"/>
        </w:rPr>
        <w:t>risons.</w:t>
      </w:r>
      <w:r w:rsidR="00C97A18" w:rsidRPr="00691F99">
        <w:rPr>
          <w:rFonts w:eastAsia="Cambria"/>
        </w:rPr>
        <w:t>” Paper prepared for the</w:t>
      </w:r>
      <w:r w:rsidR="00497807" w:rsidRPr="00691F99">
        <w:rPr>
          <w:rFonts w:eastAsia="Cambria"/>
        </w:rPr>
        <w:t xml:space="preserve"> Equal Justice Project Symposium</w:t>
      </w:r>
      <w:r w:rsidR="00C97A18" w:rsidRPr="00691F99">
        <w:rPr>
          <w:rFonts w:eastAsia="Cambria"/>
        </w:rPr>
        <w:t xml:space="preserve">, </w:t>
      </w:r>
      <w:r w:rsidR="00497807" w:rsidRPr="00691F99">
        <w:rPr>
          <w:rFonts w:eastAsia="Cambria"/>
        </w:rPr>
        <w:t>Auckland</w:t>
      </w:r>
      <w:r w:rsidR="00C97A18" w:rsidRPr="00691F99">
        <w:rPr>
          <w:rFonts w:eastAsia="Cambria"/>
        </w:rPr>
        <w:t>, 11 May 2016</w:t>
      </w:r>
      <w:r w:rsidR="00497807" w:rsidRPr="00691F99">
        <w:rPr>
          <w:rFonts w:eastAsia="Cambria"/>
        </w:rPr>
        <w:t xml:space="preserve">. </w:t>
      </w:r>
      <w:hyperlink r:id="rId11">
        <w:r w:rsidR="00497807" w:rsidRPr="00691F99">
          <w:rPr>
            <w:rFonts w:eastAsia="Cambria"/>
          </w:rPr>
          <w:t>https://cdn.auckland.ac.nz/assets/auckland/on-campus/student-support/personal-support/lgbti-students/transgender-people-in-prisons-research-paper-ejp.pdf</w:t>
        </w:r>
      </w:hyperlink>
    </w:p>
    <w:p w14:paraId="16A254FD" w14:textId="77777777" w:rsidR="00497807" w:rsidRPr="00691F99" w:rsidRDefault="00497807" w:rsidP="00691F99">
      <w:pPr>
        <w:pStyle w:val="References"/>
        <w:rPr>
          <w:rFonts w:eastAsia="Cambria"/>
        </w:rPr>
      </w:pPr>
      <w:proofErr w:type="spellStart"/>
      <w:r w:rsidRPr="00691F99">
        <w:rPr>
          <w:rFonts w:eastAsia="Cambria"/>
        </w:rPr>
        <w:t>Cunneen</w:t>
      </w:r>
      <w:proofErr w:type="spellEnd"/>
      <w:r w:rsidRPr="00691F99">
        <w:rPr>
          <w:rFonts w:eastAsia="Cambria"/>
        </w:rPr>
        <w:t>, Chris, and Juan Tauri</w:t>
      </w:r>
      <w:r w:rsidR="00C97A18" w:rsidRPr="00691F99">
        <w:rPr>
          <w:rFonts w:eastAsia="Cambria"/>
        </w:rPr>
        <w:t>.</w:t>
      </w:r>
      <w:r w:rsidRPr="00691F99">
        <w:rPr>
          <w:rFonts w:eastAsia="Cambria"/>
        </w:rPr>
        <w:t xml:space="preserve"> 2016. </w:t>
      </w:r>
      <w:r w:rsidRPr="00345A66">
        <w:rPr>
          <w:rFonts w:eastAsia="Cambria"/>
          <w:i/>
          <w:iCs/>
        </w:rPr>
        <w:t>Indigenous Criminology</w:t>
      </w:r>
      <w:r w:rsidR="00C97A18" w:rsidRPr="00691F99">
        <w:rPr>
          <w:rFonts w:eastAsia="Cambria"/>
        </w:rPr>
        <w:t xml:space="preserve">. Bristol: </w:t>
      </w:r>
      <w:r w:rsidRPr="00691F99">
        <w:rPr>
          <w:rFonts w:eastAsia="Cambria"/>
        </w:rPr>
        <w:t>Policy Press.</w:t>
      </w:r>
    </w:p>
    <w:p w14:paraId="6CA32894" w14:textId="77777777" w:rsidR="00691F99" w:rsidRPr="00691F99" w:rsidRDefault="00691F99" w:rsidP="00691F99">
      <w:pPr>
        <w:pStyle w:val="References"/>
        <w:rPr>
          <w:rFonts w:eastAsia="Cambria"/>
        </w:rPr>
      </w:pPr>
      <w:r w:rsidRPr="00691F99">
        <w:rPr>
          <w:rFonts w:eastAsia="Cambria"/>
        </w:rPr>
        <w:t>Department of Corrections NZ</w:t>
      </w:r>
      <w:r>
        <w:rPr>
          <w:rFonts w:eastAsia="Cambria"/>
        </w:rPr>
        <w:t>. 2018</w:t>
      </w:r>
      <w:r w:rsidRPr="00691F99">
        <w:rPr>
          <w:rFonts w:eastAsia="Cambria"/>
        </w:rPr>
        <w:t xml:space="preserve">. “Prison facts and statistics – March 2018.” Ara </w:t>
      </w:r>
      <w:proofErr w:type="spellStart"/>
      <w:r w:rsidRPr="00691F99">
        <w:rPr>
          <w:rFonts w:eastAsia="Cambria"/>
        </w:rPr>
        <w:t>Poputama</w:t>
      </w:r>
      <w:proofErr w:type="spellEnd"/>
      <w:r w:rsidRPr="00691F99">
        <w:rPr>
          <w:rFonts w:eastAsia="Cambria"/>
        </w:rPr>
        <w:t xml:space="preserve"> Department of Corrections. New Zealand Government. Accessed 5 December 2019. </w:t>
      </w:r>
      <w:hyperlink r:id="rId12">
        <w:r w:rsidRPr="00691F99">
          <w:rPr>
            <w:rFonts w:eastAsia="Cambria"/>
          </w:rPr>
          <w:t>https://www.corrections.govt.nz/resources/research_and_statistics/quarterly_prison_statistics/prison_stats_march_2018.html</w:t>
        </w:r>
      </w:hyperlink>
    </w:p>
    <w:p w14:paraId="4A589839" w14:textId="77777777" w:rsidR="00497807" w:rsidRPr="00497807" w:rsidRDefault="00497807" w:rsidP="00691F99">
      <w:pPr>
        <w:pStyle w:val="References"/>
        <w:rPr>
          <w:rFonts w:eastAsia="Cambria"/>
        </w:rPr>
      </w:pPr>
      <w:r w:rsidRPr="00691F99">
        <w:rPr>
          <w:rFonts w:eastAsia="Cambria"/>
        </w:rPr>
        <w:t>Department of Corrections NZ</w:t>
      </w:r>
      <w:r w:rsidR="00691F99">
        <w:rPr>
          <w:rFonts w:eastAsia="Cambria"/>
        </w:rPr>
        <w:t>. 2019.</w:t>
      </w:r>
      <w:r w:rsidRPr="00691F99">
        <w:rPr>
          <w:rFonts w:eastAsia="Cambria"/>
        </w:rPr>
        <w:t xml:space="preserve"> </w:t>
      </w:r>
      <w:r w:rsidR="00D54D93" w:rsidRPr="00691F99">
        <w:rPr>
          <w:rFonts w:eastAsia="Cambria"/>
        </w:rPr>
        <w:t>“</w:t>
      </w:r>
      <w:r w:rsidRPr="00691F99">
        <w:rPr>
          <w:rFonts w:eastAsia="Cambria"/>
        </w:rPr>
        <w:t xml:space="preserve">Prison </w:t>
      </w:r>
      <w:r w:rsidR="00D54D93" w:rsidRPr="00691F99">
        <w:rPr>
          <w:rFonts w:eastAsia="Cambria"/>
        </w:rPr>
        <w:t>F</w:t>
      </w:r>
      <w:r w:rsidRPr="00691F99">
        <w:rPr>
          <w:rFonts w:eastAsia="Cambria"/>
        </w:rPr>
        <w:t xml:space="preserve">acts and </w:t>
      </w:r>
      <w:r w:rsidR="00D54D93" w:rsidRPr="00691F99">
        <w:rPr>
          <w:rFonts w:eastAsia="Cambria"/>
        </w:rPr>
        <w:t>S</w:t>
      </w:r>
      <w:r w:rsidRPr="00691F99">
        <w:rPr>
          <w:rFonts w:eastAsia="Cambria"/>
        </w:rPr>
        <w:t>tatistics – June 2019.</w:t>
      </w:r>
      <w:r w:rsidR="00D54D93" w:rsidRPr="00691F99">
        <w:rPr>
          <w:rFonts w:eastAsia="Cambria"/>
        </w:rPr>
        <w:t>”</w:t>
      </w:r>
      <w:r w:rsidRPr="00691F99">
        <w:rPr>
          <w:rFonts w:eastAsia="Cambria"/>
        </w:rPr>
        <w:t xml:space="preserve"> </w:t>
      </w:r>
      <w:r w:rsidR="00D54D93" w:rsidRPr="00691F99">
        <w:rPr>
          <w:rFonts w:eastAsia="Cambria"/>
        </w:rPr>
        <w:t xml:space="preserve">Ara Poutama Department of Corrections. New Zealand Government. </w:t>
      </w:r>
      <w:r w:rsidR="00691F99" w:rsidRPr="00691F99">
        <w:rPr>
          <w:rFonts w:eastAsia="Cambria"/>
        </w:rPr>
        <w:t xml:space="preserve">Accessed 5 December 2019. </w:t>
      </w:r>
      <w:hyperlink r:id="rId13" w:history="1">
        <w:r w:rsidR="00691F99" w:rsidRPr="00691F99">
          <w:rPr>
            <w:rStyle w:val="Hyperlink"/>
            <w:rFonts w:eastAsia="Cambria"/>
            <w:color w:val="auto"/>
            <w:u w:val="none"/>
          </w:rPr>
          <w:t>https://www.corrections.govt.nz/resources/research_and_statistics/quarterly_prison_statistics/prison_stats_june_2019</w:t>
        </w:r>
      </w:hyperlink>
    </w:p>
    <w:p w14:paraId="43D49042" w14:textId="77777777" w:rsidR="00497807" w:rsidRPr="00497807" w:rsidRDefault="00497807" w:rsidP="00691F99">
      <w:pPr>
        <w:pStyle w:val="References"/>
        <w:rPr>
          <w:rFonts w:eastAsia="Cambria"/>
        </w:rPr>
      </w:pPr>
      <w:r w:rsidRPr="00497807">
        <w:rPr>
          <w:rFonts w:eastAsia="Cambria"/>
        </w:rPr>
        <w:t>Durie, Mason</w:t>
      </w:r>
      <w:r w:rsidR="00691F99">
        <w:rPr>
          <w:rFonts w:eastAsia="Cambria"/>
        </w:rPr>
        <w:t>.</w:t>
      </w:r>
      <w:r w:rsidRPr="00497807">
        <w:rPr>
          <w:rFonts w:eastAsia="Cambria"/>
        </w:rPr>
        <w:t xml:space="preserve"> 1994. </w:t>
      </w:r>
      <w:proofErr w:type="spellStart"/>
      <w:r w:rsidRPr="00497807">
        <w:rPr>
          <w:rFonts w:eastAsia="Cambria"/>
          <w:i/>
        </w:rPr>
        <w:t>Whaiora</w:t>
      </w:r>
      <w:proofErr w:type="spellEnd"/>
      <w:r w:rsidRPr="00497807">
        <w:rPr>
          <w:rFonts w:eastAsia="Cambria"/>
          <w:i/>
        </w:rPr>
        <w:t xml:space="preserve">: Māori </w:t>
      </w:r>
      <w:r w:rsidR="00691F99">
        <w:rPr>
          <w:rFonts w:eastAsia="Cambria"/>
          <w:i/>
        </w:rPr>
        <w:t>H</w:t>
      </w:r>
      <w:r w:rsidRPr="00497807">
        <w:rPr>
          <w:rFonts w:eastAsia="Cambria"/>
          <w:i/>
        </w:rPr>
        <w:t xml:space="preserve">ealth </w:t>
      </w:r>
      <w:r w:rsidR="00691F99">
        <w:rPr>
          <w:rFonts w:eastAsia="Cambria"/>
          <w:i/>
        </w:rPr>
        <w:t>D</w:t>
      </w:r>
      <w:r w:rsidRPr="00497807">
        <w:rPr>
          <w:rFonts w:eastAsia="Cambria"/>
          <w:i/>
        </w:rPr>
        <w:t>evelopment</w:t>
      </w:r>
      <w:r w:rsidRPr="00497807">
        <w:rPr>
          <w:rFonts w:eastAsia="Cambria"/>
        </w:rPr>
        <w:t>. Auckland: Oxford University Press.</w:t>
      </w:r>
    </w:p>
    <w:p w14:paraId="4CAF0DBD" w14:textId="77777777" w:rsidR="00497807" w:rsidRDefault="00497807" w:rsidP="009948BC">
      <w:pPr>
        <w:pStyle w:val="References"/>
        <w:rPr>
          <w:rFonts w:eastAsia="Cambria"/>
        </w:rPr>
      </w:pPr>
      <w:r w:rsidRPr="00497807">
        <w:rPr>
          <w:rFonts w:eastAsia="Cambria"/>
        </w:rPr>
        <w:t>Evans, M</w:t>
      </w:r>
      <w:r w:rsidR="009948BC">
        <w:rPr>
          <w:rFonts w:eastAsia="Cambria"/>
        </w:rPr>
        <w:t>ark</w:t>
      </w:r>
      <w:r w:rsidRPr="00497807">
        <w:rPr>
          <w:rFonts w:eastAsia="Cambria"/>
        </w:rPr>
        <w:t xml:space="preserve">. 2006. </w:t>
      </w:r>
      <w:r w:rsidRPr="00497807">
        <w:rPr>
          <w:rFonts w:eastAsia="Cambria"/>
          <w:i/>
          <w:iCs/>
        </w:rPr>
        <w:t>Jacques Copeau</w:t>
      </w:r>
      <w:r w:rsidRPr="00497807">
        <w:rPr>
          <w:rFonts w:eastAsia="Cambria"/>
        </w:rPr>
        <w:t>. London: Routledge</w:t>
      </w:r>
    </w:p>
    <w:p w14:paraId="72AEFCB9" w14:textId="30ED64B2" w:rsidR="00497807" w:rsidRPr="00497807" w:rsidRDefault="00497807" w:rsidP="009948BC">
      <w:pPr>
        <w:pStyle w:val="References"/>
        <w:rPr>
          <w:rFonts w:eastAsia="Cambria"/>
        </w:rPr>
      </w:pPr>
      <w:proofErr w:type="spellStart"/>
      <w:r w:rsidRPr="00497807">
        <w:rPr>
          <w:rFonts w:eastAsia="Cambria"/>
        </w:rPr>
        <w:lastRenderedPageBreak/>
        <w:t>Farrimond</w:t>
      </w:r>
      <w:proofErr w:type="spellEnd"/>
      <w:r w:rsidRPr="00497807">
        <w:rPr>
          <w:rFonts w:eastAsia="Cambria"/>
        </w:rPr>
        <w:t>, W</w:t>
      </w:r>
      <w:r w:rsidR="009948BC">
        <w:rPr>
          <w:rFonts w:eastAsia="Cambria"/>
        </w:rPr>
        <w:t>illiam</w:t>
      </w:r>
      <w:r w:rsidRPr="00497807">
        <w:rPr>
          <w:rFonts w:eastAsia="Cambria"/>
        </w:rPr>
        <w:t xml:space="preserve">. 2007. </w:t>
      </w:r>
      <w:r w:rsidR="009948BC">
        <w:rPr>
          <w:rFonts w:eastAsia="Cambria"/>
        </w:rPr>
        <w:t>“</w:t>
      </w:r>
      <w:r w:rsidRPr="00497807">
        <w:rPr>
          <w:rFonts w:eastAsia="Cambria"/>
        </w:rPr>
        <w:t>Mask, Moko and Memory: Identity Through Solo Performance in a Post-colonial World.</w:t>
      </w:r>
      <w:r w:rsidR="009948BC">
        <w:rPr>
          <w:rFonts w:eastAsia="Cambria"/>
        </w:rPr>
        <w:t>”</w:t>
      </w:r>
      <w:r w:rsidR="00345A66">
        <w:rPr>
          <w:rFonts w:eastAsia="Cambria"/>
        </w:rPr>
        <w:t xml:space="preserve"> </w:t>
      </w:r>
      <w:r w:rsidR="009948BC">
        <w:rPr>
          <w:rFonts w:eastAsia="Cambria"/>
        </w:rPr>
        <w:t xml:space="preserve">In </w:t>
      </w:r>
      <w:r w:rsidRPr="00497807">
        <w:rPr>
          <w:rFonts w:eastAsia="Cambria"/>
          <w:i/>
          <w:iCs/>
        </w:rPr>
        <w:t>Performing Aotearoa: New Zealand Theatre and Drama in a State of Transition</w:t>
      </w:r>
      <w:r w:rsidRPr="00497807">
        <w:rPr>
          <w:rFonts w:eastAsia="Cambria"/>
        </w:rPr>
        <w:t xml:space="preserve">, </w:t>
      </w:r>
      <w:r w:rsidR="009948BC">
        <w:rPr>
          <w:rFonts w:eastAsia="Cambria"/>
        </w:rPr>
        <w:t xml:space="preserve">edited by Marc Maufort and David O’Donnell, </w:t>
      </w:r>
      <w:r w:rsidRPr="00497807">
        <w:rPr>
          <w:rFonts w:eastAsia="Cambria"/>
        </w:rPr>
        <w:t>407-29.</w:t>
      </w:r>
      <w:r w:rsidR="009948BC">
        <w:rPr>
          <w:rFonts w:eastAsia="Cambria"/>
        </w:rPr>
        <w:t xml:space="preserve"> </w:t>
      </w:r>
      <w:proofErr w:type="spellStart"/>
      <w:r w:rsidR="009948BC">
        <w:rPr>
          <w:rFonts w:eastAsia="Cambria"/>
        </w:rPr>
        <w:t>Brussells</w:t>
      </w:r>
      <w:proofErr w:type="spellEnd"/>
      <w:r w:rsidR="009948BC">
        <w:rPr>
          <w:rFonts w:eastAsia="Cambria"/>
        </w:rPr>
        <w:t xml:space="preserve">: P.I.E. Peter Lang. </w:t>
      </w:r>
    </w:p>
    <w:p w14:paraId="3E224915" w14:textId="4586041D" w:rsidR="00497807" w:rsidRPr="00745552" w:rsidRDefault="00497807" w:rsidP="00745552">
      <w:pPr>
        <w:pStyle w:val="References"/>
      </w:pPr>
      <w:proofErr w:type="spellStart"/>
      <w:r w:rsidRPr="00745552">
        <w:rPr>
          <w:rFonts w:eastAsia="Cambria"/>
        </w:rPr>
        <w:t>Favorini</w:t>
      </w:r>
      <w:proofErr w:type="spellEnd"/>
      <w:r w:rsidRPr="00745552">
        <w:rPr>
          <w:rFonts w:eastAsia="Cambria"/>
        </w:rPr>
        <w:t>, Attilio</w:t>
      </w:r>
      <w:r w:rsidR="009948BC" w:rsidRPr="00745552">
        <w:rPr>
          <w:rFonts w:eastAsia="Cambria"/>
        </w:rPr>
        <w:t xml:space="preserve">. </w:t>
      </w:r>
      <w:r w:rsidRPr="00745552">
        <w:rPr>
          <w:rFonts w:eastAsia="Cambria"/>
        </w:rPr>
        <w:t xml:space="preserve">1994. </w:t>
      </w:r>
      <w:r w:rsidR="009948BC" w:rsidRPr="00745552">
        <w:rPr>
          <w:rFonts w:eastAsia="Cambria"/>
        </w:rPr>
        <w:t>“</w:t>
      </w:r>
      <w:r w:rsidRPr="00745552">
        <w:rPr>
          <w:rFonts w:eastAsia="Cambria"/>
        </w:rPr>
        <w:t>Representation and Reality: The Case of Documentary Theatre</w:t>
      </w:r>
      <w:r w:rsidR="009948BC" w:rsidRPr="00745552">
        <w:rPr>
          <w:rFonts w:eastAsia="Cambria"/>
        </w:rPr>
        <w:t>.”</w:t>
      </w:r>
      <w:r w:rsidRPr="00745552">
        <w:rPr>
          <w:rFonts w:eastAsia="Cambria"/>
        </w:rPr>
        <w:t xml:space="preserve"> </w:t>
      </w:r>
      <w:r w:rsidRPr="00345A66">
        <w:rPr>
          <w:rFonts w:eastAsia="Cambria"/>
          <w:i/>
          <w:iCs/>
        </w:rPr>
        <w:t>Theatre Survey</w:t>
      </w:r>
      <w:r w:rsidR="009948BC" w:rsidRPr="00745552">
        <w:rPr>
          <w:rFonts w:eastAsia="Cambria"/>
        </w:rPr>
        <w:t xml:space="preserve"> </w:t>
      </w:r>
      <w:r w:rsidRPr="00745552">
        <w:rPr>
          <w:rFonts w:eastAsia="Cambria"/>
        </w:rPr>
        <w:t>35</w:t>
      </w:r>
      <w:r w:rsidR="009948BC" w:rsidRPr="00745552">
        <w:rPr>
          <w:rFonts w:eastAsia="Cambria"/>
        </w:rPr>
        <w:t xml:space="preserve"> (2): </w:t>
      </w:r>
      <w:r w:rsidRPr="00745552">
        <w:rPr>
          <w:rFonts w:eastAsia="Cambria"/>
        </w:rPr>
        <w:t>31-42</w:t>
      </w:r>
      <w:r w:rsidR="009948BC" w:rsidRPr="00745552">
        <w:rPr>
          <w:rFonts w:eastAsia="Cambria"/>
        </w:rPr>
        <w:t xml:space="preserve">. </w:t>
      </w:r>
      <w:proofErr w:type="spellStart"/>
      <w:r w:rsidR="009948BC" w:rsidRPr="00745552">
        <w:t>doi</w:t>
      </w:r>
      <w:proofErr w:type="spellEnd"/>
      <w:r w:rsidR="009948BC" w:rsidRPr="00745552">
        <w:t>:</w:t>
      </w:r>
      <w:r w:rsidR="00284A07">
        <w:t xml:space="preserve"> </w:t>
      </w:r>
      <w:r w:rsidR="009948BC" w:rsidRPr="00745552">
        <w:rPr>
          <w:rStyle w:val="Hyperlink"/>
          <w:color w:val="auto"/>
          <w:u w:val="none"/>
        </w:rPr>
        <w:t>https://doi.org/10.1017/S0040557400002775</w:t>
      </w:r>
    </w:p>
    <w:p w14:paraId="445A787B" w14:textId="77777777" w:rsidR="00497807" w:rsidRPr="00497807" w:rsidRDefault="00497807" w:rsidP="00745552">
      <w:pPr>
        <w:pStyle w:val="References"/>
        <w:rPr>
          <w:rFonts w:eastAsia="Cambria"/>
        </w:rPr>
      </w:pPr>
      <w:r w:rsidRPr="00497807">
        <w:rPr>
          <w:rFonts w:eastAsia="Cambria"/>
        </w:rPr>
        <w:t>Felner, M</w:t>
      </w:r>
      <w:r w:rsidR="00745552">
        <w:rPr>
          <w:rFonts w:eastAsia="Cambria"/>
        </w:rPr>
        <w:t>ira</w:t>
      </w:r>
      <w:r w:rsidRPr="00497807">
        <w:rPr>
          <w:rFonts w:eastAsia="Cambria"/>
        </w:rPr>
        <w:t xml:space="preserve">. 1985. </w:t>
      </w:r>
      <w:r w:rsidRPr="00497807">
        <w:rPr>
          <w:rFonts w:eastAsia="Cambria"/>
          <w:i/>
          <w:iCs/>
        </w:rPr>
        <w:t>Apostles of Silence: The Modern French Mimes</w:t>
      </w:r>
      <w:r w:rsidRPr="00497807">
        <w:rPr>
          <w:rFonts w:eastAsia="Cambria"/>
        </w:rPr>
        <w:t>. London: Fairleigh Dickinson University Press</w:t>
      </w:r>
      <w:r w:rsidR="00745552">
        <w:rPr>
          <w:rFonts w:eastAsia="Cambria"/>
        </w:rPr>
        <w:t>.</w:t>
      </w:r>
    </w:p>
    <w:p w14:paraId="42E68121" w14:textId="78B5EE37" w:rsidR="00E739DB" w:rsidRPr="00DF7603" w:rsidRDefault="00E739DB" w:rsidP="00345A66">
      <w:pPr>
        <w:spacing w:before="120" w:line="360" w:lineRule="auto"/>
        <w:ind w:left="720" w:hanging="720"/>
      </w:pPr>
      <w:proofErr w:type="spellStart"/>
      <w:r w:rsidRPr="00345A66">
        <w:rPr>
          <w:color w:val="222222"/>
          <w:shd w:val="clear" w:color="auto" w:fill="FFFFFF"/>
        </w:rPr>
        <w:t>Fludernik</w:t>
      </w:r>
      <w:proofErr w:type="spellEnd"/>
      <w:r w:rsidRPr="00345A66">
        <w:rPr>
          <w:color w:val="222222"/>
          <w:shd w:val="clear" w:color="auto" w:fill="FFFFFF"/>
        </w:rPr>
        <w:t>, Monika.</w:t>
      </w:r>
      <w:r w:rsidR="00DF7603" w:rsidRPr="00345A66">
        <w:rPr>
          <w:color w:val="222222"/>
          <w:shd w:val="clear" w:color="auto" w:fill="FFFFFF"/>
        </w:rPr>
        <w:t xml:space="preserve"> 2019.</w:t>
      </w:r>
      <w:r w:rsidR="00345A66">
        <w:rPr>
          <w:color w:val="222222"/>
          <w:shd w:val="clear" w:color="auto" w:fill="FFFFFF"/>
        </w:rPr>
        <w:t xml:space="preserve"> </w:t>
      </w:r>
      <w:r w:rsidRPr="00345A66">
        <w:rPr>
          <w:i/>
          <w:iCs/>
          <w:color w:val="222222"/>
          <w:shd w:val="clear" w:color="auto" w:fill="FFFFFF"/>
        </w:rPr>
        <w:t>Metaphors of Confinement: The Prison in Fact, Fiction, and Fantasy</w:t>
      </w:r>
      <w:r w:rsidRPr="00345A66">
        <w:rPr>
          <w:color w:val="222222"/>
          <w:shd w:val="clear" w:color="auto" w:fill="FFFFFF"/>
        </w:rPr>
        <w:t xml:space="preserve">. </w:t>
      </w:r>
      <w:r w:rsidR="00545456">
        <w:rPr>
          <w:color w:val="222222"/>
          <w:shd w:val="clear" w:color="auto" w:fill="FFFFFF"/>
        </w:rPr>
        <w:t xml:space="preserve">Oxford: </w:t>
      </w:r>
      <w:r w:rsidRPr="00345A66">
        <w:rPr>
          <w:color w:val="222222"/>
          <w:shd w:val="clear" w:color="auto" w:fill="FFFFFF"/>
        </w:rPr>
        <w:t>Oxford University Press.</w:t>
      </w:r>
    </w:p>
    <w:p w14:paraId="5DCCD5F5" w14:textId="18C6343D" w:rsidR="00497807" w:rsidRPr="00745552" w:rsidRDefault="00497807" w:rsidP="00745552">
      <w:pPr>
        <w:pStyle w:val="References"/>
      </w:pPr>
      <w:r w:rsidRPr="00497807">
        <w:rPr>
          <w:rFonts w:eastAsia="Cambria"/>
        </w:rPr>
        <w:t>Fogarty, W</w:t>
      </w:r>
      <w:r w:rsidR="00745552">
        <w:rPr>
          <w:rFonts w:eastAsia="Cambria"/>
        </w:rPr>
        <w:t>illiam</w:t>
      </w:r>
      <w:r w:rsidRPr="00497807">
        <w:rPr>
          <w:rFonts w:eastAsia="Cambria"/>
        </w:rPr>
        <w:t xml:space="preserve">, </w:t>
      </w:r>
      <w:r w:rsidR="00745552">
        <w:rPr>
          <w:rFonts w:eastAsia="Cambria"/>
        </w:rPr>
        <w:t xml:space="preserve">Melissa Lovell, </w:t>
      </w:r>
      <w:proofErr w:type="spellStart"/>
      <w:r w:rsidR="00745552">
        <w:rPr>
          <w:rFonts w:eastAsia="Cambria"/>
        </w:rPr>
        <w:t>Juleigh</w:t>
      </w:r>
      <w:proofErr w:type="spellEnd"/>
      <w:r w:rsidR="00745552">
        <w:rPr>
          <w:rFonts w:eastAsia="Cambria"/>
        </w:rPr>
        <w:t xml:space="preserve"> </w:t>
      </w:r>
      <w:proofErr w:type="spellStart"/>
      <w:r w:rsidRPr="00497807">
        <w:rPr>
          <w:rFonts w:eastAsia="Cambria"/>
        </w:rPr>
        <w:t>Langenberg</w:t>
      </w:r>
      <w:proofErr w:type="spellEnd"/>
      <w:r w:rsidRPr="00497807">
        <w:rPr>
          <w:rFonts w:eastAsia="Cambria"/>
        </w:rPr>
        <w:t xml:space="preserve">, </w:t>
      </w:r>
      <w:r w:rsidR="00745552">
        <w:rPr>
          <w:rFonts w:eastAsia="Cambria"/>
        </w:rPr>
        <w:t>and Mary-Jane</w:t>
      </w:r>
      <w:r w:rsidRPr="00497807">
        <w:rPr>
          <w:rFonts w:eastAsia="Cambria"/>
        </w:rPr>
        <w:t xml:space="preserve"> Heron</w:t>
      </w:r>
      <w:r w:rsidR="00745552">
        <w:rPr>
          <w:rFonts w:eastAsia="Cambria"/>
        </w:rPr>
        <w:t>.</w:t>
      </w:r>
      <w:r w:rsidRPr="00497807">
        <w:rPr>
          <w:rFonts w:eastAsia="Cambria"/>
        </w:rPr>
        <w:t xml:space="preserve"> 2018. </w:t>
      </w:r>
      <w:r w:rsidRPr="00134477">
        <w:rPr>
          <w:rFonts w:eastAsia="Cambria"/>
          <w:i/>
          <w:iCs/>
        </w:rPr>
        <w:t>Deficit Discourse and Strengths-based Approaches: Changing the Narrative of Aboriginal and Torres Strait Islander Health and Wellbeing</w:t>
      </w:r>
      <w:r w:rsidR="00745552">
        <w:rPr>
          <w:rFonts w:eastAsia="Cambria"/>
        </w:rPr>
        <w:t xml:space="preserve">. </w:t>
      </w:r>
      <w:r w:rsidR="00545456">
        <w:rPr>
          <w:rFonts w:eastAsia="Cambria"/>
        </w:rPr>
        <w:t xml:space="preserve">Canberra: </w:t>
      </w:r>
      <w:proofErr w:type="spellStart"/>
      <w:r w:rsidR="00745552">
        <w:rPr>
          <w:rFonts w:eastAsia="Cambria"/>
        </w:rPr>
        <w:t>Lowitja</w:t>
      </w:r>
      <w:proofErr w:type="spellEnd"/>
      <w:r w:rsidR="00745552">
        <w:rPr>
          <w:rFonts w:eastAsia="Cambria"/>
        </w:rPr>
        <w:t xml:space="preserve"> Institute and National Centre for Indigenous Studies, Australian National University. </w:t>
      </w:r>
      <w:r w:rsidR="00745552" w:rsidRPr="00745552">
        <w:t>https://apo.org.au/sites/default/files/resource-files/2018/05/apo-nid172676-1248371.pdf</w:t>
      </w:r>
    </w:p>
    <w:p w14:paraId="1638F897" w14:textId="77777777" w:rsidR="00745552" w:rsidRDefault="00497807" w:rsidP="00745552">
      <w:pPr>
        <w:pStyle w:val="References"/>
      </w:pPr>
      <w:r w:rsidRPr="00497807">
        <w:rPr>
          <w:rFonts w:eastAsia="Cambria"/>
        </w:rPr>
        <w:t>Gallagher, K</w:t>
      </w:r>
      <w:r w:rsidR="00745552">
        <w:rPr>
          <w:rFonts w:eastAsia="Cambria"/>
        </w:rPr>
        <w:t>athleen</w:t>
      </w:r>
      <w:r w:rsidRPr="00497807">
        <w:rPr>
          <w:rFonts w:eastAsia="Cambria"/>
        </w:rPr>
        <w:t xml:space="preserve">, </w:t>
      </w:r>
      <w:r w:rsidR="00745552">
        <w:rPr>
          <w:rFonts w:eastAsia="Cambria"/>
        </w:rPr>
        <w:t xml:space="preserve">Ann </w:t>
      </w:r>
      <w:r w:rsidRPr="00497807">
        <w:rPr>
          <w:rFonts w:eastAsia="Cambria"/>
        </w:rPr>
        <w:t xml:space="preserve">Wessels, </w:t>
      </w:r>
      <w:r w:rsidR="00745552">
        <w:rPr>
          <w:rFonts w:eastAsia="Cambria"/>
        </w:rPr>
        <w:t xml:space="preserve">and </w:t>
      </w:r>
      <w:proofErr w:type="spellStart"/>
      <w:r w:rsidR="00745552">
        <w:rPr>
          <w:rFonts w:eastAsia="Cambria"/>
        </w:rPr>
        <w:t>Burcu</w:t>
      </w:r>
      <w:proofErr w:type="spellEnd"/>
      <w:r w:rsidR="00745552">
        <w:rPr>
          <w:rFonts w:eastAsia="Cambria"/>
        </w:rPr>
        <w:t xml:space="preserve"> W.</w:t>
      </w:r>
      <w:r w:rsidRPr="00497807">
        <w:rPr>
          <w:rFonts w:eastAsia="Cambria"/>
        </w:rPr>
        <w:t xml:space="preserve"> Ntelioglou</w:t>
      </w:r>
      <w:r w:rsidR="00745552">
        <w:rPr>
          <w:rFonts w:eastAsia="Cambria"/>
        </w:rPr>
        <w:t xml:space="preserve">. </w:t>
      </w:r>
      <w:r w:rsidRPr="00497807">
        <w:rPr>
          <w:rFonts w:eastAsia="Cambria"/>
        </w:rPr>
        <w:t xml:space="preserve">2012. </w:t>
      </w:r>
      <w:r w:rsidR="00745552">
        <w:rPr>
          <w:rFonts w:eastAsia="Cambria"/>
        </w:rPr>
        <w:t>“</w:t>
      </w:r>
      <w:r w:rsidRPr="00497807">
        <w:rPr>
          <w:rFonts w:eastAsia="Cambria"/>
        </w:rPr>
        <w:t xml:space="preserve">Verbatim </w:t>
      </w:r>
      <w:r w:rsidR="00745552">
        <w:rPr>
          <w:rFonts w:eastAsia="Cambria"/>
        </w:rPr>
        <w:t>T</w:t>
      </w:r>
      <w:r w:rsidRPr="00497807">
        <w:rPr>
          <w:rFonts w:eastAsia="Cambria"/>
        </w:rPr>
        <w:t xml:space="preserve">heatre and </w:t>
      </w:r>
      <w:r w:rsidR="00745552">
        <w:rPr>
          <w:rFonts w:eastAsia="Cambria"/>
        </w:rPr>
        <w:t>S</w:t>
      </w:r>
      <w:r w:rsidRPr="00497807">
        <w:rPr>
          <w:rFonts w:eastAsia="Cambria"/>
        </w:rPr>
        <w:t xml:space="preserve">ocial </w:t>
      </w:r>
      <w:r w:rsidR="00745552">
        <w:rPr>
          <w:rFonts w:eastAsia="Cambria"/>
        </w:rPr>
        <w:t>R</w:t>
      </w:r>
      <w:r w:rsidRPr="00497807">
        <w:rPr>
          <w:rFonts w:eastAsia="Cambria"/>
        </w:rPr>
        <w:t xml:space="preserve">esearch: </w:t>
      </w:r>
      <w:r w:rsidR="00745552">
        <w:rPr>
          <w:rFonts w:eastAsia="Cambria"/>
        </w:rPr>
        <w:t>T</w:t>
      </w:r>
      <w:r w:rsidRPr="00497807">
        <w:rPr>
          <w:rFonts w:eastAsia="Cambria"/>
        </w:rPr>
        <w:t xml:space="preserve">urning </w:t>
      </w:r>
      <w:r w:rsidR="00745552">
        <w:rPr>
          <w:rFonts w:eastAsia="Cambria"/>
        </w:rPr>
        <w:t>T</w:t>
      </w:r>
      <w:r w:rsidRPr="00497807">
        <w:rPr>
          <w:rFonts w:eastAsia="Cambria"/>
        </w:rPr>
        <w:t xml:space="preserve">owards the </w:t>
      </w:r>
      <w:r w:rsidR="00745552">
        <w:rPr>
          <w:rFonts w:eastAsia="Cambria"/>
        </w:rPr>
        <w:t>S</w:t>
      </w:r>
      <w:r w:rsidRPr="00497807">
        <w:rPr>
          <w:rFonts w:eastAsia="Cambria"/>
        </w:rPr>
        <w:t xml:space="preserve">tories of </w:t>
      </w:r>
      <w:r w:rsidR="00745552">
        <w:rPr>
          <w:rFonts w:eastAsia="Cambria"/>
        </w:rPr>
        <w:t>O</w:t>
      </w:r>
      <w:r w:rsidRPr="00497807">
        <w:rPr>
          <w:rFonts w:eastAsia="Cambria"/>
        </w:rPr>
        <w:t>thers.</w:t>
      </w:r>
      <w:r w:rsidR="00745552">
        <w:rPr>
          <w:rFonts w:eastAsia="Cambria"/>
        </w:rPr>
        <w:t>”</w:t>
      </w:r>
      <w:r w:rsidRPr="00497807">
        <w:rPr>
          <w:rFonts w:eastAsia="Cambria"/>
        </w:rPr>
        <w:t xml:space="preserve"> </w:t>
      </w:r>
      <w:r w:rsidRPr="00497807">
        <w:rPr>
          <w:rFonts w:eastAsia="Cambria"/>
          <w:i/>
        </w:rPr>
        <w:t xml:space="preserve">Theatre </w:t>
      </w:r>
      <w:r w:rsidR="00745552">
        <w:rPr>
          <w:rFonts w:eastAsia="Cambria"/>
          <w:i/>
        </w:rPr>
        <w:t>R</w:t>
      </w:r>
      <w:r w:rsidRPr="00497807">
        <w:rPr>
          <w:rFonts w:eastAsia="Cambria"/>
          <w:i/>
        </w:rPr>
        <w:t>esearch in Canada</w:t>
      </w:r>
      <w:r w:rsidR="00745552">
        <w:rPr>
          <w:rFonts w:eastAsia="Cambria"/>
        </w:rPr>
        <w:t xml:space="preserve"> </w:t>
      </w:r>
      <w:r w:rsidRPr="00745552">
        <w:rPr>
          <w:rFonts w:eastAsia="Cambria"/>
          <w:iCs/>
        </w:rPr>
        <w:t>33</w:t>
      </w:r>
      <w:r w:rsidR="00745552">
        <w:rPr>
          <w:rFonts w:eastAsia="Cambria"/>
          <w:i/>
        </w:rPr>
        <w:t xml:space="preserve"> </w:t>
      </w:r>
      <w:r w:rsidRPr="00497807">
        <w:rPr>
          <w:rFonts w:eastAsia="Cambria"/>
        </w:rPr>
        <w:t>(1)</w:t>
      </w:r>
      <w:r w:rsidR="00745552">
        <w:rPr>
          <w:rFonts w:eastAsia="Cambria"/>
        </w:rPr>
        <w:t xml:space="preserve">: </w:t>
      </w:r>
      <w:r w:rsidRPr="00497807">
        <w:rPr>
          <w:rFonts w:eastAsia="Cambria"/>
        </w:rPr>
        <w:t>24-43.</w:t>
      </w:r>
      <w:r w:rsidR="00745552">
        <w:rPr>
          <w:rFonts w:eastAsia="Cambria"/>
        </w:rPr>
        <w:t xml:space="preserve"> </w:t>
      </w:r>
      <w:r w:rsidR="00745552" w:rsidRPr="00745552">
        <w:t>https://journals.lib.unb.ca/index.php/TRIC/article/view/20306</w:t>
      </w:r>
    </w:p>
    <w:p w14:paraId="22A57181" w14:textId="77777777" w:rsidR="00497807" w:rsidRPr="001F4512" w:rsidRDefault="00497807" w:rsidP="001F4512">
      <w:pPr>
        <w:pStyle w:val="References"/>
      </w:pPr>
      <w:r w:rsidRPr="00497807">
        <w:rPr>
          <w:rFonts w:eastAsia="Cambria"/>
        </w:rPr>
        <w:t xml:space="preserve">Glover, </w:t>
      </w:r>
      <w:proofErr w:type="spellStart"/>
      <w:r w:rsidRPr="00497807">
        <w:rPr>
          <w:rFonts w:eastAsia="Cambria"/>
        </w:rPr>
        <w:t>M</w:t>
      </w:r>
      <w:r w:rsidR="001F4512">
        <w:rPr>
          <w:rFonts w:eastAsia="Cambria"/>
        </w:rPr>
        <w:t>arewa</w:t>
      </w:r>
      <w:proofErr w:type="spellEnd"/>
      <w:r w:rsidRPr="00497807">
        <w:rPr>
          <w:rFonts w:eastAsia="Cambria"/>
        </w:rPr>
        <w:t>. 2005</w:t>
      </w:r>
      <w:r w:rsidR="001F4512">
        <w:rPr>
          <w:rFonts w:eastAsia="Cambria"/>
        </w:rPr>
        <w:t>.</w:t>
      </w:r>
      <w:r w:rsidRPr="00497807">
        <w:rPr>
          <w:rFonts w:eastAsia="Cambria"/>
        </w:rPr>
        <w:t xml:space="preserve"> </w:t>
      </w:r>
      <w:r w:rsidR="001F4512">
        <w:rPr>
          <w:rFonts w:eastAsia="Cambria"/>
        </w:rPr>
        <w:t>“</w:t>
      </w:r>
      <w:r w:rsidRPr="00497807">
        <w:rPr>
          <w:rFonts w:eastAsia="Cambria"/>
        </w:rPr>
        <w:t xml:space="preserve">Analysing </w:t>
      </w:r>
      <w:r w:rsidR="001F4512">
        <w:rPr>
          <w:rFonts w:eastAsia="Cambria"/>
        </w:rPr>
        <w:t>S</w:t>
      </w:r>
      <w:r w:rsidRPr="00497807">
        <w:rPr>
          <w:rFonts w:eastAsia="Cambria"/>
        </w:rPr>
        <w:t xml:space="preserve">moking using </w:t>
      </w:r>
      <w:proofErr w:type="spellStart"/>
      <w:r w:rsidRPr="00497807">
        <w:rPr>
          <w:rFonts w:eastAsia="Cambria"/>
        </w:rPr>
        <w:t>Te</w:t>
      </w:r>
      <w:proofErr w:type="spellEnd"/>
      <w:r w:rsidRPr="00497807">
        <w:rPr>
          <w:rFonts w:eastAsia="Cambria"/>
        </w:rPr>
        <w:t xml:space="preserve"> Whare Tapa </w:t>
      </w:r>
      <w:proofErr w:type="spellStart"/>
      <w:r w:rsidRPr="00497807">
        <w:rPr>
          <w:rFonts w:eastAsia="Cambria"/>
        </w:rPr>
        <w:t>Wh</w:t>
      </w:r>
      <w:r w:rsidR="001F4512" w:rsidRPr="00CF4370">
        <w:rPr>
          <w:rFonts w:eastAsia="Cambria"/>
        </w:rPr>
        <w:t>a</w:t>
      </w:r>
      <w:proofErr w:type="spellEnd"/>
      <w:r w:rsidR="001F4512" w:rsidRPr="00CF4370">
        <w:rPr>
          <w:rFonts w:eastAsia="Cambria"/>
        </w:rPr>
        <w:t>̄</w:t>
      </w:r>
      <w:r w:rsidRPr="00497807">
        <w:rPr>
          <w:rFonts w:eastAsia="Cambria"/>
        </w:rPr>
        <w:t>.</w:t>
      </w:r>
      <w:r w:rsidR="001F4512">
        <w:rPr>
          <w:rFonts w:eastAsia="Cambria"/>
        </w:rPr>
        <w:t>”</w:t>
      </w:r>
      <w:r w:rsidRPr="00497807">
        <w:rPr>
          <w:rFonts w:eastAsia="Cambria"/>
        </w:rPr>
        <w:t xml:space="preserve"> </w:t>
      </w:r>
      <w:r w:rsidRPr="00497807">
        <w:rPr>
          <w:rFonts w:eastAsia="Cambria"/>
          <w:i/>
        </w:rPr>
        <w:t>New Zealand Journal of Psychology</w:t>
      </w:r>
      <w:r w:rsidRPr="00497807">
        <w:rPr>
          <w:rFonts w:eastAsia="Cambria"/>
        </w:rPr>
        <w:t xml:space="preserve"> 34</w:t>
      </w:r>
      <w:r w:rsidR="001F4512">
        <w:rPr>
          <w:rFonts w:eastAsia="Cambria"/>
        </w:rPr>
        <w:t xml:space="preserve"> (1):</w:t>
      </w:r>
      <w:r w:rsidRPr="00497807">
        <w:rPr>
          <w:rFonts w:eastAsia="Cambria"/>
        </w:rPr>
        <w:t xml:space="preserve"> 13–19. </w:t>
      </w:r>
      <w:r w:rsidR="001F4512" w:rsidRPr="001F4512">
        <w:t>https://www.researchgate.net/profile/Marewa_Glover/publication/288201357_Analyzing_Smoking_Using_Te_Whare_Tapa_Wha/links/59daad06a6fdcc2aad12a910/Analyzing-Smoking-Using-Te-Whare-Tapa-Wha.pdf</w:t>
      </w:r>
    </w:p>
    <w:p w14:paraId="3D5C4022" w14:textId="6249072D" w:rsidR="005218BC" w:rsidRPr="005218BC" w:rsidRDefault="005218BC" w:rsidP="005218BC">
      <w:pPr>
        <w:pStyle w:val="References"/>
        <w:rPr>
          <w:rFonts w:eastAsia="Cambria"/>
        </w:rPr>
      </w:pPr>
      <w:r>
        <w:rPr>
          <w:rFonts w:eastAsia="Cambria"/>
        </w:rPr>
        <w:t>Hazou, Rand (2020). “</w:t>
      </w:r>
      <w:r w:rsidRPr="005218BC">
        <w:rPr>
          <w:rFonts w:eastAsia="Cambria"/>
        </w:rPr>
        <w:t>Repairing the evil: Staging Puppet Antigone (2017) at Auckland Prison</w:t>
      </w:r>
      <w:r>
        <w:rPr>
          <w:rFonts w:eastAsia="Cambria"/>
        </w:rPr>
        <w:t xml:space="preserve">.” In </w:t>
      </w:r>
      <w:r w:rsidRPr="008622B1">
        <w:rPr>
          <w:rFonts w:eastAsia="Cambria"/>
          <w:i/>
          <w:iCs/>
        </w:rPr>
        <w:t>The Routledge Companion to Applied Performance: Volume One – Mainland Europe, North and Latin America, Southern Africa, and Australia and New Zealand</w:t>
      </w:r>
      <w:r w:rsidRPr="005218BC">
        <w:rPr>
          <w:rFonts w:eastAsia="Cambria"/>
        </w:rPr>
        <w:t xml:space="preserve"> (1st ed.)</w:t>
      </w:r>
      <w:r w:rsidR="00BF0C28">
        <w:rPr>
          <w:rFonts w:eastAsia="Cambria"/>
        </w:rPr>
        <w:t>,</w:t>
      </w:r>
      <w:r w:rsidRPr="005218BC">
        <w:rPr>
          <w:rFonts w:eastAsia="Cambria"/>
        </w:rPr>
        <w:t xml:space="preserve"> </w:t>
      </w:r>
      <w:r w:rsidR="00BF0C28">
        <w:rPr>
          <w:rFonts w:eastAsia="Cambria"/>
        </w:rPr>
        <w:t>e</w:t>
      </w:r>
      <w:r>
        <w:rPr>
          <w:rFonts w:eastAsia="Cambria"/>
        </w:rPr>
        <w:t xml:space="preserve">dited by Tim </w:t>
      </w:r>
      <w:proofErr w:type="spellStart"/>
      <w:r w:rsidRPr="005218BC">
        <w:rPr>
          <w:rFonts w:eastAsia="Cambria"/>
        </w:rPr>
        <w:t>Prentki</w:t>
      </w:r>
      <w:proofErr w:type="spellEnd"/>
      <w:r>
        <w:rPr>
          <w:rFonts w:eastAsia="Cambria"/>
        </w:rPr>
        <w:t xml:space="preserve"> and Ananda </w:t>
      </w:r>
      <w:r w:rsidRPr="005218BC">
        <w:rPr>
          <w:rFonts w:eastAsia="Cambria"/>
        </w:rPr>
        <w:t>Breed</w:t>
      </w:r>
      <w:r w:rsidR="005D5E03">
        <w:rPr>
          <w:rFonts w:eastAsia="Cambria"/>
        </w:rPr>
        <w:t>, 32-42</w:t>
      </w:r>
      <w:r w:rsidRPr="005218BC">
        <w:rPr>
          <w:rFonts w:eastAsia="Cambria"/>
        </w:rPr>
        <w:t xml:space="preserve">. Routledge. </w:t>
      </w:r>
    </w:p>
    <w:p w14:paraId="55DEB3DB" w14:textId="213C1BC4" w:rsidR="000F3E69" w:rsidRPr="00044482" w:rsidRDefault="000F3E69" w:rsidP="000F3E69">
      <w:pPr>
        <w:pStyle w:val="References"/>
        <w:rPr>
          <w:rFonts w:eastAsia="Cambria"/>
          <w:lang w:val="en-AU"/>
        </w:rPr>
      </w:pPr>
      <w:r w:rsidRPr="000F3E69">
        <w:rPr>
          <w:rFonts w:eastAsia="Cambria"/>
        </w:rPr>
        <w:t>Higgins</w:t>
      </w:r>
      <w:r w:rsidR="00044482">
        <w:rPr>
          <w:rFonts w:eastAsia="Cambria"/>
        </w:rPr>
        <w:t>,</w:t>
      </w:r>
      <w:r w:rsidRPr="000F3E69">
        <w:rPr>
          <w:rFonts w:eastAsia="Cambria"/>
        </w:rPr>
        <w:t xml:space="preserve"> </w:t>
      </w:r>
      <w:r w:rsidR="00044482" w:rsidRPr="000F3E69">
        <w:rPr>
          <w:rFonts w:eastAsia="Cambria"/>
        </w:rPr>
        <w:t>Joanna</w:t>
      </w:r>
      <w:r w:rsidR="00044482">
        <w:rPr>
          <w:rFonts w:eastAsia="Cambria"/>
        </w:rPr>
        <w:t>,</w:t>
      </w:r>
      <w:r w:rsidR="00044482" w:rsidRPr="000F3E69">
        <w:rPr>
          <w:rFonts w:eastAsia="Cambria"/>
        </w:rPr>
        <w:t xml:space="preserve"> </w:t>
      </w:r>
      <w:r w:rsidR="00044482">
        <w:rPr>
          <w:rFonts w:eastAsia="Cambria"/>
        </w:rPr>
        <w:t>and</w:t>
      </w:r>
      <w:r w:rsidRPr="000F3E69">
        <w:rPr>
          <w:rFonts w:eastAsia="Cambria"/>
        </w:rPr>
        <w:t xml:space="preserve"> </w:t>
      </w:r>
      <w:proofErr w:type="spellStart"/>
      <w:r w:rsidRPr="000F3E69">
        <w:rPr>
          <w:rFonts w:eastAsia="Cambria"/>
        </w:rPr>
        <w:t>Suskya</w:t>
      </w:r>
      <w:proofErr w:type="spellEnd"/>
      <w:r w:rsidRPr="000F3E69">
        <w:rPr>
          <w:rFonts w:eastAsia="Cambria"/>
        </w:rPr>
        <w:t xml:space="preserve"> Goodall</w:t>
      </w:r>
      <w:r w:rsidR="00044482">
        <w:rPr>
          <w:rFonts w:eastAsia="Cambria"/>
        </w:rPr>
        <w:t xml:space="preserve">. </w:t>
      </w:r>
      <w:r w:rsidRPr="000F3E69">
        <w:rPr>
          <w:rFonts w:eastAsia="Cambria"/>
        </w:rPr>
        <w:t>2021</w:t>
      </w:r>
      <w:r w:rsidR="00044482">
        <w:rPr>
          <w:rFonts w:eastAsia="Cambria"/>
        </w:rPr>
        <w:t xml:space="preserve">. </w:t>
      </w:r>
      <w:r>
        <w:rPr>
          <w:rFonts w:eastAsia="Cambria"/>
        </w:rPr>
        <w:t>“</w:t>
      </w:r>
      <w:r w:rsidRPr="000F3E69">
        <w:rPr>
          <w:rFonts w:eastAsia="Cambria"/>
        </w:rPr>
        <w:t>Transforming the wellbeing focus in education: A document analysis of policy in Aotearoa New Zealand</w:t>
      </w:r>
      <w:r>
        <w:rPr>
          <w:rFonts w:eastAsia="Cambria"/>
        </w:rPr>
        <w:t xml:space="preserve">.” </w:t>
      </w:r>
      <w:r w:rsidRPr="00044482">
        <w:rPr>
          <w:rFonts w:eastAsia="Cambria"/>
          <w:i/>
          <w:iCs/>
        </w:rPr>
        <w:lastRenderedPageBreak/>
        <w:t>International Journal of Qualitative Studies on Health and Well-being</w:t>
      </w:r>
      <w:r>
        <w:rPr>
          <w:rFonts w:eastAsia="Cambria"/>
        </w:rPr>
        <w:t xml:space="preserve"> </w:t>
      </w:r>
      <w:r w:rsidRPr="000F3E69">
        <w:rPr>
          <w:rFonts w:eastAsia="Cambria"/>
        </w:rPr>
        <w:t>16,1:</w:t>
      </w:r>
      <w:r w:rsidR="00044482">
        <w:rPr>
          <w:rFonts w:eastAsia="Cambria"/>
        </w:rPr>
        <w:t xml:space="preserve"> </w:t>
      </w:r>
      <w:r w:rsidRPr="000F3E69">
        <w:rPr>
          <w:rFonts w:eastAsia="Cambria"/>
          <w:lang w:val="en-AU"/>
        </w:rPr>
        <w:t>1-14</w:t>
      </w:r>
      <w:r>
        <w:rPr>
          <w:rFonts w:eastAsia="Cambria"/>
          <w:lang w:val="en-AU"/>
        </w:rPr>
        <w:t xml:space="preserve">. </w:t>
      </w:r>
      <w:proofErr w:type="spellStart"/>
      <w:r>
        <w:rPr>
          <w:rFonts w:eastAsia="Cambria"/>
          <w:lang w:val="en-AU"/>
        </w:rPr>
        <w:t>doi</w:t>
      </w:r>
      <w:proofErr w:type="spellEnd"/>
      <w:r w:rsidRPr="000F3E69">
        <w:rPr>
          <w:rFonts w:eastAsia="Cambria"/>
        </w:rPr>
        <w:t>:</w:t>
      </w:r>
      <w:r w:rsidR="00044482">
        <w:rPr>
          <w:rFonts w:eastAsia="Cambria"/>
        </w:rPr>
        <w:t xml:space="preserve"> </w:t>
      </w:r>
      <w:hyperlink r:id="rId14" w:history="1">
        <w:r w:rsidRPr="000F3E69">
          <w:rPr>
            <w:rStyle w:val="Hyperlink"/>
            <w:rFonts w:eastAsia="Cambria"/>
          </w:rPr>
          <w:t>10.1080/17482631.2021.1879370</w:t>
        </w:r>
      </w:hyperlink>
    </w:p>
    <w:p w14:paraId="363B5827" w14:textId="30C4C1C4" w:rsidR="00AB3E7C" w:rsidRPr="00497807" w:rsidRDefault="00AB3E7C" w:rsidP="00AB3E7C">
      <w:pPr>
        <w:pStyle w:val="References"/>
        <w:rPr>
          <w:rFonts w:eastAsia="Cambria"/>
        </w:rPr>
      </w:pPr>
      <w:r>
        <w:rPr>
          <w:rFonts w:eastAsia="Cambria"/>
        </w:rPr>
        <w:t>Jackson, Moana</w:t>
      </w:r>
      <w:r w:rsidRPr="00497807">
        <w:rPr>
          <w:rFonts w:eastAsia="Cambria"/>
        </w:rPr>
        <w:t xml:space="preserve">. 1995. </w:t>
      </w:r>
      <w:r>
        <w:rPr>
          <w:rFonts w:eastAsia="Cambria"/>
        </w:rPr>
        <w:t>“</w:t>
      </w:r>
      <w:r w:rsidRPr="00497807">
        <w:rPr>
          <w:rFonts w:eastAsia="Cambria"/>
        </w:rPr>
        <w:t>Justice and Political Power: Reasserting Māori Legal Processes.</w:t>
      </w:r>
      <w:r>
        <w:rPr>
          <w:rFonts w:eastAsia="Cambria"/>
        </w:rPr>
        <w:t>”</w:t>
      </w:r>
      <w:r w:rsidRPr="00497807">
        <w:rPr>
          <w:rFonts w:eastAsia="Cambria"/>
        </w:rPr>
        <w:t xml:space="preserve"> In </w:t>
      </w:r>
      <w:r w:rsidRPr="00497807">
        <w:rPr>
          <w:rFonts w:eastAsia="Cambria"/>
          <w:i/>
        </w:rPr>
        <w:t>Legal Pluralism and the Colonial Legacy</w:t>
      </w:r>
      <w:r w:rsidRPr="00497807">
        <w:rPr>
          <w:rFonts w:eastAsia="Cambria"/>
        </w:rPr>
        <w:t>, ed</w:t>
      </w:r>
      <w:r>
        <w:rPr>
          <w:rFonts w:eastAsia="Cambria"/>
        </w:rPr>
        <w:t>ited by</w:t>
      </w:r>
      <w:r w:rsidRPr="00497807">
        <w:rPr>
          <w:rFonts w:eastAsia="Cambria"/>
        </w:rPr>
        <w:t xml:space="preserve"> Kayleen M. Hazlehurst, 243</w:t>
      </w:r>
      <w:r>
        <w:rPr>
          <w:rFonts w:eastAsia="Cambria"/>
        </w:rPr>
        <w:t>-</w:t>
      </w:r>
      <w:r w:rsidRPr="00497807">
        <w:rPr>
          <w:rFonts w:eastAsia="Cambria"/>
        </w:rPr>
        <w:t>263. Aldershot: Avebury.</w:t>
      </w:r>
    </w:p>
    <w:p w14:paraId="400021A1" w14:textId="77777777" w:rsidR="00497807" w:rsidRPr="00345A66" w:rsidRDefault="00497807" w:rsidP="001F4512">
      <w:pPr>
        <w:pStyle w:val="References"/>
        <w:rPr>
          <w:rFonts w:eastAsia="Cambria"/>
          <w:lang w:val="pt-BR"/>
        </w:rPr>
      </w:pPr>
      <w:r w:rsidRPr="00497807">
        <w:rPr>
          <w:rFonts w:eastAsia="Cambria"/>
        </w:rPr>
        <w:t xml:space="preserve">Jackson, Moana. 2017. </w:t>
      </w:r>
      <w:r w:rsidR="001F4512">
        <w:rPr>
          <w:rFonts w:eastAsia="Cambria"/>
        </w:rPr>
        <w:t>“</w:t>
      </w:r>
      <w:r w:rsidRPr="00497807">
        <w:rPr>
          <w:rFonts w:eastAsia="Cambria"/>
        </w:rPr>
        <w:t>Prison should never be the only answer.</w:t>
      </w:r>
      <w:r w:rsidR="001F4512">
        <w:rPr>
          <w:rFonts w:eastAsia="Cambria"/>
        </w:rPr>
        <w:t>”</w:t>
      </w:r>
      <w:r w:rsidRPr="00497807">
        <w:rPr>
          <w:rFonts w:eastAsia="Cambria"/>
        </w:rPr>
        <w:t xml:space="preserve"> </w:t>
      </w:r>
      <w:r w:rsidRPr="00345A66">
        <w:rPr>
          <w:rFonts w:eastAsia="Cambria"/>
          <w:iCs/>
          <w:lang w:val="pt-BR"/>
        </w:rPr>
        <w:t>E-</w:t>
      </w:r>
      <w:proofErr w:type="spellStart"/>
      <w:r w:rsidRPr="00345A66">
        <w:rPr>
          <w:rFonts w:eastAsia="Cambria"/>
          <w:iCs/>
          <w:lang w:val="pt-BR"/>
        </w:rPr>
        <w:t>Tangata</w:t>
      </w:r>
      <w:proofErr w:type="spellEnd"/>
      <w:r w:rsidR="001F4512" w:rsidRPr="00345A66">
        <w:rPr>
          <w:rFonts w:eastAsia="Cambria"/>
          <w:lang w:val="pt-BR"/>
        </w:rPr>
        <w:t xml:space="preserve">, </w:t>
      </w:r>
      <w:proofErr w:type="spellStart"/>
      <w:r w:rsidR="001F4512" w:rsidRPr="00345A66">
        <w:rPr>
          <w:rFonts w:eastAsia="Cambria"/>
          <w:lang w:val="pt-BR"/>
        </w:rPr>
        <w:t>October</w:t>
      </w:r>
      <w:proofErr w:type="spellEnd"/>
      <w:r w:rsidR="001F4512" w:rsidRPr="00345A66">
        <w:rPr>
          <w:rFonts w:eastAsia="Cambria"/>
          <w:lang w:val="pt-BR"/>
        </w:rPr>
        <w:t xml:space="preserve"> 14</w:t>
      </w:r>
      <w:r w:rsidRPr="00345A66">
        <w:rPr>
          <w:rFonts w:eastAsia="Cambria"/>
          <w:lang w:val="pt-BR"/>
        </w:rPr>
        <w:t>. https://e-tangata.co.nz/comment-and-analysis/moana-jackson-prison-should-never-be-the-only-answer/</w:t>
      </w:r>
    </w:p>
    <w:p w14:paraId="6E71FF8D" w14:textId="77777777" w:rsidR="00B5266F" w:rsidRPr="00B5266F" w:rsidRDefault="00497807" w:rsidP="00B5266F">
      <w:pPr>
        <w:pStyle w:val="References"/>
      </w:pPr>
      <w:r w:rsidRPr="00497807">
        <w:rPr>
          <w:rFonts w:eastAsia="Cambria"/>
        </w:rPr>
        <w:t xml:space="preserve">Martin, Carol. 2006. </w:t>
      </w:r>
      <w:r w:rsidR="00B5266F">
        <w:rPr>
          <w:rFonts w:eastAsia="Cambria"/>
        </w:rPr>
        <w:t>“</w:t>
      </w:r>
      <w:r w:rsidRPr="00497807">
        <w:rPr>
          <w:rFonts w:eastAsia="Cambria"/>
        </w:rPr>
        <w:t>Bodies of Evidence.</w:t>
      </w:r>
      <w:r w:rsidR="00B5266F">
        <w:rPr>
          <w:rFonts w:eastAsia="Cambria"/>
        </w:rPr>
        <w:t>”</w:t>
      </w:r>
      <w:r w:rsidRPr="00497807">
        <w:rPr>
          <w:rFonts w:eastAsia="Cambria"/>
        </w:rPr>
        <w:t xml:space="preserve"> </w:t>
      </w:r>
      <w:r w:rsidRPr="00497807">
        <w:rPr>
          <w:rFonts w:eastAsia="Cambria"/>
          <w:i/>
        </w:rPr>
        <w:t>The Drama Review</w:t>
      </w:r>
      <w:r w:rsidRPr="00497807">
        <w:rPr>
          <w:rFonts w:eastAsia="Cambria"/>
        </w:rPr>
        <w:t xml:space="preserve"> 50 (3): 8-15.</w:t>
      </w:r>
      <w:r w:rsidR="00B5266F">
        <w:rPr>
          <w:rFonts w:eastAsia="Cambria"/>
        </w:rPr>
        <w:t xml:space="preserve"> </w:t>
      </w:r>
      <w:proofErr w:type="spellStart"/>
      <w:r w:rsidR="00B5266F">
        <w:rPr>
          <w:rFonts w:eastAsia="Cambria"/>
        </w:rPr>
        <w:t>doi</w:t>
      </w:r>
      <w:proofErr w:type="spellEnd"/>
      <w:r w:rsidR="00B5266F">
        <w:rPr>
          <w:rFonts w:eastAsia="Cambria"/>
        </w:rPr>
        <w:t xml:space="preserve">: </w:t>
      </w:r>
      <w:r w:rsidR="00B5266F" w:rsidRPr="00B5266F">
        <w:t>https://doi.org/10.1162/dram.2006.50.3.8</w:t>
      </w:r>
    </w:p>
    <w:p w14:paraId="2665B43E" w14:textId="77777777" w:rsidR="00497807" w:rsidRPr="00497807" w:rsidRDefault="00497807" w:rsidP="00B5266F">
      <w:pPr>
        <w:pStyle w:val="References"/>
        <w:rPr>
          <w:rFonts w:eastAsia="Cambria"/>
        </w:rPr>
      </w:pPr>
      <w:r w:rsidRPr="00497807">
        <w:rPr>
          <w:rFonts w:eastAsia="Cambria"/>
        </w:rPr>
        <w:t xml:space="preserve">McIntosh, Tracey, and Kim Workman. 2017. </w:t>
      </w:r>
      <w:r w:rsidR="00B5266F">
        <w:rPr>
          <w:rFonts w:eastAsia="Cambria"/>
        </w:rPr>
        <w:t>“</w:t>
      </w:r>
      <w:r w:rsidRPr="00497807">
        <w:rPr>
          <w:rFonts w:eastAsia="Cambria"/>
        </w:rPr>
        <w:t>Māori and Prison.</w:t>
      </w:r>
      <w:r w:rsidR="00B5266F">
        <w:rPr>
          <w:rFonts w:eastAsia="Cambria"/>
        </w:rPr>
        <w:t>”</w:t>
      </w:r>
      <w:r w:rsidRPr="00497807">
        <w:rPr>
          <w:rFonts w:eastAsia="Cambria"/>
        </w:rPr>
        <w:t xml:space="preserve"> In </w:t>
      </w:r>
      <w:r w:rsidRPr="00497807">
        <w:rPr>
          <w:rFonts w:eastAsia="Cambria"/>
          <w:i/>
        </w:rPr>
        <w:t>Australian and New Zealand Handbook of Criminology, Crime and Justice</w:t>
      </w:r>
      <w:r w:rsidRPr="00497807">
        <w:rPr>
          <w:rFonts w:eastAsia="Cambria"/>
        </w:rPr>
        <w:t xml:space="preserve">, edited by Antje </w:t>
      </w:r>
      <w:proofErr w:type="spellStart"/>
      <w:r w:rsidRPr="00497807">
        <w:rPr>
          <w:rFonts w:eastAsia="Cambria"/>
        </w:rPr>
        <w:t>Deckert</w:t>
      </w:r>
      <w:proofErr w:type="spellEnd"/>
      <w:r w:rsidRPr="00497807">
        <w:rPr>
          <w:rFonts w:eastAsia="Cambria"/>
        </w:rPr>
        <w:t xml:space="preserve"> and Rick </w:t>
      </w:r>
      <w:proofErr w:type="spellStart"/>
      <w:r w:rsidRPr="00497807">
        <w:rPr>
          <w:rFonts w:eastAsia="Cambria"/>
        </w:rPr>
        <w:t>Sarre</w:t>
      </w:r>
      <w:proofErr w:type="spellEnd"/>
      <w:r w:rsidRPr="00497807">
        <w:rPr>
          <w:rFonts w:eastAsia="Cambria"/>
        </w:rPr>
        <w:t>, 725-35. Melbourne: Palgrave Macmillan.</w:t>
      </w:r>
    </w:p>
    <w:p w14:paraId="26C07748" w14:textId="6BB4FBBB" w:rsidR="00497807" w:rsidRPr="00497807" w:rsidRDefault="00497807" w:rsidP="00B5266F">
      <w:pPr>
        <w:pStyle w:val="References"/>
        <w:rPr>
          <w:rFonts w:eastAsia="Cambria"/>
        </w:rPr>
      </w:pPr>
      <w:proofErr w:type="spellStart"/>
      <w:r w:rsidRPr="00497807">
        <w:rPr>
          <w:rFonts w:eastAsia="Cambria"/>
        </w:rPr>
        <w:t>McKegney</w:t>
      </w:r>
      <w:proofErr w:type="spellEnd"/>
      <w:r w:rsidRPr="00497807">
        <w:rPr>
          <w:rFonts w:eastAsia="Cambria"/>
        </w:rPr>
        <w:t>, Sam. 2016. “</w:t>
      </w:r>
      <w:r w:rsidR="00345A66">
        <w:rPr>
          <w:rFonts w:eastAsia="Cambria"/>
        </w:rPr>
        <w:t>’</w:t>
      </w:r>
      <w:r w:rsidRPr="00497807">
        <w:rPr>
          <w:rFonts w:eastAsia="Cambria"/>
        </w:rPr>
        <w:t>Pain, Pleasure, Shame. Shame</w:t>
      </w:r>
      <w:r w:rsidR="00E51BE2">
        <w:rPr>
          <w:rFonts w:eastAsia="Cambria"/>
        </w:rPr>
        <w:t>’</w:t>
      </w:r>
      <w:r w:rsidRPr="00497807">
        <w:rPr>
          <w:rFonts w:eastAsia="Cambria"/>
        </w:rPr>
        <w:t>: Masculine Embodiment, Kinship, and Indigenous Reterritorialization</w:t>
      </w:r>
      <w:r w:rsidR="00E51BE2">
        <w:rPr>
          <w:rFonts w:eastAsia="Cambria"/>
        </w:rPr>
        <w:t>”</w:t>
      </w:r>
      <w:r w:rsidRPr="00497807">
        <w:rPr>
          <w:rFonts w:eastAsia="Cambria"/>
        </w:rPr>
        <w:t xml:space="preserve">. In </w:t>
      </w:r>
      <w:r w:rsidRPr="00497807">
        <w:rPr>
          <w:rFonts w:eastAsia="Cambria"/>
          <w:i/>
        </w:rPr>
        <w:t>Arts of engagement: Taking aesthetic action in and beyond the Truth and Reconciliation Commission of Canada</w:t>
      </w:r>
      <w:r w:rsidR="00B5266F">
        <w:rPr>
          <w:rFonts w:eastAsia="Cambria"/>
          <w:iCs/>
        </w:rPr>
        <w:t xml:space="preserve">, edited by </w:t>
      </w:r>
      <w:r w:rsidR="00B5266F" w:rsidRPr="00497807">
        <w:rPr>
          <w:rFonts w:eastAsia="Cambria"/>
        </w:rPr>
        <w:t>D</w:t>
      </w:r>
      <w:r w:rsidR="00B5266F">
        <w:rPr>
          <w:rFonts w:eastAsia="Cambria"/>
        </w:rPr>
        <w:t>ylan</w:t>
      </w:r>
      <w:r w:rsidR="00B5266F" w:rsidRPr="00497807">
        <w:rPr>
          <w:rFonts w:eastAsia="Cambria"/>
        </w:rPr>
        <w:t xml:space="preserve"> Robinson, </w:t>
      </w:r>
      <w:r w:rsidR="00B5266F">
        <w:rPr>
          <w:rFonts w:eastAsia="Cambria"/>
        </w:rPr>
        <w:t>and</w:t>
      </w:r>
      <w:r w:rsidR="00B5266F" w:rsidRPr="00497807">
        <w:rPr>
          <w:rFonts w:eastAsia="Cambria"/>
        </w:rPr>
        <w:t xml:space="preserve"> </w:t>
      </w:r>
      <w:r w:rsidR="00B5266F">
        <w:rPr>
          <w:rFonts w:eastAsia="Cambria"/>
        </w:rPr>
        <w:t>Keavy</w:t>
      </w:r>
      <w:r w:rsidR="00B5266F" w:rsidRPr="00497807">
        <w:rPr>
          <w:rFonts w:eastAsia="Cambria"/>
        </w:rPr>
        <w:t xml:space="preserve"> Martin</w:t>
      </w:r>
      <w:r w:rsidR="00545456">
        <w:rPr>
          <w:rFonts w:eastAsia="Cambria"/>
        </w:rPr>
        <w:t>, 193-214.</w:t>
      </w:r>
      <w:r w:rsidR="00B5266F">
        <w:rPr>
          <w:rFonts w:eastAsia="Cambria"/>
        </w:rPr>
        <w:t xml:space="preserve"> </w:t>
      </w:r>
      <w:r w:rsidRPr="00497807">
        <w:rPr>
          <w:rFonts w:eastAsia="Cambria"/>
        </w:rPr>
        <w:t>Waterloo: Wilfrid Laurier University Press.</w:t>
      </w:r>
    </w:p>
    <w:p w14:paraId="5168DCEA" w14:textId="7ECCA1B9" w:rsidR="008901D3" w:rsidRDefault="008901D3" w:rsidP="00230A5A">
      <w:pPr>
        <w:pStyle w:val="References"/>
      </w:pPr>
      <w:r>
        <w:t xml:space="preserve">McNeill, </w:t>
      </w:r>
      <w:proofErr w:type="spellStart"/>
      <w:r>
        <w:t>Hinematau</w:t>
      </w:r>
      <w:proofErr w:type="spellEnd"/>
      <w:r>
        <w:t xml:space="preserve">. 2009. “Māori Models of Mental Wellness.” </w:t>
      </w:r>
      <w:proofErr w:type="spellStart"/>
      <w:r w:rsidRPr="00230A5A">
        <w:rPr>
          <w:i/>
          <w:iCs/>
        </w:rPr>
        <w:t>Te</w:t>
      </w:r>
      <w:proofErr w:type="spellEnd"/>
      <w:r w:rsidRPr="00230A5A">
        <w:rPr>
          <w:i/>
          <w:iCs/>
        </w:rPr>
        <w:t xml:space="preserve"> </w:t>
      </w:r>
      <w:proofErr w:type="spellStart"/>
      <w:r w:rsidRPr="00230A5A">
        <w:rPr>
          <w:i/>
          <w:iCs/>
        </w:rPr>
        <w:t>Kaharoa</w:t>
      </w:r>
      <w:proofErr w:type="spellEnd"/>
      <w:r>
        <w:t xml:space="preserve"> 2 (1): 96-115. </w:t>
      </w:r>
      <w:proofErr w:type="spellStart"/>
      <w:r>
        <w:t>doi</w:t>
      </w:r>
      <w:proofErr w:type="spellEnd"/>
      <w:r w:rsidRPr="008901D3">
        <w:t>: https://doi.org/10.24135/tekaharoa.v2i1.127</w:t>
      </w:r>
    </w:p>
    <w:p w14:paraId="40ACC6F2" w14:textId="77777777" w:rsidR="00497807" w:rsidRPr="00497807" w:rsidRDefault="00497807" w:rsidP="00B5266F">
      <w:pPr>
        <w:pStyle w:val="References"/>
        <w:rPr>
          <w:rFonts w:eastAsia="Cambria"/>
        </w:rPr>
      </w:pPr>
      <w:proofErr w:type="spellStart"/>
      <w:r w:rsidRPr="00497807">
        <w:rPr>
          <w:rFonts w:eastAsia="Cambria"/>
        </w:rPr>
        <w:t>Metge</w:t>
      </w:r>
      <w:proofErr w:type="spellEnd"/>
      <w:r w:rsidRPr="00497807">
        <w:rPr>
          <w:rFonts w:eastAsia="Cambria"/>
        </w:rPr>
        <w:t>, J</w:t>
      </w:r>
      <w:r w:rsidR="00B5266F">
        <w:rPr>
          <w:rFonts w:eastAsia="Cambria"/>
        </w:rPr>
        <w:t>oan</w:t>
      </w:r>
      <w:r w:rsidRPr="00497807">
        <w:rPr>
          <w:rFonts w:eastAsia="Cambria"/>
        </w:rPr>
        <w:t>.</w:t>
      </w:r>
      <w:r w:rsidR="00B5266F">
        <w:rPr>
          <w:rFonts w:eastAsia="Cambria"/>
        </w:rPr>
        <w:t xml:space="preserve"> </w:t>
      </w:r>
      <w:r w:rsidRPr="00497807">
        <w:rPr>
          <w:rFonts w:eastAsia="Cambria"/>
        </w:rPr>
        <w:t>201</w:t>
      </w:r>
      <w:r w:rsidR="00B5266F">
        <w:rPr>
          <w:rFonts w:eastAsia="Cambria"/>
        </w:rPr>
        <w:t>0</w:t>
      </w:r>
      <w:r w:rsidRPr="00497807">
        <w:rPr>
          <w:rFonts w:eastAsia="Cambria"/>
        </w:rPr>
        <w:t xml:space="preserve">. </w:t>
      </w:r>
      <w:proofErr w:type="spellStart"/>
      <w:r w:rsidRPr="00345A66">
        <w:rPr>
          <w:rFonts w:eastAsia="Cambria"/>
          <w:i/>
          <w:iCs/>
        </w:rPr>
        <w:t>Tuamaka</w:t>
      </w:r>
      <w:proofErr w:type="spellEnd"/>
      <w:r w:rsidRPr="00345A66">
        <w:rPr>
          <w:rFonts w:eastAsia="Cambria"/>
          <w:i/>
          <w:iCs/>
        </w:rPr>
        <w:t>: The Challenge of Difference in Aotearoa New Zealand</w:t>
      </w:r>
      <w:r w:rsidRPr="00497807">
        <w:rPr>
          <w:rFonts w:eastAsia="Cambria"/>
        </w:rPr>
        <w:t>. Auckland: Auckland University Press.</w:t>
      </w:r>
    </w:p>
    <w:p w14:paraId="3F58F7D3" w14:textId="77777777" w:rsidR="00497807" w:rsidRPr="00B5266F" w:rsidRDefault="00497807" w:rsidP="00B5266F">
      <w:pPr>
        <w:pStyle w:val="References"/>
      </w:pPr>
      <w:r w:rsidRPr="00497807">
        <w:rPr>
          <w:rFonts w:eastAsia="Cambria"/>
        </w:rPr>
        <w:t xml:space="preserve">Nathan, </w:t>
      </w:r>
      <w:r w:rsidR="00B5266F">
        <w:rPr>
          <w:rFonts w:eastAsia="Cambria"/>
        </w:rPr>
        <w:t xml:space="preserve">Lavinia, Nick J. </w:t>
      </w:r>
      <w:r w:rsidRPr="00497807">
        <w:rPr>
          <w:rFonts w:eastAsia="Cambria"/>
        </w:rPr>
        <w:t xml:space="preserve">Wilson, </w:t>
      </w:r>
      <w:r w:rsidR="00B5266F">
        <w:rPr>
          <w:rFonts w:eastAsia="Cambria"/>
        </w:rPr>
        <w:t>and David Hillman.</w:t>
      </w:r>
      <w:r w:rsidRPr="00497807">
        <w:rPr>
          <w:rFonts w:eastAsia="Cambria"/>
        </w:rPr>
        <w:t xml:space="preserve"> 2003. </w:t>
      </w:r>
      <w:proofErr w:type="spellStart"/>
      <w:r w:rsidRPr="00497807">
        <w:rPr>
          <w:rFonts w:eastAsia="Cambria"/>
          <w:i/>
          <w:iCs/>
        </w:rPr>
        <w:t>Te</w:t>
      </w:r>
      <w:proofErr w:type="spellEnd"/>
      <w:r w:rsidRPr="00497807">
        <w:rPr>
          <w:rFonts w:eastAsia="Cambria"/>
          <w:i/>
          <w:iCs/>
        </w:rPr>
        <w:t xml:space="preserve"> </w:t>
      </w:r>
      <w:proofErr w:type="spellStart"/>
      <w:r w:rsidRPr="00497807">
        <w:rPr>
          <w:rFonts w:eastAsia="Cambria"/>
          <w:i/>
          <w:iCs/>
        </w:rPr>
        <w:t>Whakakotahitanga</w:t>
      </w:r>
      <w:proofErr w:type="spellEnd"/>
      <w:r w:rsidRPr="00497807">
        <w:rPr>
          <w:rFonts w:eastAsia="Cambria"/>
          <w:i/>
          <w:iCs/>
        </w:rPr>
        <w:t>: An evaluation of the Te Piriti Special Treatment Programme for child sex offenders</w:t>
      </w:r>
      <w:r w:rsidRPr="00497807">
        <w:rPr>
          <w:rFonts w:eastAsia="Cambria"/>
        </w:rPr>
        <w:t xml:space="preserve">. </w:t>
      </w:r>
      <w:r w:rsidR="00B5266F">
        <w:rPr>
          <w:rFonts w:eastAsia="Cambria"/>
        </w:rPr>
        <w:t>Ara Poutama Aotearoa</w:t>
      </w:r>
      <w:r w:rsidRPr="00497807">
        <w:rPr>
          <w:rFonts w:eastAsia="Cambria"/>
        </w:rPr>
        <w:t xml:space="preserve"> Department of Corrections.</w:t>
      </w:r>
      <w:r w:rsidR="00B5266F">
        <w:rPr>
          <w:rFonts w:eastAsia="Cambria"/>
        </w:rPr>
        <w:t xml:space="preserve"> </w:t>
      </w:r>
      <w:r w:rsidR="00B5266F" w:rsidRPr="00FF2BCE">
        <w:t>https://www.corrections.govt.nz/resources/research_and_statistics/te-whakakotahitanga-an-evaluation-of-the-te-piriti-special-treatment-programme</w:t>
      </w:r>
    </w:p>
    <w:p w14:paraId="72E0E86E" w14:textId="77777777" w:rsidR="00497807" w:rsidRPr="00FF2BCE" w:rsidRDefault="00497807" w:rsidP="00FF2BCE">
      <w:pPr>
        <w:pStyle w:val="References"/>
        <w:rPr>
          <w:rFonts w:eastAsia="Cambria"/>
        </w:rPr>
      </w:pPr>
      <w:r w:rsidRPr="00497807">
        <w:rPr>
          <w:rFonts w:eastAsia="Cambria"/>
        </w:rPr>
        <w:t xml:space="preserve">Royal, Charles. 2003. </w:t>
      </w:r>
      <w:r w:rsidRPr="00497807">
        <w:rPr>
          <w:rFonts w:eastAsia="Cambria"/>
          <w:i/>
          <w:iCs/>
        </w:rPr>
        <w:t xml:space="preserve">The Woven Universe: Selected Writings of Rev. </w:t>
      </w:r>
      <w:proofErr w:type="spellStart"/>
      <w:r w:rsidRPr="00497807">
        <w:rPr>
          <w:rFonts w:eastAsia="Cambria"/>
          <w:i/>
          <w:iCs/>
        </w:rPr>
        <w:t>Māori</w:t>
      </w:r>
      <w:proofErr w:type="spellEnd"/>
      <w:r w:rsidRPr="00497807">
        <w:rPr>
          <w:rFonts w:eastAsia="Cambria"/>
          <w:i/>
          <w:iCs/>
        </w:rPr>
        <w:t xml:space="preserve"> Marsden</w:t>
      </w:r>
      <w:r w:rsidRPr="00497807">
        <w:rPr>
          <w:rFonts w:eastAsia="Cambria"/>
        </w:rPr>
        <w:t xml:space="preserve">. Otaki: Estate of Rev. </w:t>
      </w:r>
      <w:proofErr w:type="spellStart"/>
      <w:r w:rsidRPr="00497807">
        <w:rPr>
          <w:rFonts w:eastAsia="Cambria"/>
        </w:rPr>
        <w:t>Māori</w:t>
      </w:r>
      <w:proofErr w:type="spellEnd"/>
      <w:r w:rsidRPr="00497807">
        <w:rPr>
          <w:rFonts w:eastAsia="Cambria"/>
        </w:rPr>
        <w:t xml:space="preserve"> Marsden.</w:t>
      </w:r>
    </w:p>
    <w:p w14:paraId="3941C61D" w14:textId="77777777" w:rsidR="00497807" w:rsidRPr="00FF2BCE" w:rsidRDefault="00497807" w:rsidP="00FF2BCE">
      <w:pPr>
        <w:pStyle w:val="References"/>
      </w:pPr>
      <w:proofErr w:type="spellStart"/>
      <w:r w:rsidRPr="00497807">
        <w:rPr>
          <w:rFonts w:eastAsia="Cambria"/>
        </w:rPr>
        <w:t>Salverson</w:t>
      </w:r>
      <w:proofErr w:type="spellEnd"/>
      <w:r w:rsidRPr="00497807">
        <w:rPr>
          <w:rFonts w:eastAsia="Cambria"/>
        </w:rPr>
        <w:t xml:space="preserve">, Julie. 1996. </w:t>
      </w:r>
      <w:r w:rsidR="00FF2BCE">
        <w:rPr>
          <w:rFonts w:eastAsia="Cambria"/>
        </w:rPr>
        <w:t>“</w:t>
      </w:r>
      <w:r w:rsidRPr="00497807">
        <w:rPr>
          <w:rFonts w:eastAsia="Cambria"/>
        </w:rPr>
        <w:t xml:space="preserve">Performing emergency: </w:t>
      </w:r>
      <w:r w:rsidR="00FF2BCE">
        <w:rPr>
          <w:rFonts w:eastAsia="Cambria"/>
        </w:rPr>
        <w:t>W</w:t>
      </w:r>
      <w:r w:rsidRPr="00497807">
        <w:rPr>
          <w:rFonts w:eastAsia="Cambria"/>
        </w:rPr>
        <w:t xml:space="preserve">itnessing, </w:t>
      </w:r>
      <w:r w:rsidR="00FF2BCE">
        <w:rPr>
          <w:rFonts w:eastAsia="Cambria"/>
        </w:rPr>
        <w:t>P</w:t>
      </w:r>
      <w:r w:rsidRPr="00497807">
        <w:rPr>
          <w:rFonts w:eastAsia="Cambria"/>
        </w:rPr>
        <w:t xml:space="preserve">opular </w:t>
      </w:r>
      <w:r w:rsidR="00FF2BCE">
        <w:rPr>
          <w:rFonts w:eastAsia="Cambria"/>
        </w:rPr>
        <w:t>T</w:t>
      </w:r>
      <w:r w:rsidRPr="00497807">
        <w:rPr>
          <w:rFonts w:eastAsia="Cambria"/>
        </w:rPr>
        <w:t xml:space="preserve">heatre, and the </w:t>
      </w:r>
      <w:r w:rsidR="00FF2BCE">
        <w:rPr>
          <w:rFonts w:eastAsia="Cambria"/>
        </w:rPr>
        <w:t>L</w:t>
      </w:r>
      <w:r w:rsidRPr="00497807">
        <w:rPr>
          <w:rFonts w:eastAsia="Cambria"/>
        </w:rPr>
        <w:t xml:space="preserve">ie of the </w:t>
      </w:r>
      <w:r w:rsidR="00FF2BCE">
        <w:rPr>
          <w:rFonts w:eastAsia="Cambria"/>
        </w:rPr>
        <w:t>L</w:t>
      </w:r>
      <w:r w:rsidRPr="00497807">
        <w:rPr>
          <w:rFonts w:eastAsia="Cambria"/>
        </w:rPr>
        <w:t xml:space="preserve">iteral. </w:t>
      </w:r>
      <w:r w:rsidRPr="00497807">
        <w:rPr>
          <w:rFonts w:eastAsia="Cambria"/>
          <w:i/>
        </w:rPr>
        <w:t xml:space="preserve">Theatre Topics </w:t>
      </w:r>
      <w:r w:rsidRPr="00FF2BCE">
        <w:rPr>
          <w:rFonts w:eastAsia="Cambria"/>
          <w:iCs/>
        </w:rPr>
        <w:t>6</w:t>
      </w:r>
      <w:r w:rsidR="00FF2BCE">
        <w:rPr>
          <w:rFonts w:eastAsia="Cambria"/>
          <w:i/>
        </w:rPr>
        <w:t xml:space="preserve"> </w:t>
      </w:r>
      <w:r w:rsidRPr="00497807">
        <w:rPr>
          <w:rFonts w:eastAsia="Cambria"/>
        </w:rPr>
        <w:t>(2)</w:t>
      </w:r>
      <w:r w:rsidR="00FF2BCE">
        <w:rPr>
          <w:rFonts w:eastAsia="Cambria"/>
        </w:rPr>
        <w:t>:</w:t>
      </w:r>
      <w:r w:rsidRPr="00497807">
        <w:rPr>
          <w:rFonts w:eastAsia="Cambria"/>
        </w:rPr>
        <w:t xml:space="preserve"> 181-191. </w:t>
      </w:r>
      <w:proofErr w:type="spellStart"/>
      <w:r w:rsidR="00FF2BCE">
        <w:rPr>
          <w:rFonts w:eastAsia="Cambria"/>
        </w:rPr>
        <w:t>doi</w:t>
      </w:r>
      <w:proofErr w:type="spellEnd"/>
      <w:r w:rsidR="00FF2BCE">
        <w:rPr>
          <w:rFonts w:eastAsia="Cambria"/>
        </w:rPr>
        <w:t xml:space="preserve">: </w:t>
      </w:r>
      <w:r w:rsidR="00FF2BCE" w:rsidRPr="00FF2BCE">
        <w:t>10.1353/tt.1997.0012</w:t>
      </w:r>
    </w:p>
    <w:p w14:paraId="2B5A0DA5" w14:textId="77777777" w:rsidR="00497807" w:rsidRPr="00497807" w:rsidRDefault="00497807" w:rsidP="00FF2BCE">
      <w:pPr>
        <w:pStyle w:val="References"/>
        <w:rPr>
          <w:rFonts w:eastAsia="Cambria"/>
        </w:rPr>
      </w:pPr>
      <w:r w:rsidRPr="00497807">
        <w:rPr>
          <w:rFonts w:eastAsia="Cambria"/>
        </w:rPr>
        <w:t xml:space="preserve">Sherwood, Sam, and </w:t>
      </w:r>
      <w:r w:rsidR="00FF2BCE">
        <w:rPr>
          <w:rFonts w:eastAsia="Cambria"/>
        </w:rPr>
        <w:t xml:space="preserve">Hamish </w:t>
      </w:r>
      <w:r w:rsidRPr="00497807">
        <w:rPr>
          <w:rFonts w:eastAsia="Cambria"/>
        </w:rPr>
        <w:t xml:space="preserve">McNeilly. 2019. </w:t>
      </w:r>
      <w:r w:rsidR="00FF2BCE">
        <w:rPr>
          <w:rFonts w:eastAsia="Cambria"/>
        </w:rPr>
        <w:t>“</w:t>
      </w:r>
      <w:r w:rsidRPr="00497807">
        <w:rPr>
          <w:rFonts w:eastAsia="Cambria"/>
        </w:rPr>
        <w:t>Transgender prisoner investigated for sexual assault behind bars</w:t>
      </w:r>
      <w:r w:rsidR="00FF2BCE">
        <w:rPr>
          <w:rFonts w:eastAsia="Cambria"/>
        </w:rPr>
        <w:t>.”</w:t>
      </w:r>
      <w:r w:rsidRPr="00497807">
        <w:rPr>
          <w:rFonts w:eastAsia="Cambria"/>
        </w:rPr>
        <w:t xml:space="preserve"> </w:t>
      </w:r>
      <w:r w:rsidRPr="00044482">
        <w:rPr>
          <w:rFonts w:eastAsia="Cambria"/>
          <w:i/>
        </w:rPr>
        <w:t>Stuff NZ</w:t>
      </w:r>
      <w:r w:rsidR="00FF2BCE">
        <w:rPr>
          <w:rFonts w:eastAsia="Cambria"/>
        </w:rPr>
        <w:t>, May 10</w:t>
      </w:r>
      <w:r w:rsidRPr="00497807">
        <w:rPr>
          <w:rFonts w:eastAsia="Cambria"/>
        </w:rPr>
        <w:t xml:space="preserve">. </w:t>
      </w:r>
      <w:r w:rsidRPr="00FF2BCE">
        <w:rPr>
          <w:rFonts w:eastAsia="Cambria"/>
        </w:rPr>
        <w:lastRenderedPageBreak/>
        <w:t>https://www.stuff.co.nz/national/crime/112432880/transgender-prisoner-investigated-for-sexual-assault-behind-bars</w:t>
      </w:r>
    </w:p>
    <w:p w14:paraId="38CA34E1" w14:textId="77777777" w:rsidR="00497807" w:rsidRPr="00497807" w:rsidRDefault="00497807" w:rsidP="00FF2BCE">
      <w:pPr>
        <w:pStyle w:val="References"/>
        <w:rPr>
          <w:rFonts w:eastAsia="Cambria"/>
        </w:rPr>
      </w:pPr>
      <w:proofErr w:type="spellStart"/>
      <w:r w:rsidRPr="00497807">
        <w:rPr>
          <w:rFonts w:eastAsia="Cambria"/>
        </w:rPr>
        <w:t>Simic</w:t>
      </w:r>
      <w:proofErr w:type="spellEnd"/>
      <w:r w:rsidRPr="00497807">
        <w:rPr>
          <w:rFonts w:eastAsia="Cambria"/>
        </w:rPr>
        <w:t>, O</w:t>
      </w:r>
      <w:r w:rsidR="00FF2BCE">
        <w:rPr>
          <w:rFonts w:eastAsia="Cambria"/>
        </w:rPr>
        <w:t>livera</w:t>
      </w:r>
      <w:r w:rsidRPr="00497807">
        <w:rPr>
          <w:rFonts w:eastAsia="Cambria"/>
        </w:rPr>
        <w:t>. 2016</w:t>
      </w:r>
      <w:r w:rsidR="00FF2BCE">
        <w:rPr>
          <w:rFonts w:eastAsia="Cambria"/>
        </w:rPr>
        <w:t>.</w:t>
      </w:r>
      <w:r w:rsidRPr="00497807">
        <w:rPr>
          <w:rFonts w:eastAsia="Cambria"/>
        </w:rPr>
        <w:t xml:space="preserve"> </w:t>
      </w:r>
      <w:r w:rsidR="00FF2BCE">
        <w:rPr>
          <w:rFonts w:eastAsia="Cambria"/>
        </w:rPr>
        <w:t>“</w:t>
      </w:r>
      <w:r w:rsidR="001A1069">
        <w:rPr>
          <w:rFonts w:eastAsia="Cambria"/>
        </w:rPr>
        <w:t>’</w:t>
      </w:r>
      <w:r w:rsidRPr="00497807">
        <w:rPr>
          <w:rFonts w:eastAsia="Cambria"/>
        </w:rPr>
        <w:t>They Say That Justice Takes Time</w:t>
      </w:r>
      <w:r w:rsidR="00FF2BCE">
        <w:rPr>
          <w:rFonts w:eastAsia="Cambria"/>
        </w:rPr>
        <w:t>’</w:t>
      </w:r>
      <w:r w:rsidRPr="00497807">
        <w:rPr>
          <w:rFonts w:eastAsia="Cambria"/>
        </w:rPr>
        <w:t>: Taking Stock of Truth Seeking in Peru, Argentina and Serbia</w:t>
      </w:r>
      <w:r w:rsidR="00FF2BCE">
        <w:rPr>
          <w:rFonts w:eastAsia="Cambria"/>
        </w:rPr>
        <w:t>.”</w:t>
      </w:r>
      <w:r w:rsidRPr="00497807">
        <w:rPr>
          <w:rFonts w:eastAsia="Cambria"/>
        </w:rPr>
        <w:t xml:space="preserve"> </w:t>
      </w:r>
      <w:r w:rsidRPr="00497807">
        <w:rPr>
          <w:rFonts w:eastAsia="Cambria"/>
          <w:i/>
          <w:iCs/>
        </w:rPr>
        <w:t>Australian Feminist Law Journal</w:t>
      </w:r>
      <w:r w:rsidR="00FF2BCE">
        <w:rPr>
          <w:rFonts w:eastAsia="Cambria"/>
        </w:rPr>
        <w:t xml:space="preserve"> </w:t>
      </w:r>
      <w:r w:rsidRPr="00497807">
        <w:rPr>
          <w:rFonts w:eastAsia="Cambria"/>
        </w:rPr>
        <w:t>42</w:t>
      </w:r>
      <w:r w:rsidR="00FF2BCE">
        <w:rPr>
          <w:rFonts w:eastAsia="Cambria"/>
        </w:rPr>
        <w:t xml:space="preserve"> (1): </w:t>
      </w:r>
      <w:r w:rsidRPr="00497807">
        <w:rPr>
          <w:rFonts w:eastAsia="Cambria"/>
        </w:rPr>
        <w:t>137-161</w:t>
      </w:r>
      <w:r w:rsidR="00FF2BCE">
        <w:rPr>
          <w:rFonts w:eastAsia="Cambria"/>
        </w:rPr>
        <w:t xml:space="preserve">. </w:t>
      </w:r>
      <w:proofErr w:type="spellStart"/>
      <w:r w:rsidR="00FF2BCE">
        <w:rPr>
          <w:rFonts w:eastAsia="Cambria"/>
        </w:rPr>
        <w:t>doi</w:t>
      </w:r>
      <w:proofErr w:type="spellEnd"/>
      <w:r w:rsidRPr="00497807">
        <w:rPr>
          <w:rFonts w:eastAsia="Cambria"/>
        </w:rPr>
        <w:t>: 10.1080/13200968.2016.1185813</w:t>
      </w:r>
    </w:p>
    <w:p w14:paraId="405B6F95" w14:textId="47A975FB" w:rsidR="00497807" w:rsidRPr="00497807" w:rsidRDefault="00497807" w:rsidP="00FF2BCE">
      <w:pPr>
        <w:pStyle w:val="References"/>
        <w:rPr>
          <w:rFonts w:eastAsia="Cambria"/>
        </w:rPr>
      </w:pPr>
      <w:r w:rsidRPr="00497807">
        <w:rPr>
          <w:rFonts w:eastAsia="Cambria"/>
        </w:rPr>
        <w:t>Smith, Linda Tuhiwai</w:t>
      </w:r>
      <w:r w:rsidR="00FF2BCE">
        <w:rPr>
          <w:rFonts w:eastAsia="Cambria"/>
        </w:rPr>
        <w:t xml:space="preserve">. </w:t>
      </w:r>
      <w:r w:rsidRPr="00497807">
        <w:rPr>
          <w:rFonts w:eastAsia="Cambria"/>
        </w:rPr>
        <w:t xml:space="preserve">2008. </w:t>
      </w:r>
      <w:r w:rsidR="00FF2BCE">
        <w:rPr>
          <w:rFonts w:eastAsia="Cambria"/>
        </w:rPr>
        <w:t>“</w:t>
      </w:r>
      <w:r w:rsidRPr="00497807">
        <w:rPr>
          <w:rFonts w:eastAsia="Cambria"/>
        </w:rPr>
        <w:t>On Tricky Ground: Researching the Native in the Age of Uncertainty</w:t>
      </w:r>
      <w:r w:rsidR="00FF2BCE">
        <w:rPr>
          <w:rFonts w:eastAsia="Cambria"/>
        </w:rPr>
        <w:t>.”</w:t>
      </w:r>
      <w:r w:rsidRPr="00497807">
        <w:rPr>
          <w:rFonts w:eastAsia="Cambria"/>
        </w:rPr>
        <w:t xml:space="preserve"> </w:t>
      </w:r>
      <w:r w:rsidR="00FF2BCE">
        <w:rPr>
          <w:rFonts w:eastAsia="Cambria"/>
        </w:rPr>
        <w:t>I</w:t>
      </w:r>
      <w:r w:rsidRPr="00497807">
        <w:rPr>
          <w:rFonts w:eastAsia="Cambria"/>
        </w:rPr>
        <w:t xml:space="preserve">n </w:t>
      </w:r>
      <w:r w:rsidRPr="00497807">
        <w:rPr>
          <w:rFonts w:eastAsia="Cambria"/>
          <w:i/>
        </w:rPr>
        <w:t>The Landscape of Qualitative Research</w:t>
      </w:r>
      <w:r w:rsidRPr="00497807">
        <w:rPr>
          <w:rFonts w:eastAsia="Cambria"/>
        </w:rPr>
        <w:t xml:space="preserve">, </w:t>
      </w:r>
      <w:r w:rsidR="00FF2BCE">
        <w:rPr>
          <w:rFonts w:eastAsia="Cambria"/>
        </w:rPr>
        <w:t xml:space="preserve">edited by </w:t>
      </w:r>
      <w:r w:rsidR="00FF2BCE" w:rsidRPr="00497807">
        <w:rPr>
          <w:rFonts w:eastAsia="Cambria"/>
        </w:rPr>
        <w:t xml:space="preserve">Norman K. Denzin and </w:t>
      </w:r>
      <w:proofErr w:type="spellStart"/>
      <w:r w:rsidR="00FF2BCE" w:rsidRPr="00497807">
        <w:rPr>
          <w:rFonts w:eastAsia="Cambria"/>
        </w:rPr>
        <w:t>Yvonna</w:t>
      </w:r>
      <w:proofErr w:type="spellEnd"/>
      <w:r w:rsidR="00FF2BCE" w:rsidRPr="00497807">
        <w:rPr>
          <w:rFonts w:eastAsia="Cambria"/>
        </w:rPr>
        <w:t xml:space="preserve"> S</w:t>
      </w:r>
      <w:r w:rsidR="00E51BE2">
        <w:rPr>
          <w:rFonts w:eastAsia="Cambria"/>
        </w:rPr>
        <w:t>.</w:t>
      </w:r>
      <w:r w:rsidR="00FF2BCE" w:rsidRPr="00497807">
        <w:rPr>
          <w:rFonts w:eastAsia="Cambria"/>
        </w:rPr>
        <w:t xml:space="preserve"> </w:t>
      </w:r>
      <w:r w:rsidR="00FF2BCE">
        <w:rPr>
          <w:rFonts w:eastAsia="Cambria"/>
        </w:rPr>
        <w:t>Lincoln, 133-143. Thousand Oaks</w:t>
      </w:r>
      <w:r w:rsidRPr="00497807">
        <w:rPr>
          <w:rFonts w:eastAsia="Cambria"/>
        </w:rPr>
        <w:t xml:space="preserve">: Sage. </w:t>
      </w:r>
    </w:p>
    <w:p w14:paraId="0ADD0AD4" w14:textId="77777777" w:rsidR="00497807" w:rsidRPr="00497807" w:rsidRDefault="00497807" w:rsidP="000802D1">
      <w:pPr>
        <w:pStyle w:val="References"/>
        <w:rPr>
          <w:rFonts w:eastAsia="Cambria"/>
        </w:rPr>
      </w:pPr>
      <w:proofErr w:type="spellStart"/>
      <w:r w:rsidRPr="00497807">
        <w:rPr>
          <w:rFonts w:eastAsia="Cambria"/>
        </w:rPr>
        <w:t>Thakker</w:t>
      </w:r>
      <w:proofErr w:type="spellEnd"/>
      <w:r w:rsidRPr="00497807">
        <w:rPr>
          <w:rFonts w:eastAsia="Cambria"/>
        </w:rPr>
        <w:t>, J</w:t>
      </w:r>
      <w:r w:rsidR="000802D1">
        <w:rPr>
          <w:rFonts w:eastAsia="Cambria"/>
        </w:rPr>
        <w:t>o</w:t>
      </w:r>
      <w:r w:rsidRPr="00497807">
        <w:rPr>
          <w:rFonts w:eastAsia="Cambria"/>
        </w:rPr>
        <w:t xml:space="preserve">. 2013. </w:t>
      </w:r>
      <w:r w:rsidR="000802D1">
        <w:rPr>
          <w:rFonts w:eastAsia="Cambria"/>
        </w:rPr>
        <w:t>“</w:t>
      </w:r>
      <w:r w:rsidRPr="00497807">
        <w:rPr>
          <w:rFonts w:eastAsia="Cambria"/>
        </w:rPr>
        <w:t xml:space="preserve">The </w:t>
      </w:r>
      <w:r w:rsidR="000802D1">
        <w:rPr>
          <w:rFonts w:eastAsia="Cambria"/>
        </w:rPr>
        <w:t>R</w:t>
      </w:r>
      <w:r w:rsidRPr="00497807">
        <w:rPr>
          <w:rFonts w:eastAsia="Cambria"/>
        </w:rPr>
        <w:t xml:space="preserve">ole of </w:t>
      </w:r>
      <w:r w:rsidR="000802D1">
        <w:rPr>
          <w:rFonts w:eastAsia="Cambria"/>
        </w:rPr>
        <w:t>C</w:t>
      </w:r>
      <w:r w:rsidRPr="00497807">
        <w:rPr>
          <w:rFonts w:eastAsia="Cambria"/>
        </w:rPr>
        <w:t xml:space="preserve">ultural </w:t>
      </w:r>
      <w:r w:rsidR="000802D1">
        <w:rPr>
          <w:rFonts w:eastAsia="Cambria"/>
        </w:rPr>
        <w:t>F</w:t>
      </w:r>
      <w:r w:rsidRPr="00497807">
        <w:rPr>
          <w:rFonts w:eastAsia="Cambria"/>
        </w:rPr>
        <w:t xml:space="preserve">actors in </w:t>
      </w:r>
      <w:r w:rsidR="000802D1">
        <w:rPr>
          <w:rFonts w:eastAsia="Cambria"/>
        </w:rPr>
        <w:t>T</w:t>
      </w:r>
      <w:r w:rsidRPr="00497807">
        <w:rPr>
          <w:rFonts w:eastAsia="Cambria"/>
        </w:rPr>
        <w:t>reatment.</w:t>
      </w:r>
      <w:r w:rsidR="000802D1">
        <w:rPr>
          <w:rFonts w:eastAsia="Cambria"/>
        </w:rPr>
        <w:t>”</w:t>
      </w:r>
      <w:r w:rsidRPr="00497807">
        <w:rPr>
          <w:rFonts w:eastAsia="Cambria"/>
        </w:rPr>
        <w:t xml:space="preserve"> </w:t>
      </w:r>
      <w:r w:rsidR="000802D1">
        <w:rPr>
          <w:rFonts w:eastAsia="Cambria"/>
        </w:rPr>
        <w:t xml:space="preserve">In </w:t>
      </w:r>
      <w:r w:rsidR="000802D1" w:rsidRPr="000802D1">
        <w:rPr>
          <w:rFonts w:eastAsia="Cambria"/>
          <w:i/>
          <w:iCs/>
        </w:rPr>
        <w:t>What Works in Offender Rehabilitation: An Evidence–Based Approach to Assessment and Treatment</w:t>
      </w:r>
      <w:r w:rsidR="000802D1" w:rsidRPr="00497807">
        <w:rPr>
          <w:rFonts w:eastAsia="Cambria"/>
        </w:rPr>
        <w:t xml:space="preserve"> (Part V)</w:t>
      </w:r>
      <w:r w:rsidR="000802D1">
        <w:rPr>
          <w:rFonts w:eastAsia="Cambria"/>
        </w:rPr>
        <w:t xml:space="preserve">, edited by Leam A. </w:t>
      </w:r>
      <w:r w:rsidRPr="00497807">
        <w:rPr>
          <w:rFonts w:eastAsia="Cambria"/>
        </w:rPr>
        <w:t xml:space="preserve">Craig, LA, </w:t>
      </w:r>
      <w:r w:rsidR="000802D1">
        <w:rPr>
          <w:rFonts w:eastAsia="Cambria"/>
        </w:rPr>
        <w:t xml:space="preserve">Louise </w:t>
      </w:r>
      <w:r w:rsidRPr="00497807">
        <w:rPr>
          <w:rFonts w:eastAsia="Cambria"/>
        </w:rPr>
        <w:t xml:space="preserve">Dixon, </w:t>
      </w:r>
      <w:r w:rsidR="000802D1">
        <w:rPr>
          <w:rFonts w:eastAsia="Cambria"/>
        </w:rPr>
        <w:t>and Theresa A. Gannon</w:t>
      </w:r>
      <w:r w:rsidRPr="00497807">
        <w:rPr>
          <w:rFonts w:eastAsia="Cambria"/>
        </w:rPr>
        <w:t>, 389-407.</w:t>
      </w:r>
      <w:r w:rsidR="000802D1">
        <w:rPr>
          <w:rFonts w:eastAsia="Cambria"/>
        </w:rPr>
        <w:t xml:space="preserve"> Chichester: John Wiley and Sons, Ltd.</w:t>
      </w:r>
    </w:p>
    <w:p w14:paraId="5CF51745" w14:textId="7479E85C" w:rsidR="00C66463" w:rsidRPr="00C66463" w:rsidRDefault="00C66463" w:rsidP="00C66463">
      <w:pPr>
        <w:spacing w:line="360" w:lineRule="auto"/>
        <w:ind w:left="720" w:hanging="720"/>
      </w:pPr>
      <w:r w:rsidRPr="00C66463">
        <w:rPr>
          <w:color w:val="000000"/>
        </w:rPr>
        <w:t xml:space="preserve">Toki, </w:t>
      </w:r>
      <w:proofErr w:type="spellStart"/>
      <w:r w:rsidRPr="00C66463">
        <w:rPr>
          <w:color w:val="000000"/>
        </w:rPr>
        <w:t>V</w:t>
      </w:r>
      <w:r w:rsidR="00F1731C">
        <w:rPr>
          <w:color w:val="000000"/>
        </w:rPr>
        <w:t>almaine</w:t>
      </w:r>
      <w:proofErr w:type="spellEnd"/>
      <w:r w:rsidRPr="00C66463">
        <w:rPr>
          <w:color w:val="000000"/>
        </w:rPr>
        <w:t xml:space="preserve">. (2018). </w:t>
      </w:r>
      <w:r w:rsidRPr="00345A66">
        <w:rPr>
          <w:i/>
          <w:iCs/>
          <w:color w:val="000000"/>
        </w:rPr>
        <w:t>Indigenous Courts, Self-Determination and Criminal Justice</w:t>
      </w:r>
      <w:r w:rsidRPr="00C66463">
        <w:rPr>
          <w:color w:val="000000"/>
        </w:rPr>
        <w:t>. London: Routledge</w:t>
      </w:r>
      <w:r w:rsidR="00F66CEE">
        <w:rPr>
          <w:color w:val="000000"/>
        </w:rPr>
        <w:t>.</w:t>
      </w:r>
    </w:p>
    <w:p w14:paraId="418A8B02" w14:textId="77777777" w:rsidR="00497807" w:rsidRPr="00497807" w:rsidRDefault="00497807" w:rsidP="000802D1">
      <w:pPr>
        <w:pStyle w:val="References"/>
        <w:rPr>
          <w:rFonts w:eastAsia="Cambria"/>
        </w:rPr>
      </w:pPr>
      <w:r w:rsidRPr="00497807">
        <w:rPr>
          <w:rFonts w:eastAsia="Cambria"/>
        </w:rPr>
        <w:t xml:space="preserve">Tomlins-Jahnke, Huia, and Malcolm Mulholland. 2011. </w:t>
      </w:r>
      <w:r w:rsidRPr="00497807">
        <w:rPr>
          <w:rFonts w:eastAsia="Cambria"/>
          <w:i/>
          <w:iCs/>
        </w:rPr>
        <w:t>Mana Tangata: Politics of Empowerment</w:t>
      </w:r>
      <w:r w:rsidRPr="00497807">
        <w:rPr>
          <w:rFonts w:eastAsia="Cambria"/>
        </w:rPr>
        <w:t>. Wellington: Huia.</w:t>
      </w:r>
    </w:p>
    <w:p w14:paraId="7B039680" w14:textId="540A51D2" w:rsidR="00C40C43" w:rsidRPr="000802D1" w:rsidRDefault="00C40C43" w:rsidP="000802D1">
      <w:pPr>
        <w:pStyle w:val="References"/>
      </w:pPr>
      <w:r w:rsidRPr="000802D1">
        <w:t>U</w:t>
      </w:r>
      <w:r w:rsidR="00AB3E7C">
        <w:t xml:space="preserve">nited </w:t>
      </w:r>
      <w:r w:rsidRPr="000802D1">
        <w:t>N</w:t>
      </w:r>
      <w:r w:rsidR="00AB3E7C">
        <w:t>ations</w:t>
      </w:r>
      <w:r w:rsidRPr="000802D1">
        <w:t xml:space="preserve"> General Assembly. 1948. Universal </w:t>
      </w:r>
      <w:r w:rsidR="000802D1" w:rsidRPr="000802D1">
        <w:t>D</w:t>
      </w:r>
      <w:r w:rsidRPr="000802D1">
        <w:t xml:space="preserve">eclaration of </w:t>
      </w:r>
      <w:r w:rsidR="000802D1" w:rsidRPr="000802D1">
        <w:t>H</w:t>
      </w:r>
      <w:r w:rsidRPr="000802D1">
        <w:t xml:space="preserve">uman </w:t>
      </w:r>
      <w:r w:rsidR="000802D1" w:rsidRPr="000802D1">
        <w:t>R</w:t>
      </w:r>
      <w:r w:rsidRPr="000802D1">
        <w:t>ights. Paris: United</w:t>
      </w:r>
      <w:r w:rsidR="000802D1">
        <w:t xml:space="preserve"> </w:t>
      </w:r>
      <w:r w:rsidRPr="000802D1">
        <w:t>Nations. http://www.un.org/en/universal-declaration-humanrights/</w:t>
      </w:r>
    </w:p>
    <w:p w14:paraId="53B1B757" w14:textId="53A670D9" w:rsidR="00497807" w:rsidRPr="000802D1" w:rsidRDefault="00C40C43" w:rsidP="000802D1">
      <w:pPr>
        <w:pStyle w:val="References"/>
      </w:pPr>
      <w:r w:rsidRPr="000802D1">
        <w:t>U</w:t>
      </w:r>
      <w:r w:rsidR="00AB3E7C">
        <w:t xml:space="preserve">nited </w:t>
      </w:r>
      <w:r w:rsidRPr="000802D1">
        <w:t>N</w:t>
      </w:r>
      <w:r w:rsidR="00AB3E7C">
        <w:t>ations</w:t>
      </w:r>
      <w:r w:rsidRPr="000802D1">
        <w:t xml:space="preserve"> General Assembly. 2007. United Nations Declaration on the Rights of Indigenous</w:t>
      </w:r>
      <w:r w:rsidR="000802D1">
        <w:t xml:space="preserve"> </w:t>
      </w:r>
      <w:r w:rsidRPr="000802D1">
        <w:t>Peoples. New York: United Nations.</w:t>
      </w:r>
      <w:r w:rsidR="000802D1">
        <w:t xml:space="preserve"> </w:t>
      </w:r>
      <w:r w:rsidRPr="000802D1">
        <w:t>https://www.un.org/development/desa/indigenouspeoples/declaration-onthe</w:t>
      </w:r>
      <w:r w:rsidR="000802D1">
        <w:t>-</w:t>
      </w:r>
      <w:r w:rsidRPr="000802D1">
        <w:t>rights-of-indigenous-peoples.html</w:t>
      </w:r>
    </w:p>
    <w:p w14:paraId="69F9477A" w14:textId="3890292F" w:rsidR="00230A5A" w:rsidRPr="00044482" w:rsidRDefault="00230A5A" w:rsidP="00044482">
      <w:pPr>
        <w:spacing w:line="360" w:lineRule="auto"/>
        <w:ind w:left="720" w:hanging="720"/>
        <w:rPr>
          <w:color w:val="222222"/>
          <w:shd w:val="clear" w:color="auto" w:fill="FFFFFF"/>
        </w:rPr>
      </w:pPr>
      <w:r w:rsidRPr="00044482">
        <w:rPr>
          <w:color w:val="222222"/>
          <w:shd w:val="clear" w:color="auto" w:fill="FFFFFF"/>
        </w:rPr>
        <w:t>Vachon, W</w:t>
      </w:r>
      <w:r>
        <w:rPr>
          <w:color w:val="222222"/>
          <w:shd w:val="clear" w:color="auto" w:fill="FFFFFF"/>
        </w:rPr>
        <w:t>olfgang</w:t>
      </w:r>
      <w:r w:rsidRPr="00044482">
        <w:rPr>
          <w:color w:val="222222"/>
          <w:shd w:val="clear" w:color="auto" w:fill="FFFFFF"/>
        </w:rPr>
        <w:t xml:space="preserve">, &amp; </w:t>
      </w:r>
      <w:r>
        <w:rPr>
          <w:color w:val="222222"/>
          <w:shd w:val="clear" w:color="auto" w:fill="FFFFFF"/>
        </w:rPr>
        <w:t xml:space="preserve">Sarah </w:t>
      </w:r>
      <w:r w:rsidRPr="00044482">
        <w:rPr>
          <w:color w:val="222222"/>
          <w:shd w:val="clear" w:color="auto" w:fill="FFFFFF"/>
        </w:rPr>
        <w:t>Woodland</w:t>
      </w:r>
      <w:r>
        <w:rPr>
          <w:color w:val="222222"/>
          <w:shd w:val="clear" w:color="auto" w:fill="FFFFFF"/>
        </w:rPr>
        <w:t xml:space="preserve">. </w:t>
      </w:r>
      <w:r w:rsidRPr="00044482">
        <w:rPr>
          <w:color w:val="222222"/>
          <w:shd w:val="clear" w:color="auto" w:fill="FFFFFF"/>
        </w:rPr>
        <w:t>2021</w:t>
      </w:r>
      <w:r>
        <w:rPr>
          <w:color w:val="222222"/>
          <w:shd w:val="clear" w:color="auto" w:fill="FFFFFF"/>
        </w:rPr>
        <w:t>.</w:t>
      </w:r>
      <w:r w:rsidRPr="00044482">
        <w:rPr>
          <w:color w:val="222222"/>
          <w:shd w:val="clear" w:color="auto" w:fill="FFFFFF"/>
        </w:rPr>
        <w:t xml:space="preserve"> </w:t>
      </w:r>
      <w:r>
        <w:rPr>
          <w:color w:val="222222"/>
          <w:shd w:val="clear" w:color="auto" w:fill="FFFFFF"/>
        </w:rPr>
        <w:t>“</w:t>
      </w:r>
      <w:r w:rsidRPr="00044482">
        <w:rPr>
          <w:color w:val="222222"/>
          <w:shd w:val="clear" w:color="auto" w:fill="FFFFFF"/>
        </w:rPr>
        <w:t xml:space="preserve">Finding </w:t>
      </w:r>
      <w:r>
        <w:rPr>
          <w:color w:val="222222"/>
          <w:shd w:val="clear" w:color="auto" w:fill="FFFFFF"/>
        </w:rPr>
        <w:t>R</w:t>
      </w:r>
      <w:r w:rsidRPr="00044482">
        <w:rPr>
          <w:color w:val="222222"/>
          <w:shd w:val="clear" w:color="auto" w:fill="FFFFFF"/>
        </w:rPr>
        <w:t xml:space="preserve">esonance: </w:t>
      </w:r>
      <w:r>
        <w:rPr>
          <w:color w:val="222222"/>
          <w:shd w:val="clear" w:color="auto" w:fill="FFFFFF"/>
        </w:rPr>
        <w:t>A</w:t>
      </w:r>
      <w:r w:rsidRPr="00044482">
        <w:rPr>
          <w:color w:val="222222"/>
          <w:shd w:val="clear" w:color="auto" w:fill="FFFFFF"/>
        </w:rPr>
        <w:t xml:space="preserve">pplied </w:t>
      </w:r>
      <w:r>
        <w:rPr>
          <w:color w:val="222222"/>
          <w:shd w:val="clear" w:color="auto" w:fill="FFFFFF"/>
        </w:rPr>
        <w:t>A</w:t>
      </w:r>
      <w:r w:rsidRPr="00044482">
        <w:rPr>
          <w:color w:val="222222"/>
          <w:shd w:val="clear" w:color="auto" w:fill="FFFFFF"/>
        </w:rPr>
        <w:t xml:space="preserve">udio </w:t>
      </w:r>
      <w:r>
        <w:rPr>
          <w:color w:val="222222"/>
          <w:shd w:val="clear" w:color="auto" w:fill="FFFFFF"/>
        </w:rPr>
        <w:t>D</w:t>
      </w:r>
      <w:r w:rsidRPr="00044482">
        <w:rPr>
          <w:color w:val="222222"/>
          <w:shd w:val="clear" w:color="auto" w:fill="FFFFFF"/>
        </w:rPr>
        <w:t xml:space="preserve">rama, </w:t>
      </w:r>
      <w:r>
        <w:rPr>
          <w:color w:val="222222"/>
          <w:shd w:val="clear" w:color="auto" w:fill="FFFFFF"/>
        </w:rPr>
        <w:t>I</w:t>
      </w:r>
      <w:r w:rsidRPr="00044482">
        <w:rPr>
          <w:color w:val="222222"/>
          <w:shd w:val="clear" w:color="auto" w:fill="FFFFFF"/>
        </w:rPr>
        <w:t xml:space="preserve">nquiry and </w:t>
      </w:r>
      <w:r>
        <w:rPr>
          <w:color w:val="222222"/>
          <w:shd w:val="clear" w:color="auto" w:fill="FFFFFF"/>
        </w:rPr>
        <w:t>F</w:t>
      </w:r>
      <w:r w:rsidRPr="00044482">
        <w:rPr>
          <w:color w:val="222222"/>
          <w:shd w:val="clear" w:color="auto" w:fill="FFFFFF"/>
        </w:rPr>
        <w:t xml:space="preserve">ictionalising the </w:t>
      </w:r>
      <w:r>
        <w:rPr>
          <w:color w:val="222222"/>
          <w:shd w:val="clear" w:color="auto" w:fill="FFFFFF"/>
        </w:rPr>
        <w:t>R</w:t>
      </w:r>
      <w:r w:rsidRPr="00044482">
        <w:rPr>
          <w:color w:val="222222"/>
          <w:shd w:val="clear" w:color="auto" w:fill="FFFFFF"/>
        </w:rPr>
        <w:t>eal. </w:t>
      </w:r>
      <w:r w:rsidRPr="00044482">
        <w:rPr>
          <w:i/>
          <w:iCs/>
          <w:color w:val="222222"/>
          <w:shd w:val="clear" w:color="auto" w:fill="FFFFFF"/>
        </w:rPr>
        <w:t>Research in Drama Education: The Journal of Applied Theatre and Performance</w:t>
      </w:r>
      <w:r w:rsidRPr="00044482">
        <w:rPr>
          <w:color w:val="222222"/>
          <w:shd w:val="clear" w:color="auto" w:fill="FFFFFF"/>
        </w:rPr>
        <w:t xml:space="preserve">, </w:t>
      </w:r>
      <w:r>
        <w:rPr>
          <w:color w:val="222222"/>
          <w:shd w:val="clear" w:color="auto" w:fill="FFFFFF"/>
        </w:rPr>
        <w:t xml:space="preserve">published online 25 Feb, </w:t>
      </w:r>
      <w:r w:rsidRPr="00044482">
        <w:rPr>
          <w:color w:val="222222"/>
          <w:shd w:val="clear" w:color="auto" w:fill="FFFFFF"/>
        </w:rPr>
        <w:t>1-18.</w:t>
      </w:r>
      <w:r>
        <w:rPr>
          <w:color w:val="222222"/>
          <w:shd w:val="clear" w:color="auto" w:fill="FFFFFF"/>
        </w:rPr>
        <w:t xml:space="preserve"> </w:t>
      </w:r>
      <w:proofErr w:type="spellStart"/>
      <w:r w:rsidRPr="00230A5A">
        <w:rPr>
          <w:color w:val="222222"/>
          <w:shd w:val="clear" w:color="auto" w:fill="FFFFFF"/>
        </w:rPr>
        <w:t>doi</w:t>
      </w:r>
      <w:proofErr w:type="spellEnd"/>
      <w:r w:rsidRPr="00230A5A">
        <w:rPr>
          <w:color w:val="222222"/>
          <w:shd w:val="clear" w:color="auto" w:fill="FFFFFF"/>
        </w:rPr>
        <w:t xml:space="preserve">: </w:t>
      </w:r>
      <w:hyperlink r:id="rId15" w:history="1">
        <w:r w:rsidRPr="00044482">
          <w:rPr>
            <w:rStyle w:val="Hyperlink"/>
          </w:rPr>
          <w:t>https://doi.org/10.1080/13569783.2021.1891038</w:t>
        </w:r>
      </w:hyperlink>
    </w:p>
    <w:p w14:paraId="147EE367" w14:textId="400FC923" w:rsidR="00E739DB" w:rsidRPr="00D07968" w:rsidRDefault="00E739DB" w:rsidP="00345A66">
      <w:pPr>
        <w:spacing w:before="120" w:line="360" w:lineRule="auto"/>
        <w:ind w:left="720" w:hanging="720"/>
      </w:pPr>
      <w:r w:rsidRPr="00D07968">
        <w:t>Watson, A</w:t>
      </w:r>
      <w:r w:rsidR="00DF7603">
        <w:t xml:space="preserve">ndrew. </w:t>
      </w:r>
      <w:r w:rsidRPr="00D07968">
        <w:t>20</w:t>
      </w:r>
      <w:r w:rsidR="00DF7603">
        <w:t>13</w:t>
      </w:r>
      <w:r w:rsidRPr="00D07968">
        <w:t xml:space="preserve">. </w:t>
      </w:r>
      <w:r w:rsidR="00E51BE2">
        <w:t>“</w:t>
      </w:r>
      <w:r w:rsidRPr="00D07968">
        <w:t>‘Lift your mask</w:t>
      </w:r>
      <w:r w:rsidR="00DF7603">
        <w:t>’</w:t>
      </w:r>
      <w:r w:rsidRPr="00D07968">
        <w:t>: Geese Theatre Company in Performance</w:t>
      </w:r>
      <w:r w:rsidR="00E51BE2">
        <w:t>”</w:t>
      </w:r>
      <w:r w:rsidRPr="00D07968">
        <w:t xml:space="preserve">. </w:t>
      </w:r>
      <w:r w:rsidR="00DF7603">
        <w:t xml:space="preserve">In </w:t>
      </w:r>
      <w:r w:rsidRPr="00345A66">
        <w:rPr>
          <w:i/>
          <w:iCs/>
        </w:rPr>
        <w:t>The Applied Theatre Reader</w:t>
      </w:r>
      <w:r w:rsidR="00E51BE2">
        <w:rPr>
          <w:i/>
          <w:iCs/>
        </w:rPr>
        <w:t>,</w:t>
      </w:r>
      <w:r w:rsidR="00E51BE2">
        <w:t xml:space="preserve"> edited by Tim </w:t>
      </w:r>
      <w:proofErr w:type="spellStart"/>
      <w:r w:rsidRPr="00D07968">
        <w:t>Prentki</w:t>
      </w:r>
      <w:proofErr w:type="spellEnd"/>
      <w:r w:rsidR="00E51BE2">
        <w:t xml:space="preserve"> and Sheila</w:t>
      </w:r>
      <w:r w:rsidRPr="00D07968">
        <w:t xml:space="preserve"> Preston</w:t>
      </w:r>
      <w:r w:rsidR="00E51BE2">
        <w:t xml:space="preserve">, </w:t>
      </w:r>
      <w:r w:rsidRPr="00D07968">
        <w:t>63-70</w:t>
      </w:r>
      <w:r w:rsidR="00545456">
        <w:t>.</w:t>
      </w:r>
      <w:r w:rsidR="00E51BE2">
        <w:t xml:space="preserve"> London: </w:t>
      </w:r>
      <w:r w:rsidRPr="00D07968">
        <w:t>Routledge.</w:t>
      </w:r>
    </w:p>
    <w:p w14:paraId="63D374C5" w14:textId="6F302F0E" w:rsidR="00497807" w:rsidRPr="00497807" w:rsidRDefault="00497807" w:rsidP="000802D1">
      <w:pPr>
        <w:pStyle w:val="References"/>
        <w:rPr>
          <w:rFonts w:eastAsia="Cambria"/>
        </w:rPr>
      </w:pPr>
      <w:r w:rsidRPr="00497807">
        <w:rPr>
          <w:rFonts w:eastAsia="Cambria"/>
        </w:rPr>
        <w:t>Webb</w:t>
      </w:r>
      <w:r w:rsidR="000802D1">
        <w:rPr>
          <w:rFonts w:eastAsia="Cambria"/>
        </w:rPr>
        <w:t>,</w:t>
      </w:r>
      <w:r w:rsidRPr="00497807">
        <w:rPr>
          <w:rFonts w:eastAsia="Cambria"/>
        </w:rPr>
        <w:t xml:space="preserve"> R</w:t>
      </w:r>
      <w:r w:rsidR="000802D1">
        <w:rPr>
          <w:rFonts w:eastAsia="Cambria"/>
        </w:rPr>
        <w:t>obert</w:t>
      </w:r>
      <w:r w:rsidRPr="00497807">
        <w:rPr>
          <w:rFonts w:eastAsia="Cambria"/>
        </w:rPr>
        <w:t xml:space="preserve">. 2017. </w:t>
      </w:r>
      <w:r w:rsidR="00E51BE2">
        <w:rPr>
          <w:rFonts w:eastAsia="Cambria"/>
        </w:rPr>
        <w:t>“</w:t>
      </w:r>
      <w:r w:rsidRPr="00497807">
        <w:rPr>
          <w:rFonts w:eastAsia="Cambria"/>
        </w:rPr>
        <w:t>Māori Experiences of Colonisation and Māori Criminology</w:t>
      </w:r>
      <w:r w:rsidR="00E51BE2">
        <w:rPr>
          <w:rFonts w:eastAsia="Cambria"/>
        </w:rPr>
        <w:t>”</w:t>
      </w:r>
      <w:r w:rsidRPr="00497807">
        <w:rPr>
          <w:rFonts w:eastAsia="Cambria"/>
        </w:rPr>
        <w:t>. In</w:t>
      </w:r>
      <w:r w:rsidR="000802D1">
        <w:rPr>
          <w:rFonts w:eastAsia="Cambria"/>
        </w:rPr>
        <w:t xml:space="preserve"> </w:t>
      </w:r>
      <w:r w:rsidRPr="00497807">
        <w:rPr>
          <w:rFonts w:eastAsia="Cambria"/>
          <w:i/>
        </w:rPr>
        <w:t>The Palgrave Handbook of Australian and New Zealand Criminology</w:t>
      </w:r>
      <w:r w:rsidRPr="00497807">
        <w:rPr>
          <w:rFonts w:eastAsia="Cambria"/>
        </w:rPr>
        <w:t xml:space="preserve">, </w:t>
      </w:r>
      <w:r w:rsidRPr="000802D1">
        <w:rPr>
          <w:rFonts w:eastAsia="Cambria"/>
          <w:i/>
          <w:iCs/>
        </w:rPr>
        <w:t>Crime and Justice</w:t>
      </w:r>
      <w:r w:rsidR="000802D1">
        <w:rPr>
          <w:rFonts w:eastAsia="Cambria"/>
        </w:rPr>
        <w:t xml:space="preserve">, edited by Antje </w:t>
      </w:r>
      <w:proofErr w:type="spellStart"/>
      <w:r w:rsidR="000802D1" w:rsidRPr="00497807">
        <w:rPr>
          <w:rFonts w:eastAsia="Cambria"/>
        </w:rPr>
        <w:t>Deckert</w:t>
      </w:r>
      <w:proofErr w:type="spellEnd"/>
      <w:r w:rsidR="000802D1" w:rsidRPr="00497807">
        <w:rPr>
          <w:rFonts w:eastAsia="Cambria"/>
        </w:rPr>
        <w:t xml:space="preserve">, and </w:t>
      </w:r>
      <w:r w:rsidR="000802D1">
        <w:rPr>
          <w:rFonts w:eastAsia="Cambria"/>
        </w:rPr>
        <w:t xml:space="preserve">Rick </w:t>
      </w:r>
      <w:proofErr w:type="spellStart"/>
      <w:r w:rsidR="000802D1" w:rsidRPr="00497807">
        <w:rPr>
          <w:rFonts w:eastAsia="Cambria"/>
        </w:rPr>
        <w:t>Sarr</w:t>
      </w:r>
      <w:r w:rsidR="000802D1">
        <w:rPr>
          <w:rFonts w:eastAsia="Cambria"/>
        </w:rPr>
        <w:t>e</w:t>
      </w:r>
      <w:proofErr w:type="spellEnd"/>
      <w:r w:rsidR="000802D1">
        <w:rPr>
          <w:rFonts w:eastAsia="Cambria"/>
        </w:rPr>
        <w:t>, 683-696</w:t>
      </w:r>
      <w:r w:rsidRPr="00497807">
        <w:rPr>
          <w:rFonts w:eastAsia="Cambria"/>
        </w:rPr>
        <w:t xml:space="preserve">. </w:t>
      </w:r>
      <w:r w:rsidR="000802D1">
        <w:rPr>
          <w:rFonts w:eastAsia="Cambria"/>
        </w:rPr>
        <w:t xml:space="preserve">Cham: </w:t>
      </w:r>
      <w:r w:rsidRPr="00497807">
        <w:rPr>
          <w:rFonts w:eastAsia="Cambria"/>
        </w:rPr>
        <w:t>Palgrave Macmillan</w:t>
      </w:r>
      <w:r w:rsidR="000802D1">
        <w:rPr>
          <w:rFonts w:eastAsia="Cambria"/>
        </w:rPr>
        <w:t xml:space="preserve"> / Springer.</w:t>
      </w:r>
    </w:p>
    <w:p w14:paraId="4233A68C" w14:textId="77777777" w:rsidR="00497807" w:rsidRPr="001A1069" w:rsidRDefault="00497807" w:rsidP="001A1069">
      <w:pPr>
        <w:pStyle w:val="References"/>
        <w:rPr>
          <w:rFonts w:eastAsia="Cambria"/>
        </w:rPr>
      </w:pPr>
      <w:r w:rsidRPr="00497807">
        <w:rPr>
          <w:rFonts w:eastAsia="Cambria"/>
        </w:rPr>
        <w:lastRenderedPageBreak/>
        <w:t>Webb, M</w:t>
      </w:r>
      <w:r w:rsidR="000802D1">
        <w:rPr>
          <w:rFonts w:eastAsia="Cambria"/>
        </w:rPr>
        <w:t>ate,</w:t>
      </w:r>
      <w:r w:rsidRPr="00497807">
        <w:rPr>
          <w:rFonts w:eastAsia="Cambria"/>
        </w:rPr>
        <w:t xml:space="preserve"> </w:t>
      </w:r>
      <w:r w:rsidR="000802D1">
        <w:rPr>
          <w:rFonts w:eastAsia="Cambria"/>
        </w:rPr>
        <w:t>and David T.</w:t>
      </w:r>
      <w:r w:rsidRPr="00497807">
        <w:rPr>
          <w:rFonts w:eastAsia="Cambria"/>
        </w:rPr>
        <w:t xml:space="preserve"> Jones</w:t>
      </w:r>
      <w:r w:rsidR="000802D1">
        <w:rPr>
          <w:rFonts w:eastAsia="Cambria"/>
        </w:rPr>
        <w:t xml:space="preserve">. </w:t>
      </w:r>
      <w:r w:rsidRPr="00497807">
        <w:rPr>
          <w:rFonts w:eastAsia="Cambria"/>
        </w:rPr>
        <w:t xml:space="preserve">2008. </w:t>
      </w:r>
      <w:r w:rsidR="000802D1">
        <w:rPr>
          <w:rFonts w:eastAsia="Cambria"/>
        </w:rPr>
        <w:t>“</w:t>
      </w:r>
      <w:r w:rsidRPr="00497807">
        <w:rPr>
          <w:rFonts w:eastAsia="Cambria"/>
        </w:rPr>
        <w:t xml:space="preserve">Can the </w:t>
      </w:r>
      <w:r w:rsidR="000802D1">
        <w:rPr>
          <w:rFonts w:eastAsia="Cambria"/>
        </w:rPr>
        <w:t>M</w:t>
      </w:r>
      <w:r w:rsidRPr="00497807">
        <w:rPr>
          <w:rFonts w:eastAsia="Cambria"/>
        </w:rPr>
        <w:t>ana of M</w:t>
      </w:r>
      <w:r w:rsidR="001A1069" w:rsidRPr="00497807">
        <w:rPr>
          <w:rFonts w:eastAsia="Cambria"/>
        </w:rPr>
        <w:t>ā</w:t>
      </w:r>
      <w:r w:rsidRPr="00497807">
        <w:rPr>
          <w:rFonts w:eastAsia="Cambria"/>
        </w:rPr>
        <w:t xml:space="preserve">ori </w:t>
      </w:r>
      <w:r w:rsidR="001A1069">
        <w:rPr>
          <w:rFonts w:eastAsia="Cambria"/>
        </w:rPr>
        <w:t>M</w:t>
      </w:r>
      <w:r w:rsidRPr="00497807">
        <w:rPr>
          <w:rFonts w:eastAsia="Cambria"/>
        </w:rPr>
        <w:t xml:space="preserve">en who </w:t>
      </w:r>
      <w:r w:rsidR="001A1069">
        <w:rPr>
          <w:rFonts w:eastAsia="Cambria"/>
        </w:rPr>
        <w:t>S</w:t>
      </w:r>
      <w:r w:rsidRPr="00497807">
        <w:rPr>
          <w:rFonts w:eastAsia="Cambria"/>
        </w:rPr>
        <w:t xml:space="preserve">exually </w:t>
      </w:r>
      <w:r w:rsidR="001A1069">
        <w:rPr>
          <w:rFonts w:eastAsia="Cambria"/>
        </w:rPr>
        <w:t>A</w:t>
      </w:r>
      <w:r w:rsidRPr="00497807">
        <w:rPr>
          <w:rFonts w:eastAsia="Cambria"/>
        </w:rPr>
        <w:t xml:space="preserve">buse </w:t>
      </w:r>
      <w:r w:rsidR="001A1069">
        <w:rPr>
          <w:rFonts w:eastAsia="Cambria"/>
        </w:rPr>
        <w:t>C</w:t>
      </w:r>
      <w:r w:rsidRPr="00497807">
        <w:rPr>
          <w:rFonts w:eastAsia="Cambria"/>
        </w:rPr>
        <w:t xml:space="preserve">hildren be </w:t>
      </w:r>
      <w:r w:rsidR="001A1069">
        <w:rPr>
          <w:rFonts w:eastAsia="Cambria"/>
        </w:rPr>
        <w:t>R</w:t>
      </w:r>
      <w:r w:rsidRPr="00497807">
        <w:rPr>
          <w:rFonts w:eastAsia="Cambria"/>
        </w:rPr>
        <w:t>estored?</w:t>
      </w:r>
      <w:r w:rsidR="001A1069">
        <w:rPr>
          <w:rFonts w:eastAsia="Cambria"/>
        </w:rPr>
        <w:t>”</w:t>
      </w:r>
      <w:r w:rsidRPr="00497807">
        <w:rPr>
          <w:rFonts w:eastAsia="Cambria"/>
        </w:rPr>
        <w:t xml:space="preserve"> In </w:t>
      </w:r>
      <w:r w:rsidRPr="00497807">
        <w:rPr>
          <w:rFonts w:eastAsia="Cambria"/>
          <w:i/>
        </w:rPr>
        <w:t>Claiming Spaces: Proceedings of the 2007 National Maori and Pacific Psychologies Symposium 23rd-24th November 2007</w:t>
      </w:r>
      <w:r w:rsidR="001A1069">
        <w:rPr>
          <w:rFonts w:eastAsia="Cambria"/>
        </w:rPr>
        <w:t xml:space="preserve">, edited by Michelle P. </w:t>
      </w:r>
      <w:r w:rsidR="001A1069" w:rsidRPr="00497807">
        <w:rPr>
          <w:rFonts w:eastAsia="Cambria"/>
        </w:rPr>
        <w:t xml:space="preserve">Levy, M., </w:t>
      </w:r>
      <w:r w:rsidR="001A1069">
        <w:rPr>
          <w:rFonts w:eastAsia="Cambria"/>
        </w:rPr>
        <w:t xml:space="preserve">Linda W. </w:t>
      </w:r>
      <w:proofErr w:type="spellStart"/>
      <w:r w:rsidR="001A1069" w:rsidRPr="00497807">
        <w:rPr>
          <w:rFonts w:eastAsia="Cambria"/>
        </w:rPr>
        <w:t>Nikora</w:t>
      </w:r>
      <w:proofErr w:type="spellEnd"/>
      <w:r w:rsidR="001A1069" w:rsidRPr="00497807">
        <w:rPr>
          <w:rFonts w:eastAsia="Cambria"/>
        </w:rPr>
        <w:t>,</w:t>
      </w:r>
      <w:r w:rsidR="001A1069">
        <w:rPr>
          <w:rFonts w:eastAsia="Cambria"/>
        </w:rPr>
        <w:t xml:space="preserve"> Bridgette </w:t>
      </w:r>
      <w:r w:rsidR="001A1069" w:rsidRPr="00497807">
        <w:rPr>
          <w:rFonts w:eastAsia="Cambria"/>
        </w:rPr>
        <w:t xml:space="preserve">Masters-Awatere, </w:t>
      </w:r>
      <w:proofErr w:type="spellStart"/>
      <w:r w:rsidR="001A1069">
        <w:rPr>
          <w:rFonts w:eastAsia="Cambria"/>
        </w:rPr>
        <w:t>Mohi</w:t>
      </w:r>
      <w:proofErr w:type="spellEnd"/>
      <w:r w:rsidR="001A1069">
        <w:rPr>
          <w:rFonts w:eastAsia="Cambria"/>
        </w:rPr>
        <w:t xml:space="preserve"> </w:t>
      </w:r>
      <w:proofErr w:type="spellStart"/>
      <w:r w:rsidR="001A1069" w:rsidRPr="00497807">
        <w:rPr>
          <w:rFonts w:eastAsia="Cambria"/>
        </w:rPr>
        <w:t>Rua</w:t>
      </w:r>
      <w:proofErr w:type="spellEnd"/>
      <w:r w:rsidR="001A1069" w:rsidRPr="00497807">
        <w:rPr>
          <w:rFonts w:eastAsia="Cambria"/>
        </w:rPr>
        <w:t xml:space="preserve">, </w:t>
      </w:r>
      <w:r w:rsidR="001A1069">
        <w:rPr>
          <w:rFonts w:eastAsia="Cambria"/>
        </w:rPr>
        <w:t>and</w:t>
      </w:r>
      <w:r w:rsidR="001A1069" w:rsidRPr="00497807">
        <w:rPr>
          <w:rFonts w:eastAsia="Cambria"/>
        </w:rPr>
        <w:t xml:space="preserve"> </w:t>
      </w:r>
      <w:proofErr w:type="spellStart"/>
      <w:r w:rsidR="001A1069">
        <w:rPr>
          <w:rFonts w:eastAsia="Cambria"/>
        </w:rPr>
        <w:t>Waikaramoana</w:t>
      </w:r>
      <w:proofErr w:type="spellEnd"/>
      <w:r w:rsidR="001A1069">
        <w:rPr>
          <w:rFonts w:eastAsia="Cambria"/>
        </w:rPr>
        <w:t xml:space="preserve"> </w:t>
      </w:r>
      <w:proofErr w:type="spellStart"/>
      <w:r w:rsidR="001A1069" w:rsidRPr="00497807">
        <w:rPr>
          <w:rFonts w:eastAsia="Cambria"/>
        </w:rPr>
        <w:t>Waitoki</w:t>
      </w:r>
      <w:proofErr w:type="spellEnd"/>
      <w:r w:rsidR="001A1069">
        <w:rPr>
          <w:rFonts w:eastAsia="Cambria"/>
        </w:rPr>
        <w:t>, 48-50.</w:t>
      </w:r>
      <w:r w:rsidRPr="00497807">
        <w:rPr>
          <w:rFonts w:eastAsia="Cambria"/>
        </w:rPr>
        <w:t xml:space="preserve"> Hamilton, New Zealand: Māori and Psychology Research Unit, University of Waikato</w:t>
      </w:r>
      <w:r w:rsidR="001A1069">
        <w:rPr>
          <w:rFonts w:eastAsia="Cambria"/>
        </w:rPr>
        <w:t>.</w:t>
      </w:r>
    </w:p>
    <w:p w14:paraId="528921CC" w14:textId="5A8E91DB" w:rsidR="00D74515" w:rsidRPr="001A1069" w:rsidRDefault="00D74515" w:rsidP="001A1069">
      <w:pPr>
        <w:pStyle w:val="References"/>
        <w:rPr>
          <w:rFonts w:eastAsia="Cambria"/>
        </w:rPr>
      </w:pPr>
    </w:p>
    <w:sectPr w:rsidR="00D74515" w:rsidRPr="001A1069" w:rsidSect="00074B81">
      <w:headerReference w:type="even" r:id="rId16"/>
      <w:headerReference w:type="default" r:id="rId17"/>
      <w:footerReference w:type="even" r:id="rId18"/>
      <w:footerReference w:type="default" r:id="rId19"/>
      <w:headerReference w:type="first" r:id="rId20"/>
      <w:footerReference w:type="first" r:id="rId21"/>
      <w:pgSz w:w="11901" w:h="16840" w:code="9"/>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C57D2FE" w14:textId="77777777" w:rsidR="00E77521" w:rsidRDefault="00E77521" w:rsidP="00AF2C92">
      <w:r>
        <w:separator/>
      </w:r>
    </w:p>
  </w:endnote>
  <w:endnote w:type="continuationSeparator" w:id="0">
    <w:p w14:paraId="7E83E2A3" w14:textId="77777777" w:rsidR="00E77521" w:rsidRDefault="00E77521" w:rsidP="00AF2C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AdvOT46dcae81+01">
    <w:altName w:val="Cambria"/>
    <w:panose1 w:val="020B0604020202020204"/>
    <w:charset w:val="00"/>
    <w:family w:val="roman"/>
    <w:pitch w:val="default"/>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2115811475"/>
      <w:docPartObj>
        <w:docPartGallery w:val="Page Numbers (Bottom of Page)"/>
        <w:docPartUnique/>
      </w:docPartObj>
    </w:sdtPr>
    <w:sdtEndPr>
      <w:rPr>
        <w:rStyle w:val="PageNumber"/>
      </w:rPr>
    </w:sdtEndPr>
    <w:sdtContent>
      <w:p w14:paraId="406B34F0" w14:textId="77777777" w:rsidR="00AB3E7C" w:rsidRDefault="00AB3E7C" w:rsidP="00AB3E7C">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BDAA570" w14:textId="77777777" w:rsidR="00AB3E7C" w:rsidRDefault="00AB3E7C" w:rsidP="00A5729C">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2027780700"/>
      <w:docPartObj>
        <w:docPartGallery w:val="Page Numbers (Bottom of Page)"/>
        <w:docPartUnique/>
      </w:docPartObj>
    </w:sdtPr>
    <w:sdtEndPr>
      <w:rPr>
        <w:rStyle w:val="PageNumber"/>
      </w:rPr>
    </w:sdtEndPr>
    <w:sdtContent>
      <w:p w14:paraId="1635D144" w14:textId="77777777" w:rsidR="00AB3E7C" w:rsidRDefault="00AB3E7C" w:rsidP="00AB3E7C">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29A9D24E" w14:textId="77777777" w:rsidR="00AB3E7C" w:rsidRDefault="00AB3E7C" w:rsidP="00A5729C">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74E35C9" w14:textId="77777777" w:rsidR="00AB3E7C" w:rsidRDefault="00AB3E7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2F6BA23" w14:textId="77777777" w:rsidR="00E77521" w:rsidRDefault="00E77521" w:rsidP="00AF2C92">
      <w:r>
        <w:separator/>
      </w:r>
    </w:p>
  </w:footnote>
  <w:footnote w:type="continuationSeparator" w:id="0">
    <w:p w14:paraId="309123CB" w14:textId="77777777" w:rsidR="00E77521" w:rsidRDefault="00E77521" w:rsidP="00AF2C92">
      <w:r>
        <w:continuationSeparator/>
      </w:r>
    </w:p>
  </w:footnote>
  <w:footnote w:id="1">
    <w:p w14:paraId="2B36681D" w14:textId="7876ECE1" w:rsidR="00AB3E7C" w:rsidRPr="00345A66" w:rsidRDefault="00AB3E7C" w:rsidP="00D67E3A">
      <w:pPr>
        <w:pStyle w:val="Footnotes"/>
        <w:rPr>
          <w:sz w:val="20"/>
          <w:szCs w:val="20"/>
        </w:rPr>
      </w:pPr>
      <w:r>
        <w:rPr>
          <w:rStyle w:val="FootnoteReference"/>
        </w:rPr>
        <w:footnoteRef/>
      </w:r>
      <w:r>
        <w:t xml:space="preserve"> </w:t>
      </w:r>
      <w:r w:rsidRPr="00345A66">
        <w:rPr>
          <w:rFonts w:eastAsia="Cambria"/>
          <w:sz w:val="20"/>
          <w:szCs w:val="20"/>
        </w:rPr>
        <w:t>The documentary project followed from a series of creative engagements at Auckland Prison involving Rand Hazou and Pedro Ilgenfritz. In November 2016, Hazou was invited with storyteller Derek Gordon to visit Unit 8 to introduce the men to different approaches to directing and performing the monologue ‘To be or not to be’. In May 2017, the Theatre Behind Bars programme, facilitated by Hazou</w:t>
      </w:r>
      <w:r>
        <w:rPr>
          <w:rFonts w:eastAsia="Cambria"/>
          <w:sz w:val="20"/>
          <w:szCs w:val="20"/>
        </w:rPr>
        <w:t>,</w:t>
      </w:r>
      <w:r w:rsidRPr="00345A66">
        <w:rPr>
          <w:rFonts w:eastAsia="Cambria"/>
          <w:sz w:val="20"/>
          <w:szCs w:val="20"/>
        </w:rPr>
        <w:t xml:space="preserve"> offered six introductory theatre workshops to participants at Unit 9, including storytelling, physical theatre skills, and mask work led by Ilgenfritz. In December 2017 Gordon and Hazou co-directed </w:t>
      </w:r>
      <w:r w:rsidRPr="00345A66">
        <w:rPr>
          <w:rFonts w:eastAsia="Cambria"/>
          <w:i/>
          <w:sz w:val="20"/>
          <w:szCs w:val="20"/>
        </w:rPr>
        <w:t>Puppet Antigone</w:t>
      </w:r>
      <w:r w:rsidRPr="00345A66">
        <w:rPr>
          <w:rFonts w:eastAsia="Cambria"/>
          <w:sz w:val="20"/>
          <w:szCs w:val="20"/>
        </w:rPr>
        <w:t xml:space="preserve"> at Unit 9 which involved incarcerated men performing an abridged version of Sophocles’ play using Bunraku-style puppets</w:t>
      </w:r>
      <w:r w:rsidR="00F1731C">
        <w:rPr>
          <w:rFonts w:eastAsia="Cambria"/>
          <w:sz w:val="20"/>
          <w:szCs w:val="20"/>
        </w:rPr>
        <w:t xml:space="preserve"> (Hazou</w:t>
      </w:r>
      <w:r w:rsidR="005218BC">
        <w:rPr>
          <w:rFonts w:eastAsia="Cambria"/>
          <w:sz w:val="20"/>
          <w:szCs w:val="20"/>
        </w:rPr>
        <w:t>, 2020)</w:t>
      </w:r>
      <w:r w:rsidRPr="00345A66">
        <w:rPr>
          <w:rFonts w:eastAsia="Cambria"/>
          <w:sz w:val="20"/>
          <w:szCs w:val="20"/>
        </w:rPr>
        <w:t>.</w:t>
      </w:r>
    </w:p>
  </w:footnote>
  <w:footnote w:id="2">
    <w:p w14:paraId="107D9E11" w14:textId="07856A7D" w:rsidR="00230A5A" w:rsidRPr="00044482" w:rsidRDefault="00230A5A">
      <w:pPr>
        <w:pStyle w:val="FootnoteText"/>
        <w:rPr>
          <w:lang w:val="en-AU"/>
        </w:rPr>
      </w:pPr>
      <w:r>
        <w:rPr>
          <w:rStyle w:val="FootnoteReference"/>
        </w:rPr>
        <w:footnoteRef/>
      </w:r>
      <w:r>
        <w:t xml:space="preserve"> As part of the Prison Voices project, Sarah also worked with the cast to create a documentary podcast episode about the creative process. </w:t>
      </w:r>
      <w:r>
        <w:rPr>
          <w:lang w:val="en-AU"/>
        </w:rPr>
        <w:t xml:space="preserve">For more details this, see Vachon and Woodland (2021). </w:t>
      </w:r>
    </w:p>
  </w:footnote>
  <w:footnote w:id="3">
    <w:p w14:paraId="7A54098C" w14:textId="72604912" w:rsidR="008901D3" w:rsidRPr="003654C6" w:rsidRDefault="008901D3">
      <w:pPr>
        <w:pStyle w:val="FootnoteText"/>
        <w:rPr>
          <w:lang w:val="en-AU"/>
        </w:rPr>
      </w:pPr>
      <w:r>
        <w:rPr>
          <w:rStyle w:val="FootnoteReference"/>
        </w:rPr>
        <w:footnoteRef/>
      </w:r>
      <w:r>
        <w:t xml:space="preserve"> The simplicity </w:t>
      </w:r>
      <w:r w:rsidR="0025323A">
        <w:t xml:space="preserve">and accessibility </w:t>
      </w:r>
      <w:r>
        <w:t xml:space="preserve">of the model may help to explain </w:t>
      </w:r>
      <w:r w:rsidRPr="008901D3">
        <w:t>its universal application within health</w:t>
      </w:r>
      <w:r>
        <w:t xml:space="preserve"> and education sectors</w:t>
      </w:r>
      <w:r w:rsidRPr="008901D3">
        <w:t xml:space="preserve"> in Aotearoa.</w:t>
      </w:r>
      <w:r>
        <w:t xml:space="preserve"> However, it’s simplicity has also been criticised for </w:t>
      </w:r>
      <w:r w:rsidR="00D0414B">
        <w:t xml:space="preserve">failing to </w:t>
      </w:r>
      <w:r>
        <w:t>defin</w:t>
      </w:r>
      <w:r w:rsidR="00D0414B">
        <w:t>e</w:t>
      </w:r>
      <w:r>
        <w:t xml:space="preserve"> </w:t>
      </w:r>
      <w:r w:rsidRPr="008901D3">
        <w:t>the uniqueness of Māori as a cultural entity</w:t>
      </w:r>
      <w:r>
        <w:t xml:space="preserve"> (see McNeill, 2009)</w:t>
      </w:r>
      <w:r w:rsidRPr="008901D3">
        <w:t xml:space="preserve">. </w:t>
      </w:r>
    </w:p>
  </w:footnote>
  <w:footnote w:id="4">
    <w:p w14:paraId="42AD1639" w14:textId="3ACE203F" w:rsidR="00586D6C" w:rsidRPr="003654C6" w:rsidRDefault="00586D6C">
      <w:pPr>
        <w:pStyle w:val="FootnoteText"/>
        <w:rPr>
          <w:lang w:val="mi-NZ"/>
        </w:rPr>
      </w:pPr>
      <w:r>
        <w:rPr>
          <w:rStyle w:val="FootnoteReference"/>
        </w:rPr>
        <w:footnoteRef/>
      </w:r>
      <w:r>
        <w:t xml:space="preserve"> </w:t>
      </w:r>
      <w:r>
        <w:rPr>
          <w:lang w:val="mi-NZ"/>
        </w:rPr>
        <w:t xml:space="preserve">For further detail refer to the NZ Ministry of Health </w:t>
      </w:r>
      <w:r>
        <w:rPr>
          <w:lang w:val="mi-NZ"/>
        </w:rPr>
        <w:t xml:space="preserve">website: </w:t>
      </w:r>
      <w:r>
        <w:rPr>
          <w:lang w:val="mi-NZ"/>
        </w:rPr>
        <w:fldChar w:fldCharType="begin"/>
      </w:r>
      <w:r>
        <w:rPr>
          <w:lang w:val="mi-NZ"/>
        </w:rPr>
        <w:instrText xml:space="preserve"> HYPERLINK "</w:instrText>
      </w:r>
      <w:r w:rsidRPr="00586D6C">
        <w:rPr>
          <w:lang w:val="mi-NZ"/>
        </w:rPr>
        <w:instrText>https://www.health.govt.nz/system/files/documents/pages/maori_health_model_tewhare.pdf</w:instrText>
      </w:r>
      <w:r>
        <w:rPr>
          <w:lang w:val="mi-NZ"/>
        </w:rPr>
        <w:instrText xml:space="preserve">" </w:instrText>
      </w:r>
      <w:r>
        <w:rPr>
          <w:lang w:val="mi-NZ"/>
        </w:rPr>
        <w:fldChar w:fldCharType="separate"/>
      </w:r>
      <w:r w:rsidRPr="000D3CC5">
        <w:rPr>
          <w:rStyle w:val="Hyperlink"/>
          <w:lang w:val="mi-NZ"/>
        </w:rPr>
        <w:t>https://www.health.govt.nz/system/files/documents/pages/maori_health_model_tewhare.pdf</w:t>
      </w:r>
      <w:r>
        <w:rPr>
          <w:lang w:val="mi-NZ"/>
        </w:rPr>
        <w:fldChar w:fldCharType="end"/>
      </w:r>
      <w:r>
        <w:rPr>
          <w:lang w:val="mi-NZ"/>
        </w:rPr>
        <w:t xml:space="preserve"> </w:t>
      </w:r>
    </w:p>
  </w:footnote>
  <w:footnote w:id="5">
    <w:p w14:paraId="1197C345" w14:textId="248A5B12" w:rsidR="00AB3E7C" w:rsidRPr="00345A66" w:rsidRDefault="00AB3E7C" w:rsidP="00D74515">
      <w:pPr>
        <w:pStyle w:val="Footnotes"/>
        <w:rPr>
          <w:rFonts w:eastAsia="Cambria"/>
          <w:sz w:val="20"/>
          <w:szCs w:val="20"/>
        </w:rPr>
      </w:pPr>
      <w:r w:rsidRPr="00345A66">
        <w:rPr>
          <w:sz w:val="20"/>
          <w:szCs w:val="20"/>
          <w:vertAlign w:val="superscript"/>
        </w:rPr>
        <w:footnoteRef/>
      </w:r>
      <w:r w:rsidRPr="00345A66">
        <w:rPr>
          <w:rFonts w:eastAsia="Cambria"/>
          <w:sz w:val="20"/>
          <w:szCs w:val="20"/>
        </w:rPr>
        <w:t xml:space="preserve"> An editorial decision was made to include five short one-liner jokes to help provide some levity and a narrative through line for one of the characters who was identified as </w:t>
      </w:r>
      <w:r w:rsidR="00A97A47">
        <w:rPr>
          <w:rFonts w:eastAsia="Cambria"/>
          <w:sz w:val="20"/>
          <w:szCs w:val="20"/>
        </w:rPr>
        <w:t>‘</w:t>
      </w:r>
      <w:r w:rsidRPr="00345A66">
        <w:rPr>
          <w:rFonts w:eastAsia="Cambria"/>
          <w:sz w:val="20"/>
          <w:szCs w:val="20"/>
        </w:rPr>
        <w:t>the funny guy</w:t>
      </w:r>
      <w:r w:rsidR="00A97A47" w:rsidRPr="00345A66">
        <w:rPr>
          <w:rFonts w:eastAsia="Cambria"/>
          <w:sz w:val="20"/>
          <w:szCs w:val="20"/>
        </w:rPr>
        <w:t>.</w:t>
      </w:r>
      <w:r w:rsidR="00A97A47">
        <w:rPr>
          <w:rFonts w:eastAsia="Cambria"/>
          <w:sz w:val="20"/>
          <w:szCs w:val="20"/>
        </w:rPr>
        <w:t>’</w:t>
      </w:r>
      <w:r w:rsidR="00A97A47" w:rsidRPr="00345A66">
        <w:rPr>
          <w:rFonts w:eastAsia="Cambria"/>
          <w:sz w:val="20"/>
          <w:szCs w:val="20"/>
        </w:rPr>
        <w:t xml:space="preserve"> </w:t>
      </w:r>
      <w:r w:rsidRPr="00345A66">
        <w:rPr>
          <w:rFonts w:eastAsia="Cambria"/>
          <w:sz w:val="20"/>
          <w:szCs w:val="20"/>
        </w:rPr>
        <w:t xml:space="preserve">Hoar also decided to limit the amount of </w:t>
      </w:r>
      <w:r w:rsidR="00A97A47">
        <w:rPr>
          <w:rFonts w:eastAsia="Cambria"/>
          <w:sz w:val="20"/>
          <w:szCs w:val="20"/>
        </w:rPr>
        <w:t>‘</w:t>
      </w:r>
      <w:r w:rsidRPr="00345A66">
        <w:rPr>
          <w:rFonts w:eastAsia="Cambria"/>
          <w:sz w:val="20"/>
          <w:szCs w:val="20"/>
        </w:rPr>
        <w:t>filler</w:t>
      </w:r>
      <w:r w:rsidR="00A97A47">
        <w:rPr>
          <w:rFonts w:eastAsia="Cambria"/>
          <w:sz w:val="20"/>
          <w:szCs w:val="20"/>
        </w:rPr>
        <w:t>’</w:t>
      </w:r>
      <w:r w:rsidR="00A97A47" w:rsidRPr="00345A66">
        <w:rPr>
          <w:rFonts w:eastAsia="Cambria"/>
          <w:sz w:val="20"/>
          <w:szCs w:val="20"/>
        </w:rPr>
        <w:t xml:space="preserve"> </w:t>
      </w:r>
      <w:r w:rsidRPr="00345A66">
        <w:rPr>
          <w:rFonts w:eastAsia="Cambria"/>
          <w:sz w:val="20"/>
          <w:szCs w:val="20"/>
        </w:rPr>
        <w:t xml:space="preserve">sounds transcribed from the interviews such as </w:t>
      </w:r>
      <w:r w:rsidR="00A97A47">
        <w:rPr>
          <w:rFonts w:eastAsia="Cambria"/>
          <w:sz w:val="20"/>
          <w:szCs w:val="20"/>
        </w:rPr>
        <w:t>‘</w:t>
      </w:r>
      <w:r w:rsidRPr="00345A66">
        <w:rPr>
          <w:rFonts w:eastAsia="Cambria"/>
          <w:sz w:val="20"/>
          <w:szCs w:val="20"/>
        </w:rPr>
        <w:t>ums</w:t>
      </w:r>
      <w:r w:rsidR="00A97A47">
        <w:rPr>
          <w:rFonts w:eastAsia="Cambria"/>
          <w:sz w:val="20"/>
          <w:szCs w:val="20"/>
        </w:rPr>
        <w:t>’</w:t>
      </w:r>
      <w:r w:rsidR="00A97A47" w:rsidRPr="00345A66">
        <w:rPr>
          <w:rFonts w:eastAsia="Cambria"/>
          <w:sz w:val="20"/>
          <w:szCs w:val="20"/>
        </w:rPr>
        <w:t xml:space="preserve"> </w:t>
      </w:r>
      <w:r w:rsidRPr="00345A66">
        <w:rPr>
          <w:rFonts w:eastAsia="Cambria"/>
          <w:sz w:val="20"/>
          <w:szCs w:val="20"/>
        </w:rPr>
        <w:t xml:space="preserve">and </w:t>
      </w:r>
      <w:r w:rsidR="00A97A47">
        <w:rPr>
          <w:rFonts w:eastAsia="Cambria"/>
          <w:sz w:val="20"/>
          <w:szCs w:val="20"/>
        </w:rPr>
        <w:t>‘</w:t>
      </w:r>
      <w:r w:rsidRPr="00345A66">
        <w:rPr>
          <w:rFonts w:eastAsia="Cambria"/>
          <w:sz w:val="20"/>
          <w:szCs w:val="20"/>
        </w:rPr>
        <w:t>ahs</w:t>
      </w:r>
      <w:r w:rsidR="00A97A47">
        <w:rPr>
          <w:rFonts w:eastAsia="Cambria"/>
          <w:sz w:val="20"/>
          <w:szCs w:val="20"/>
        </w:rPr>
        <w:t>’</w:t>
      </w:r>
      <w:r w:rsidR="00A97A47" w:rsidRPr="00345A66">
        <w:rPr>
          <w:rFonts w:eastAsia="Cambria"/>
          <w:sz w:val="20"/>
          <w:szCs w:val="20"/>
        </w:rPr>
        <w:t xml:space="preserve"> </w:t>
      </w:r>
      <w:r w:rsidRPr="00345A66">
        <w:rPr>
          <w:rFonts w:eastAsia="Cambria"/>
          <w:sz w:val="20"/>
          <w:szCs w:val="20"/>
        </w:rPr>
        <w:t xml:space="preserve">which were thought to impede the flow of the lines and the overall rhythm of scenes. </w:t>
      </w:r>
    </w:p>
  </w:footnote>
  <w:footnote w:id="6">
    <w:p w14:paraId="062AF7CD" w14:textId="77777777" w:rsidR="00AB3E7C" w:rsidRPr="00E7267C" w:rsidRDefault="00AB3E7C" w:rsidP="00D74515">
      <w:pPr>
        <w:pStyle w:val="Footnotes"/>
        <w:rPr>
          <w:sz w:val="20"/>
          <w:szCs w:val="20"/>
        </w:rPr>
      </w:pPr>
      <w:r>
        <w:rPr>
          <w:rStyle w:val="FootnoteReference"/>
        </w:rPr>
        <w:footnoteRef/>
      </w:r>
      <w:r>
        <w:t xml:space="preserve"> </w:t>
      </w:r>
      <w:r w:rsidRPr="00E7267C">
        <w:rPr>
          <w:rFonts w:eastAsia="Cambria"/>
          <w:sz w:val="20"/>
          <w:szCs w:val="20"/>
        </w:rPr>
        <w:t xml:space="preserve">The concepts of </w:t>
      </w:r>
      <w:r w:rsidRPr="00E7267C">
        <w:rPr>
          <w:rFonts w:eastAsia="Cambria"/>
          <w:i/>
          <w:iCs/>
          <w:sz w:val="20"/>
          <w:szCs w:val="20"/>
        </w:rPr>
        <w:t>mana</w:t>
      </w:r>
      <w:r w:rsidRPr="00E7267C">
        <w:rPr>
          <w:rFonts w:eastAsia="Cambria"/>
          <w:sz w:val="20"/>
          <w:szCs w:val="20"/>
        </w:rPr>
        <w:t xml:space="preserve"> and </w:t>
      </w:r>
      <w:r w:rsidRPr="00E7267C">
        <w:rPr>
          <w:rFonts w:eastAsia="Cambria"/>
          <w:i/>
          <w:iCs/>
          <w:sz w:val="20"/>
          <w:szCs w:val="20"/>
        </w:rPr>
        <w:t>utu</w:t>
      </w:r>
      <w:r w:rsidRPr="00E7267C">
        <w:rPr>
          <w:rFonts w:eastAsia="Cambria"/>
          <w:sz w:val="20"/>
          <w:szCs w:val="20"/>
        </w:rPr>
        <w:t xml:space="preserve"> are complex and it is beyond the scope of this article to do them justice. For more detailed discussion, Toki (2018) explores these and other key concepts of tikanga Maori in the context of law and criminal justice in New Zealand, and Webb and Jones (2008) describe in detail the impacts of sexual offending on different aspects of mana.</w:t>
      </w:r>
    </w:p>
  </w:footnote>
  <w:footnote w:id="7">
    <w:p w14:paraId="7DA54821" w14:textId="77777777" w:rsidR="00AB3E7C" w:rsidRDefault="00AB3E7C" w:rsidP="00805D19">
      <w:pPr>
        <w:pStyle w:val="Footnotes"/>
      </w:pPr>
      <w:r>
        <w:rPr>
          <w:rStyle w:val="FootnoteReference"/>
        </w:rPr>
        <w:footnoteRef/>
      </w:r>
      <w:r>
        <w:t xml:space="preserve"> </w:t>
      </w:r>
      <w:r w:rsidRPr="00E7267C">
        <w:rPr>
          <w:rFonts w:eastAsia="Cambria"/>
          <w:sz w:val="20"/>
          <w:szCs w:val="20"/>
        </w:rPr>
        <w:t>An exploration of the cultural significance of mask within Māori culture is beyond the scope of this paper. While there does not appear to be developed tradition of using mask in Māori performance, there are documented examples of their use and several scholars draw parallels between traditional art of tattooing the face (</w:t>
      </w:r>
      <w:proofErr w:type="spellStart"/>
      <w:r w:rsidRPr="00E7267C">
        <w:rPr>
          <w:rFonts w:eastAsia="Cambria"/>
          <w:sz w:val="20"/>
          <w:szCs w:val="20"/>
        </w:rPr>
        <w:t>tā</w:t>
      </w:r>
      <w:proofErr w:type="spellEnd"/>
      <w:r w:rsidRPr="00E7267C">
        <w:rPr>
          <w:rFonts w:eastAsia="Cambria"/>
          <w:sz w:val="20"/>
          <w:szCs w:val="20"/>
        </w:rPr>
        <w:t xml:space="preserve"> </w:t>
      </w:r>
      <w:proofErr w:type="spellStart"/>
      <w:r w:rsidRPr="00E7267C">
        <w:rPr>
          <w:rFonts w:eastAsia="Cambria"/>
          <w:sz w:val="20"/>
          <w:szCs w:val="20"/>
        </w:rPr>
        <w:t>moko</w:t>
      </w:r>
      <w:proofErr w:type="spellEnd"/>
      <w:r w:rsidRPr="00E7267C">
        <w:rPr>
          <w:rFonts w:eastAsia="Cambria"/>
          <w:sz w:val="20"/>
          <w:szCs w:val="20"/>
        </w:rPr>
        <w:t xml:space="preserve">) and concept of mask. See for example </w:t>
      </w:r>
      <w:proofErr w:type="spellStart"/>
      <w:r w:rsidRPr="00E7267C">
        <w:rPr>
          <w:rFonts w:eastAsia="Cambria"/>
          <w:sz w:val="20"/>
          <w:szCs w:val="20"/>
        </w:rPr>
        <w:t>Farrimond</w:t>
      </w:r>
      <w:proofErr w:type="spellEnd"/>
      <w:r w:rsidRPr="00E7267C">
        <w:rPr>
          <w:rFonts w:eastAsia="Cambria"/>
          <w:sz w:val="20"/>
          <w:szCs w:val="20"/>
        </w:rPr>
        <w:t xml:space="preserve"> (2007).</w:t>
      </w:r>
    </w:p>
  </w:footnote>
  <w:footnote w:id="8">
    <w:p w14:paraId="43691B8A" w14:textId="77777777" w:rsidR="00AB3E7C" w:rsidRPr="009F0A2C" w:rsidRDefault="00AB3E7C" w:rsidP="00D74515">
      <w:pPr>
        <w:pStyle w:val="Footnotes"/>
        <w:rPr>
          <w:color w:val="000000"/>
          <w:sz w:val="20"/>
          <w:szCs w:val="20"/>
        </w:rPr>
      </w:pPr>
      <w:r>
        <w:rPr>
          <w:vertAlign w:val="superscript"/>
        </w:rPr>
        <w:footnoteRef/>
      </w:r>
      <w:r>
        <w:rPr>
          <w:color w:val="000000"/>
        </w:rPr>
        <w:t xml:space="preserve"> </w:t>
      </w:r>
      <w:r w:rsidRPr="009F0A2C">
        <w:rPr>
          <w:rFonts w:eastAsia="Cambria"/>
          <w:color w:val="000000"/>
          <w:sz w:val="20"/>
          <w:szCs w:val="20"/>
        </w:rPr>
        <w:t xml:space="preserve">See for example the listing of </w:t>
      </w:r>
      <w:proofErr w:type="spellStart"/>
      <w:r w:rsidRPr="009F0A2C">
        <w:rPr>
          <w:rFonts w:eastAsia="Cambria"/>
          <w:color w:val="000000"/>
          <w:sz w:val="20"/>
          <w:szCs w:val="20"/>
        </w:rPr>
        <w:t>Te</w:t>
      </w:r>
      <w:proofErr w:type="spellEnd"/>
      <w:r w:rsidRPr="009F0A2C">
        <w:rPr>
          <w:rFonts w:eastAsia="Cambria"/>
          <w:color w:val="000000"/>
          <w:sz w:val="20"/>
          <w:szCs w:val="20"/>
        </w:rPr>
        <w:t xml:space="preserve"> Whare Tapa </w:t>
      </w:r>
      <w:proofErr w:type="spellStart"/>
      <w:r w:rsidRPr="009F0A2C">
        <w:rPr>
          <w:rFonts w:eastAsia="Cambria"/>
          <w:color w:val="000000"/>
          <w:sz w:val="20"/>
          <w:szCs w:val="20"/>
        </w:rPr>
        <w:t>Whā</w:t>
      </w:r>
      <w:proofErr w:type="spellEnd"/>
      <w:r w:rsidRPr="009F0A2C">
        <w:rPr>
          <w:rFonts w:eastAsia="Cambria"/>
          <w:color w:val="000000"/>
          <w:sz w:val="20"/>
          <w:szCs w:val="20"/>
        </w:rPr>
        <w:t xml:space="preserve"> on the Ministry of Health Website: </w:t>
      </w:r>
      <w:hyperlink r:id="rId1">
        <w:r w:rsidRPr="009F0A2C">
          <w:rPr>
            <w:rFonts w:eastAsia="Cambria"/>
            <w:color w:val="0563C1"/>
            <w:sz w:val="20"/>
            <w:szCs w:val="20"/>
            <w:u w:val="single"/>
          </w:rPr>
          <w:t>https://www.health.govt.nz/system/files/documents/pages/maori_health_model_tewhare.pdf</w:t>
        </w:r>
      </w:hyperlink>
    </w:p>
    <w:p w14:paraId="3252478A" w14:textId="77777777" w:rsidR="00AB3E7C" w:rsidRPr="002304F1" w:rsidRDefault="00AB3E7C" w:rsidP="00D74515">
      <w:pPr>
        <w:pBdr>
          <w:top w:val="nil"/>
          <w:left w:val="nil"/>
          <w:bottom w:val="nil"/>
          <w:right w:val="nil"/>
          <w:between w:val="nil"/>
        </w:pBdr>
        <w:rPr>
          <w:color w:val="000000"/>
          <w:sz w:val="20"/>
          <w:szCs w:val="20"/>
        </w:rPr>
      </w:pPr>
    </w:p>
  </w:footnote>
  <w:footnote w:id="9">
    <w:p w14:paraId="198F3AC6" w14:textId="77777777" w:rsidR="00AB3E7C" w:rsidRPr="009948BC" w:rsidRDefault="00AB3E7C" w:rsidP="007F7A29">
      <w:pPr>
        <w:pStyle w:val="FootnoteText"/>
      </w:pPr>
      <w:r>
        <w:rPr>
          <w:rStyle w:val="FootnoteReference"/>
        </w:rPr>
        <w:footnoteRef/>
      </w:r>
      <w:r>
        <w:t xml:space="preserve"> </w:t>
      </w:r>
      <w:proofErr w:type="spellStart"/>
      <w:r w:rsidRPr="007E68F6">
        <w:rPr>
          <w:sz w:val="20"/>
        </w:rPr>
        <w:t>Meihana</w:t>
      </w:r>
      <w:proofErr w:type="spellEnd"/>
      <w:r w:rsidRPr="007E68F6">
        <w:rPr>
          <w:sz w:val="20"/>
        </w:rPr>
        <w:t xml:space="preserve"> Durie, interview by Rand Hazou, Auckland, 20 August 2019.</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366B888" w14:textId="77777777" w:rsidR="00AB3E7C" w:rsidRDefault="00AB3E7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927E615" w14:textId="77777777" w:rsidR="00AB3E7C" w:rsidRDefault="00AB3E7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90AF45A" w14:textId="77777777" w:rsidR="00AB3E7C" w:rsidRDefault="00AB3E7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1D"/>
    <w:multiLevelType w:val="multilevel"/>
    <w:tmpl w:val="B0D4262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B1FECAFE"/>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7C74E2DA"/>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E8F228EA"/>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A274B1E8"/>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D2442F12"/>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79147BCA"/>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594C1B5A"/>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34C6DA04"/>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C472E25E"/>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5DC819AE"/>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41413E7"/>
    <w:multiLevelType w:val="multilevel"/>
    <w:tmpl w:val="5C64BE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05CC0843"/>
    <w:multiLevelType w:val="multilevel"/>
    <w:tmpl w:val="9426EBB6"/>
    <w:lvl w:ilvl="0">
      <w:start w:val="1"/>
      <w:numFmt w:val="decimal"/>
      <w:lvlText w:val="(%1)"/>
      <w:lvlJc w:val="right"/>
      <w:pPr>
        <w:ind w:left="720" w:hanging="181"/>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0D0E765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18D55D20"/>
    <w:multiLevelType w:val="multilevel"/>
    <w:tmpl w:val="A09CE88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F413159"/>
    <w:multiLevelType w:val="multilevel"/>
    <w:tmpl w:val="30C08770"/>
    <w:lvl w:ilvl="0">
      <w:start w:val="1"/>
      <w:numFmt w:val="decimal"/>
      <w:lvlText w:val="(%1)"/>
      <w:lvlJc w:val="right"/>
      <w:pPr>
        <w:ind w:left="720" w:hanging="153"/>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1FBD58E1"/>
    <w:multiLevelType w:val="multilevel"/>
    <w:tmpl w:val="1B88B87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27E8289F"/>
    <w:multiLevelType w:val="hybridMultilevel"/>
    <w:tmpl w:val="E976D66C"/>
    <w:lvl w:ilvl="0" w:tplc="0CDA7214">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8" w15:restartNumberingAfterBreak="0">
    <w:nsid w:val="389B5003"/>
    <w:multiLevelType w:val="multilevel"/>
    <w:tmpl w:val="DD5255FA"/>
    <w:lvl w:ilvl="0">
      <w:start w:val="1"/>
      <w:numFmt w:val="decimal"/>
      <w:lvlText w:val="(%1)"/>
      <w:lvlJc w:val="left"/>
      <w:pPr>
        <w:ind w:left="720" w:hanging="45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3C5D0C07"/>
    <w:multiLevelType w:val="hybridMultilevel"/>
    <w:tmpl w:val="4CA02766"/>
    <w:lvl w:ilvl="0" w:tplc="79367BA0">
      <w:start w:val="1"/>
      <w:numFmt w:val="decimal"/>
      <w:pStyle w:val="Numberedlist"/>
      <w:lvlText w:val="(%1)"/>
      <w:lvlJc w:val="right"/>
      <w:pPr>
        <w:ind w:left="720" w:hanging="153"/>
      </w:pPr>
      <w:rPr>
        <w:rFonts w:hint="default"/>
      </w:rPr>
    </w:lvl>
    <w:lvl w:ilvl="1" w:tplc="FE3AC208">
      <w:start w:val="1"/>
      <w:numFmt w:val="lowerLetter"/>
      <w:lvlText w:val="(%2)"/>
      <w:lvlJc w:val="left"/>
      <w:pPr>
        <w:ind w:left="1440" w:hanging="360"/>
      </w:pPr>
      <w:rPr>
        <w:rFonts w:hint="default"/>
      </w:rPr>
    </w:lvl>
    <w:lvl w:ilvl="2" w:tplc="77E4D7DE">
      <w:start w:val="1"/>
      <w:numFmt w:val="lowerRoman"/>
      <w:lvlText w:val="(%3)"/>
      <w:lvlJc w:val="right"/>
      <w:pPr>
        <w:ind w:left="2160" w:hanging="18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D4A71FF"/>
    <w:multiLevelType w:val="hybridMultilevel"/>
    <w:tmpl w:val="CADCD1B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4D266043"/>
    <w:multiLevelType w:val="multilevel"/>
    <w:tmpl w:val="8326D92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838135E"/>
    <w:multiLevelType w:val="hybridMultilevel"/>
    <w:tmpl w:val="68EEE13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5BD96BF8"/>
    <w:multiLevelType w:val="hybridMultilevel"/>
    <w:tmpl w:val="76D2C65A"/>
    <w:lvl w:ilvl="0" w:tplc="0456C424">
      <w:start w:val="1"/>
      <w:numFmt w:val="bullet"/>
      <w:pStyle w:val="Bulleted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DD751B3"/>
    <w:multiLevelType w:val="hybridMultilevel"/>
    <w:tmpl w:val="570828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3FA38AF"/>
    <w:multiLevelType w:val="hybridMultilevel"/>
    <w:tmpl w:val="C96A95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D9373AB"/>
    <w:multiLevelType w:val="multilevel"/>
    <w:tmpl w:val="B89CB32C"/>
    <w:lvl w:ilvl="0">
      <w:start w:val="1"/>
      <w:numFmt w:val="decimal"/>
      <w:lvlText w:val="(%1)"/>
      <w:lvlJc w:val="right"/>
      <w:pPr>
        <w:ind w:left="720" w:hanging="153"/>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7"/>
  </w:num>
  <w:num w:numId="2">
    <w:abstractNumId w:val="22"/>
  </w:num>
  <w:num w:numId="3">
    <w:abstractNumId w:val="1"/>
  </w:num>
  <w:num w:numId="4">
    <w:abstractNumId w:val="2"/>
  </w:num>
  <w:num w:numId="5">
    <w:abstractNumId w:val="3"/>
  </w:num>
  <w:num w:numId="6">
    <w:abstractNumId w:val="4"/>
  </w:num>
  <w:num w:numId="7">
    <w:abstractNumId w:val="9"/>
  </w:num>
  <w:num w:numId="8">
    <w:abstractNumId w:val="5"/>
  </w:num>
  <w:num w:numId="9">
    <w:abstractNumId w:val="7"/>
  </w:num>
  <w:num w:numId="10">
    <w:abstractNumId w:val="6"/>
  </w:num>
  <w:num w:numId="11">
    <w:abstractNumId w:val="10"/>
  </w:num>
  <w:num w:numId="12">
    <w:abstractNumId w:val="8"/>
  </w:num>
  <w:num w:numId="13">
    <w:abstractNumId w:val="19"/>
  </w:num>
  <w:num w:numId="14">
    <w:abstractNumId w:val="23"/>
  </w:num>
  <w:num w:numId="15">
    <w:abstractNumId w:val="16"/>
  </w:num>
  <w:num w:numId="16">
    <w:abstractNumId w:val="18"/>
  </w:num>
  <w:num w:numId="17">
    <w:abstractNumId w:val="12"/>
  </w:num>
  <w:num w:numId="18">
    <w:abstractNumId w:val="0"/>
  </w:num>
  <w:num w:numId="19">
    <w:abstractNumId w:val="13"/>
  </w:num>
  <w:num w:numId="20">
    <w:abstractNumId w:val="23"/>
  </w:num>
  <w:num w:numId="21">
    <w:abstractNumId w:val="23"/>
  </w:num>
  <w:num w:numId="22">
    <w:abstractNumId w:val="23"/>
  </w:num>
  <w:num w:numId="23">
    <w:abstractNumId w:val="23"/>
  </w:num>
  <w:num w:numId="24">
    <w:abstractNumId w:val="19"/>
  </w:num>
  <w:num w:numId="25">
    <w:abstractNumId w:val="20"/>
  </w:num>
  <w:num w:numId="26">
    <w:abstractNumId w:val="24"/>
  </w:num>
  <w:num w:numId="27">
    <w:abstractNumId w:val="25"/>
  </w:num>
  <w:num w:numId="28">
    <w:abstractNumId w:val="23"/>
  </w:num>
  <w:num w:numId="29">
    <w:abstractNumId w:val="15"/>
  </w:num>
  <w:num w:numId="30">
    <w:abstractNumId w:val="26"/>
  </w:num>
  <w:num w:numId="31">
    <w:abstractNumId w:val="14"/>
  </w:num>
  <w:num w:numId="32">
    <w:abstractNumId w:val="21"/>
  </w:num>
  <w:num w:numId="3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233"/>
  <w:proofState w:spelling="clean" w:grammar="clean"/>
  <w:attachedTemplate r:id="rId1"/>
  <w:stylePaneFormatFilter w:val="1008" w:allStyles="0" w:customStyles="0" w:latentStyles="0" w:stylesInUse="1" w:headingStyles="0"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60C9"/>
    <w:rsid w:val="00001899"/>
    <w:rsid w:val="000049AD"/>
    <w:rsid w:val="0000681B"/>
    <w:rsid w:val="000133C0"/>
    <w:rsid w:val="00014C4E"/>
    <w:rsid w:val="00017107"/>
    <w:rsid w:val="000202E2"/>
    <w:rsid w:val="00022441"/>
    <w:rsid w:val="0002261E"/>
    <w:rsid w:val="00024839"/>
    <w:rsid w:val="00026871"/>
    <w:rsid w:val="00037A98"/>
    <w:rsid w:val="000427FB"/>
    <w:rsid w:val="00044482"/>
    <w:rsid w:val="0004455E"/>
    <w:rsid w:val="00045945"/>
    <w:rsid w:val="00047CB5"/>
    <w:rsid w:val="00051FAA"/>
    <w:rsid w:val="000572A9"/>
    <w:rsid w:val="00061325"/>
    <w:rsid w:val="000733AC"/>
    <w:rsid w:val="00073C11"/>
    <w:rsid w:val="00074B81"/>
    <w:rsid w:val="00074D22"/>
    <w:rsid w:val="00075081"/>
    <w:rsid w:val="0007528A"/>
    <w:rsid w:val="000802D1"/>
    <w:rsid w:val="000811AB"/>
    <w:rsid w:val="000834E0"/>
    <w:rsid w:val="00083C5F"/>
    <w:rsid w:val="0009172C"/>
    <w:rsid w:val="000930EC"/>
    <w:rsid w:val="00095E61"/>
    <w:rsid w:val="000966C1"/>
    <w:rsid w:val="000970AC"/>
    <w:rsid w:val="000A1167"/>
    <w:rsid w:val="000A4428"/>
    <w:rsid w:val="000A6D40"/>
    <w:rsid w:val="000A7BC3"/>
    <w:rsid w:val="000B1661"/>
    <w:rsid w:val="000B1F0B"/>
    <w:rsid w:val="000B2E88"/>
    <w:rsid w:val="000B4603"/>
    <w:rsid w:val="000C09BE"/>
    <w:rsid w:val="000C1380"/>
    <w:rsid w:val="000C554F"/>
    <w:rsid w:val="000D0DC5"/>
    <w:rsid w:val="000D15FF"/>
    <w:rsid w:val="000D28DF"/>
    <w:rsid w:val="000D488B"/>
    <w:rsid w:val="000D68DF"/>
    <w:rsid w:val="000E01C9"/>
    <w:rsid w:val="000E138D"/>
    <w:rsid w:val="000E187A"/>
    <w:rsid w:val="000E2D61"/>
    <w:rsid w:val="000E450E"/>
    <w:rsid w:val="000E6259"/>
    <w:rsid w:val="000F3E69"/>
    <w:rsid w:val="000F4677"/>
    <w:rsid w:val="000F4765"/>
    <w:rsid w:val="000F4F1E"/>
    <w:rsid w:val="000F5BE0"/>
    <w:rsid w:val="00100587"/>
    <w:rsid w:val="0010284E"/>
    <w:rsid w:val="00103122"/>
    <w:rsid w:val="0010336A"/>
    <w:rsid w:val="001050F1"/>
    <w:rsid w:val="00105AEA"/>
    <w:rsid w:val="00106DAF"/>
    <w:rsid w:val="00114ABE"/>
    <w:rsid w:val="00116023"/>
    <w:rsid w:val="00116165"/>
    <w:rsid w:val="00134477"/>
    <w:rsid w:val="00134A51"/>
    <w:rsid w:val="00140727"/>
    <w:rsid w:val="00141C4D"/>
    <w:rsid w:val="00160628"/>
    <w:rsid w:val="00161344"/>
    <w:rsid w:val="00162195"/>
    <w:rsid w:val="0016322A"/>
    <w:rsid w:val="00165A21"/>
    <w:rsid w:val="001705CE"/>
    <w:rsid w:val="0017714B"/>
    <w:rsid w:val="001804DF"/>
    <w:rsid w:val="00181BDC"/>
    <w:rsid w:val="00181DB0"/>
    <w:rsid w:val="001829E3"/>
    <w:rsid w:val="0018724F"/>
    <w:rsid w:val="001924C0"/>
    <w:rsid w:val="0019731E"/>
    <w:rsid w:val="001A09FE"/>
    <w:rsid w:val="001A1069"/>
    <w:rsid w:val="001A67C9"/>
    <w:rsid w:val="001A69DE"/>
    <w:rsid w:val="001A713C"/>
    <w:rsid w:val="001B1C7C"/>
    <w:rsid w:val="001B398F"/>
    <w:rsid w:val="001B46C6"/>
    <w:rsid w:val="001B4B48"/>
    <w:rsid w:val="001B4D1F"/>
    <w:rsid w:val="001B7681"/>
    <w:rsid w:val="001B7CAE"/>
    <w:rsid w:val="001C0772"/>
    <w:rsid w:val="001C0D4F"/>
    <w:rsid w:val="001C1BA3"/>
    <w:rsid w:val="001C1DEC"/>
    <w:rsid w:val="001C5736"/>
    <w:rsid w:val="001C7381"/>
    <w:rsid w:val="001D1F39"/>
    <w:rsid w:val="001D214A"/>
    <w:rsid w:val="001D31CF"/>
    <w:rsid w:val="001D647F"/>
    <w:rsid w:val="001D6857"/>
    <w:rsid w:val="001E0572"/>
    <w:rsid w:val="001E0A67"/>
    <w:rsid w:val="001E1028"/>
    <w:rsid w:val="001E14E2"/>
    <w:rsid w:val="001E6302"/>
    <w:rsid w:val="001E7DCB"/>
    <w:rsid w:val="001F26EB"/>
    <w:rsid w:val="001F3411"/>
    <w:rsid w:val="001F4287"/>
    <w:rsid w:val="001F4512"/>
    <w:rsid w:val="001F4DBA"/>
    <w:rsid w:val="0020415E"/>
    <w:rsid w:val="00204558"/>
    <w:rsid w:val="00204FF4"/>
    <w:rsid w:val="0021056E"/>
    <w:rsid w:val="0021075D"/>
    <w:rsid w:val="0021165A"/>
    <w:rsid w:val="00211BC9"/>
    <w:rsid w:val="0021620C"/>
    <w:rsid w:val="00216E78"/>
    <w:rsid w:val="00217275"/>
    <w:rsid w:val="002211DD"/>
    <w:rsid w:val="002304F1"/>
    <w:rsid w:val="00230A5A"/>
    <w:rsid w:val="00236F4B"/>
    <w:rsid w:val="00242B0D"/>
    <w:rsid w:val="002467C6"/>
    <w:rsid w:val="0024692A"/>
    <w:rsid w:val="0024702B"/>
    <w:rsid w:val="00252BBA"/>
    <w:rsid w:val="0025308E"/>
    <w:rsid w:val="00253123"/>
    <w:rsid w:val="0025323A"/>
    <w:rsid w:val="00264001"/>
    <w:rsid w:val="00266354"/>
    <w:rsid w:val="00267A18"/>
    <w:rsid w:val="00270B65"/>
    <w:rsid w:val="00271A97"/>
    <w:rsid w:val="00273462"/>
    <w:rsid w:val="0027395B"/>
    <w:rsid w:val="00275854"/>
    <w:rsid w:val="00283B41"/>
    <w:rsid w:val="00284A07"/>
    <w:rsid w:val="00285F28"/>
    <w:rsid w:val="00286398"/>
    <w:rsid w:val="002A3C42"/>
    <w:rsid w:val="002A5D75"/>
    <w:rsid w:val="002B1B1A"/>
    <w:rsid w:val="002B7228"/>
    <w:rsid w:val="002C53EE"/>
    <w:rsid w:val="002C5F67"/>
    <w:rsid w:val="002D24F7"/>
    <w:rsid w:val="002D2799"/>
    <w:rsid w:val="002D2CD7"/>
    <w:rsid w:val="002D4DDC"/>
    <w:rsid w:val="002D4F75"/>
    <w:rsid w:val="002D6493"/>
    <w:rsid w:val="002D7AB6"/>
    <w:rsid w:val="002E06D0"/>
    <w:rsid w:val="002E3C27"/>
    <w:rsid w:val="002E403A"/>
    <w:rsid w:val="002E7F3A"/>
    <w:rsid w:val="002F4EDB"/>
    <w:rsid w:val="002F599F"/>
    <w:rsid w:val="002F6054"/>
    <w:rsid w:val="00307650"/>
    <w:rsid w:val="00310E13"/>
    <w:rsid w:val="00315713"/>
    <w:rsid w:val="0031686C"/>
    <w:rsid w:val="00316FE0"/>
    <w:rsid w:val="003204D2"/>
    <w:rsid w:val="00321DA7"/>
    <w:rsid w:val="0032605E"/>
    <w:rsid w:val="00326490"/>
    <w:rsid w:val="003275D1"/>
    <w:rsid w:val="00330B2A"/>
    <w:rsid w:val="00331E17"/>
    <w:rsid w:val="00332915"/>
    <w:rsid w:val="00333063"/>
    <w:rsid w:val="003408E3"/>
    <w:rsid w:val="00343480"/>
    <w:rsid w:val="00345A66"/>
    <w:rsid w:val="00345E89"/>
    <w:rsid w:val="00346B98"/>
    <w:rsid w:val="003522A1"/>
    <w:rsid w:val="0035254B"/>
    <w:rsid w:val="00353555"/>
    <w:rsid w:val="003565D4"/>
    <w:rsid w:val="00357830"/>
    <w:rsid w:val="003607FB"/>
    <w:rsid w:val="00360FD5"/>
    <w:rsid w:val="0036340D"/>
    <w:rsid w:val="003634A5"/>
    <w:rsid w:val="00364D77"/>
    <w:rsid w:val="003654C6"/>
    <w:rsid w:val="00366868"/>
    <w:rsid w:val="00367506"/>
    <w:rsid w:val="00370085"/>
    <w:rsid w:val="003744A7"/>
    <w:rsid w:val="00376235"/>
    <w:rsid w:val="00381FB6"/>
    <w:rsid w:val="003836D3"/>
    <w:rsid w:val="00383A52"/>
    <w:rsid w:val="00391652"/>
    <w:rsid w:val="0039507F"/>
    <w:rsid w:val="003A0B41"/>
    <w:rsid w:val="003A1260"/>
    <w:rsid w:val="003A295F"/>
    <w:rsid w:val="003A41DD"/>
    <w:rsid w:val="003A7033"/>
    <w:rsid w:val="003B08FD"/>
    <w:rsid w:val="003B42D3"/>
    <w:rsid w:val="003B47FE"/>
    <w:rsid w:val="003B5673"/>
    <w:rsid w:val="003B6287"/>
    <w:rsid w:val="003B62C9"/>
    <w:rsid w:val="003C3847"/>
    <w:rsid w:val="003C6F85"/>
    <w:rsid w:val="003C7176"/>
    <w:rsid w:val="003C7265"/>
    <w:rsid w:val="003D0929"/>
    <w:rsid w:val="003D3EA8"/>
    <w:rsid w:val="003D4729"/>
    <w:rsid w:val="003D7DD6"/>
    <w:rsid w:val="003E5AAF"/>
    <w:rsid w:val="003E600D"/>
    <w:rsid w:val="003E64DF"/>
    <w:rsid w:val="003E6A5D"/>
    <w:rsid w:val="003F193A"/>
    <w:rsid w:val="003F4207"/>
    <w:rsid w:val="003F5C46"/>
    <w:rsid w:val="003F7CBB"/>
    <w:rsid w:val="003F7D34"/>
    <w:rsid w:val="00410F67"/>
    <w:rsid w:val="00412C8E"/>
    <w:rsid w:val="0041518D"/>
    <w:rsid w:val="0042221D"/>
    <w:rsid w:val="00424DD3"/>
    <w:rsid w:val="004269C5"/>
    <w:rsid w:val="00435939"/>
    <w:rsid w:val="00437CC7"/>
    <w:rsid w:val="004410C1"/>
    <w:rsid w:val="00442B9C"/>
    <w:rsid w:val="00445EFA"/>
    <w:rsid w:val="0044738A"/>
    <w:rsid w:val="004473D3"/>
    <w:rsid w:val="00452231"/>
    <w:rsid w:val="00460C13"/>
    <w:rsid w:val="00463228"/>
    <w:rsid w:val="0046339E"/>
    <w:rsid w:val="00463782"/>
    <w:rsid w:val="004667E0"/>
    <w:rsid w:val="0046760E"/>
    <w:rsid w:val="00470E10"/>
    <w:rsid w:val="00477A97"/>
    <w:rsid w:val="00481343"/>
    <w:rsid w:val="0048549E"/>
    <w:rsid w:val="004860C9"/>
    <w:rsid w:val="0049109C"/>
    <w:rsid w:val="004930C6"/>
    <w:rsid w:val="00493347"/>
    <w:rsid w:val="00496092"/>
    <w:rsid w:val="00497807"/>
    <w:rsid w:val="004A08DB"/>
    <w:rsid w:val="004A25D0"/>
    <w:rsid w:val="004A37E8"/>
    <w:rsid w:val="004A7549"/>
    <w:rsid w:val="004B09D4"/>
    <w:rsid w:val="004B309D"/>
    <w:rsid w:val="004B330A"/>
    <w:rsid w:val="004B7C8E"/>
    <w:rsid w:val="004C3D3C"/>
    <w:rsid w:val="004D0EDC"/>
    <w:rsid w:val="004D1220"/>
    <w:rsid w:val="004D14B3"/>
    <w:rsid w:val="004D1529"/>
    <w:rsid w:val="004D2253"/>
    <w:rsid w:val="004D5514"/>
    <w:rsid w:val="004D56C3"/>
    <w:rsid w:val="004E0338"/>
    <w:rsid w:val="004E4FF3"/>
    <w:rsid w:val="004E56A8"/>
    <w:rsid w:val="004F3B55"/>
    <w:rsid w:val="004F428E"/>
    <w:rsid w:val="004F4E46"/>
    <w:rsid w:val="004F6B7D"/>
    <w:rsid w:val="004F7851"/>
    <w:rsid w:val="005015F6"/>
    <w:rsid w:val="005030C4"/>
    <w:rsid w:val="005031C5"/>
    <w:rsid w:val="00504FDC"/>
    <w:rsid w:val="005120CC"/>
    <w:rsid w:val="00512B7B"/>
    <w:rsid w:val="00514EA1"/>
    <w:rsid w:val="0051798B"/>
    <w:rsid w:val="005218BC"/>
    <w:rsid w:val="00521F5A"/>
    <w:rsid w:val="00525911"/>
    <w:rsid w:val="00525E06"/>
    <w:rsid w:val="00526454"/>
    <w:rsid w:val="00531823"/>
    <w:rsid w:val="00534ECC"/>
    <w:rsid w:val="00535939"/>
    <w:rsid w:val="0053720D"/>
    <w:rsid w:val="00540EF5"/>
    <w:rsid w:val="00541BF3"/>
    <w:rsid w:val="00541CD3"/>
    <w:rsid w:val="005441D0"/>
    <w:rsid w:val="00545456"/>
    <w:rsid w:val="005476FA"/>
    <w:rsid w:val="00550461"/>
    <w:rsid w:val="0055441B"/>
    <w:rsid w:val="0055595E"/>
    <w:rsid w:val="00557988"/>
    <w:rsid w:val="00562C49"/>
    <w:rsid w:val="00562DEF"/>
    <w:rsid w:val="0056321A"/>
    <w:rsid w:val="00563A35"/>
    <w:rsid w:val="00566596"/>
    <w:rsid w:val="005741E9"/>
    <w:rsid w:val="005748CF"/>
    <w:rsid w:val="00581780"/>
    <w:rsid w:val="00584270"/>
    <w:rsid w:val="00584738"/>
    <w:rsid w:val="00586D6C"/>
    <w:rsid w:val="005920B0"/>
    <w:rsid w:val="0059380D"/>
    <w:rsid w:val="00595A8F"/>
    <w:rsid w:val="005977C2"/>
    <w:rsid w:val="00597BF2"/>
    <w:rsid w:val="005A1F54"/>
    <w:rsid w:val="005A3020"/>
    <w:rsid w:val="005A4522"/>
    <w:rsid w:val="005B134E"/>
    <w:rsid w:val="005B2039"/>
    <w:rsid w:val="005B344F"/>
    <w:rsid w:val="005B3FBA"/>
    <w:rsid w:val="005B4A1D"/>
    <w:rsid w:val="005B674D"/>
    <w:rsid w:val="005C056D"/>
    <w:rsid w:val="005C0CBE"/>
    <w:rsid w:val="005C1FCF"/>
    <w:rsid w:val="005C3F41"/>
    <w:rsid w:val="005D1885"/>
    <w:rsid w:val="005D4A38"/>
    <w:rsid w:val="005D5E03"/>
    <w:rsid w:val="005E2EEA"/>
    <w:rsid w:val="005E3708"/>
    <w:rsid w:val="005E3CCD"/>
    <w:rsid w:val="005E3D6B"/>
    <w:rsid w:val="005E5B55"/>
    <w:rsid w:val="005E5E4A"/>
    <w:rsid w:val="005E693D"/>
    <w:rsid w:val="005E75BF"/>
    <w:rsid w:val="005E7CFD"/>
    <w:rsid w:val="005F57BA"/>
    <w:rsid w:val="005F61E6"/>
    <w:rsid w:val="005F6C45"/>
    <w:rsid w:val="00605A69"/>
    <w:rsid w:val="00606C54"/>
    <w:rsid w:val="00614375"/>
    <w:rsid w:val="00615B0A"/>
    <w:rsid w:val="006168CF"/>
    <w:rsid w:val="0062011B"/>
    <w:rsid w:val="0062601A"/>
    <w:rsid w:val="00626DE0"/>
    <w:rsid w:val="00630901"/>
    <w:rsid w:val="00631F8E"/>
    <w:rsid w:val="00636EE9"/>
    <w:rsid w:val="00640950"/>
    <w:rsid w:val="00641AE7"/>
    <w:rsid w:val="00642629"/>
    <w:rsid w:val="006462CB"/>
    <w:rsid w:val="0064782B"/>
    <w:rsid w:val="0065293D"/>
    <w:rsid w:val="00653EFC"/>
    <w:rsid w:val="00654021"/>
    <w:rsid w:val="006577F2"/>
    <w:rsid w:val="00661045"/>
    <w:rsid w:val="00666DA8"/>
    <w:rsid w:val="00671057"/>
    <w:rsid w:val="00675AAF"/>
    <w:rsid w:val="0068031A"/>
    <w:rsid w:val="00681B2F"/>
    <w:rsid w:val="0068335F"/>
    <w:rsid w:val="00687217"/>
    <w:rsid w:val="00691F99"/>
    <w:rsid w:val="00693302"/>
    <w:rsid w:val="0069640B"/>
    <w:rsid w:val="00696E8A"/>
    <w:rsid w:val="006A1B83"/>
    <w:rsid w:val="006A21CD"/>
    <w:rsid w:val="006A5172"/>
    <w:rsid w:val="006A5918"/>
    <w:rsid w:val="006B0A4A"/>
    <w:rsid w:val="006B21B2"/>
    <w:rsid w:val="006B4A4A"/>
    <w:rsid w:val="006C19B2"/>
    <w:rsid w:val="006C4409"/>
    <w:rsid w:val="006C5BB8"/>
    <w:rsid w:val="006C6936"/>
    <w:rsid w:val="006C7B01"/>
    <w:rsid w:val="006D0FE8"/>
    <w:rsid w:val="006D4B2B"/>
    <w:rsid w:val="006D4F3C"/>
    <w:rsid w:val="006D5C66"/>
    <w:rsid w:val="006D7002"/>
    <w:rsid w:val="006E1B3C"/>
    <w:rsid w:val="006E23FB"/>
    <w:rsid w:val="006E325A"/>
    <w:rsid w:val="006E33EC"/>
    <w:rsid w:val="006E3802"/>
    <w:rsid w:val="006E5B70"/>
    <w:rsid w:val="006E6C02"/>
    <w:rsid w:val="006F231A"/>
    <w:rsid w:val="006F6B55"/>
    <w:rsid w:val="006F788D"/>
    <w:rsid w:val="006F78E1"/>
    <w:rsid w:val="00701072"/>
    <w:rsid w:val="00702054"/>
    <w:rsid w:val="007035A4"/>
    <w:rsid w:val="00711799"/>
    <w:rsid w:val="007125CA"/>
    <w:rsid w:val="00712B78"/>
    <w:rsid w:val="0071393B"/>
    <w:rsid w:val="00713EE2"/>
    <w:rsid w:val="007177FC"/>
    <w:rsid w:val="00720C5E"/>
    <w:rsid w:val="00721701"/>
    <w:rsid w:val="00731835"/>
    <w:rsid w:val="007341F8"/>
    <w:rsid w:val="00734372"/>
    <w:rsid w:val="00734EB8"/>
    <w:rsid w:val="00735F8B"/>
    <w:rsid w:val="0074090B"/>
    <w:rsid w:val="00742D1F"/>
    <w:rsid w:val="00743EBA"/>
    <w:rsid w:val="00744C8E"/>
    <w:rsid w:val="00745552"/>
    <w:rsid w:val="0074707E"/>
    <w:rsid w:val="007516DC"/>
    <w:rsid w:val="00752E58"/>
    <w:rsid w:val="00754B80"/>
    <w:rsid w:val="00761918"/>
    <w:rsid w:val="00762F03"/>
    <w:rsid w:val="0076413B"/>
    <w:rsid w:val="007648AE"/>
    <w:rsid w:val="00764BF8"/>
    <w:rsid w:val="0076514D"/>
    <w:rsid w:val="00773D59"/>
    <w:rsid w:val="00781003"/>
    <w:rsid w:val="007911FD"/>
    <w:rsid w:val="00793930"/>
    <w:rsid w:val="00793DD1"/>
    <w:rsid w:val="00794FEC"/>
    <w:rsid w:val="007A003E"/>
    <w:rsid w:val="007A1965"/>
    <w:rsid w:val="007A2ED1"/>
    <w:rsid w:val="007A418A"/>
    <w:rsid w:val="007A4BE6"/>
    <w:rsid w:val="007B0DC6"/>
    <w:rsid w:val="007B1094"/>
    <w:rsid w:val="007B1762"/>
    <w:rsid w:val="007B3320"/>
    <w:rsid w:val="007C301F"/>
    <w:rsid w:val="007C4540"/>
    <w:rsid w:val="007C65AF"/>
    <w:rsid w:val="007D135D"/>
    <w:rsid w:val="007D730F"/>
    <w:rsid w:val="007D7CD8"/>
    <w:rsid w:val="007E1D66"/>
    <w:rsid w:val="007E3AA7"/>
    <w:rsid w:val="007E68F6"/>
    <w:rsid w:val="007F737D"/>
    <w:rsid w:val="007F7A29"/>
    <w:rsid w:val="0080244D"/>
    <w:rsid w:val="0080308E"/>
    <w:rsid w:val="00805303"/>
    <w:rsid w:val="00805D19"/>
    <w:rsid w:val="00806705"/>
    <w:rsid w:val="00806738"/>
    <w:rsid w:val="0081361E"/>
    <w:rsid w:val="008216D5"/>
    <w:rsid w:val="008249CE"/>
    <w:rsid w:val="00831A50"/>
    <w:rsid w:val="00831B3C"/>
    <w:rsid w:val="00831C89"/>
    <w:rsid w:val="00832114"/>
    <w:rsid w:val="008324F7"/>
    <w:rsid w:val="00834C46"/>
    <w:rsid w:val="0084093E"/>
    <w:rsid w:val="00841CE1"/>
    <w:rsid w:val="008473D8"/>
    <w:rsid w:val="008528DC"/>
    <w:rsid w:val="00852B8C"/>
    <w:rsid w:val="00854981"/>
    <w:rsid w:val="008619CD"/>
    <w:rsid w:val="008622B1"/>
    <w:rsid w:val="00864A70"/>
    <w:rsid w:val="00864B2E"/>
    <w:rsid w:val="00865963"/>
    <w:rsid w:val="00871C1D"/>
    <w:rsid w:val="0087450E"/>
    <w:rsid w:val="00875A82"/>
    <w:rsid w:val="00876CA3"/>
    <w:rsid w:val="008772FE"/>
    <w:rsid w:val="008775F1"/>
    <w:rsid w:val="008821AE"/>
    <w:rsid w:val="00883D3A"/>
    <w:rsid w:val="008854F7"/>
    <w:rsid w:val="00885A9D"/>
    <w:rsid w:val="008901D3"/>
    <w:rsid w:val="008929D2"/>
    <w:rsid w:val="00893636"/>
    <w:rsid w:val="00893B94"/>
    <w:rsid w:val="00896E9D"/>
    <w:rsid w:val="00896F11"/>
    <w:rsid w:val="008A1049"/>
    <w:rsid w:val="008A1C98"/>
    <w:rsid w:val="008A322D"/>
    <w:rsid w:val="008A4D72"/>
    <w:rsid w:val="008A6285"/>
    <w:rsid w:val="008A63B2"/>
    <w:rsid w:val="008B345D"/>
    <w:rsid w:val="008C1FC2"/>
    <w:rsid w:val="008C2980"/>
    <w:rsid w:val="008C4DD6"/>
    <w:rsid w:val="008C5AFB"/>
    <w:rsid w:val="008D07FB"/>
    <w:rsid w:val="008D0C02"/>
    <w:rsid w:val="008D357D"/>
    <w:rsid w:val="008D435A"/>
    <w:rsid w:val="008E2C75"/>
    <w:rsid w:val="008E387B"/>
    <w:rsid w:val="008E50D6"/>
    <w:rsid w:val="008E6087"/>
    <w:rsid w:val="008E7391"/>
    <w:rsid w:val="008E758D"/>
    <w:rsid w:val="008F10A7"/>
    <w:rsid w:val="008F755D"/>
    <w:rsid w:val="008F7A39"/>
    <w:rsid w:val="009021E8"/>
    <w:rsid w:val="00904677"/>
    <w:rsid w:val="00905EE2"/>
    <w:rsid w:val="00907585"/>
    <w:rsid w:val="00911440"/>
    <w:rsid w:val="00911712"/>
    <w:rsid w:val="00911B27"/>
    <w:rsid w:val="00915C9B"/>
    <w:rsid w:val="009170BE"/>
    <w:rsid w:val="00920B55"/>
    <w:rsid w:val="00920C02"/>
    <w:rsid w:val="00920FAE"/>
    <w:rsid w:val="009262C9"/>
    <w:rsid w:val="00930EB9"/>
    <w:rsid w:val="00931CAC"/>
    <w:rsid w:val="009329F2"/>
    <w:rsid w:val="00933DC7"/>
    <w:rsid w:val="009418F4"/>
    <w:rsid w:val="00942BBC"/>
    <w:rsid w:val="00944180"/>
    <w:rsid w:val="00944AA0"/>
    <w:rsid w:val="00947DA2"/>
    <w:rsid w:val="00951177"/>
    <w:rsid w:val="009608A5"/>
    <w:rsid w:val="00963423"/>
    <w:rsid w:val="009673E8"/>
    <w:rsid w:val="00974DB8"/>
    <w:rsid w:val="00980661"/>
    <w:rsid w:val="0098093B"/>
    <w:rsid w:val="00985603"/>
    <w:rsid w:val="009876D4"/>
    <w:rsid w:val="009914A5"/>
    <w:rsid w:val="009948BC"/>
    <w:rsid w:val="0099548E"/>
    <w:rsid w:val="00996456"/>
    <w:rsid w:val="00996A12"/>
    <w:rsid w:val="00997A93"/>
    <w:rsid w:val="00997B0F"/>
    <w:rsid w:val="009A0CC3"/>
    <w:rsid w:val="009A1CAD"/>
    <w:rsid w:val="009A3440"/>
    <w:rsid w:val="009A5832"/>
    <w:rsid w:val="009A6838"/>
    <w:rsid w:val="009B24B5"/>
    <w:rsid w:val="009B4EBC"/>
    <w:rsid w:val="009B5ABB"/>
    <w:rsid w:val="009B73CE"/>
    <w:rsid w:val="009C1FCD"/>
    <w:rsid w:val="009C2461"/>
    <w:rsid w:val="009C599B"/>
    <w:rsid w:val="009C5A15"/>
    <w:rsid w:val="009C6FE2"/>
    <w:rsid w:val="009C7674"/>
    <w:rsid w:val="009D004A"/>
    <w:rsid w:val="009D5880"/>
    <w:rsid w:val="009E1FD4"/>
    <w:rsid w:val="009E3B07"/>
    <w:rsid w:val="009E51D1"/>
    <w:rsid w:val="009E5531"/>
    <w:rsid w:val="009F0A2C"/>
    <w:rsid w:val="009F171E"/>
    <w:rsid w:val="009F3D2F"/>
    <w:rsid w:val="009F5D4B"/>
    <w:rsid w:val="009F7052"/>
    <w:rsid w:val="00A02668"/>
    <w:rsid w:val="00A02801"/>
    <w:rsid w:val="00A06A39"/>
    <w:rsid w:val="00A07F58"/>
    <w:rsid w:val="00A131CB"/>
    <w:rsid w:val="00A14847"/>
    <w:rsid w:val="00A16D6D"/>
    <w:rsid w:val="00A21383"/>
    <w:rsid w:val="00A2199F"/>
    <w:rsid w:val="00A21B31"/>
    <w:rsid w:val="00A2360E"/>
    <w:rsid w:val="00A26E0C"/>
    <w:rsid w:val="00A32FCB"/>
    <w:rsid w:val="00A34C25"/>
    <w:rsid w:val="00A3507D"/>
    <w:rsid w:val="00A3717A"/>
    <w:rsid w:val="00A4088C"/>
    <w:rsid w:val="00A4456B"/>
    <w:rsid w:val="00A448D4"/>
    <w:rsid w:val="00A452E0"/>
    <w:rsid w:val="00A506DF"/>
    <w:rsid w:val="00A51EA5"/>
    <w:rsid w:val="00A53742"/>
    <w:rsid w:val="00A5419D"/>
    <w:rsid w:val="00A557A1"/>
    <w:rsid w:val="00A5729C"/>
    <w:rsid w:val="00A63059"/>
    <w:rsid w:val="00A63AE3"/>
    <w:rsid w:val="00A651A4"/>
    <w:rsid w:val="00A71361"/>
    <w:rsid w:val="00A746E2"/>
    <w:rsid w:val="00A81FF2"/>
    <w:rsid w:val="00A83904"/>
    <w:rsid w:val="00A90A79"/>
    <w:rsid w:val="00A96B30"/>
    <w:rsid w:val="00A97A47"/>
    <w:rsid w:val="00AA442D"/>
    <w:rsid w:val="00AA59B5"/>
    <w:rsid w:val="00AA68D6"/>
    <w:rsid w:val="00AA7777"/>
    <w:rsid w:val="00AA7B84"/>
    <w:rsid w:val="00AB3E7C"/>
    <w:rsid w:val="00AC0B4C"/>
    <w:rsid w:val="00AC1164"/>
    <w:rsid w:val="00AC2296"/>
    <w:rsid w:val="00AC2754"/>
    <w:rsid w:val="00AC48B0"/>
    <w:rsid w:val="00AC4ACD"/>
    <w:rsid w:val="00AC5828"/>
    <w:rsid w:val="00AC5DFB"/>
    <w:rsid w:val="00AD13DC"/>
    <w:rsid w:val="00AD6DE2"/>
    <w:rsid w:val="00AE0A40"/>
    <w:rsid w:val="00AE1ED4"/>
    <w:rsid w:val="00AE21E1"/>
    <w:rsid w:val="00AE2F8D"/>
    <w:rsid w:val="00AE3BAE"/>
    <w:rsid w:val="00AE3D31"/>
    <w:rsid w:val="00AE6A21"/>
    <w:rsid w:val="00AF1C8F"/>
    <w:rsid w:val="00AF2B68"/>
    <w:rsid w:val="00AF2C92"/>
    <w:rsid w:val="00AF3EC1"/>
    <w:rsid w:val="00AF5025"/>
    <w:rsid w:val="00AF519F"/>
    <w:rsid w:val="00AF5387"/>
    <w:rsid w:val="00AF55F5"/>
    <w:rsid w:val="00AF7E86"/>
    <w:rsid w:val="00B024B9"/>
    <w:rsid w:val="00B077FA"/>
    <w:rsid w:val="00B127D7"/>
    <w:rsid w:val="00B13B0C"/>
    <w:rsid w:val="00B14408"/>
    <w:rsid w:val="00B1453A"/>
    <w:rsid w:val="00B20D0E"/>
    <w:rsid w:val="00B20F82"/>
    <w:rsid w:val="00B243F2"/>
    <w:rsid w:val="00B25BD5"/>
    <w:rsid w:val="00B26DB9"/>
    <w:rsid w:val="00B34079"/>
    <w:rsid w:val="00B369FD"/>
    <w:rsid w:val="00B3793A"/>
    <w:rsid w:val="00B401BA"/>
    <w:rsid w:val="00B407E4"/>
    <w:rsid w:val="00B41C02"/>
    <w:rsid w:val="00B425B6"/>
    <w:rsid w:val="00B42A72"/>
    <w:rsid w:val="00B441AE"/>
    <w:rsid w:val="00B452E9"/>
    <w:rsid w:val="00B45A65"/>
    <w:rsid w:val="00B45F33"/>
    <w:rsid w:val="00B46D50"/>
    <w:rsid w:val="00B5266F"/>
    <w:rsid w:val="00B53170"/>
    <w:rsid w:val="00B548B9"/>
    <w:rsid w:val="00B56DBE"/>
    <w:rsid w:val="00B62999"/>
    <w:rsid w:val="00B63BE3"/>
    <w:rsid w:val="00B64885"/>
    <w:rsid w:val="00B64FA3"/>
    <w:rsid w:val="00B66810"/>
    <w:rsid w:val="00B72BE3"/>
    <w:rsid w:val="00B73B80"/>
    <w:rsid w:val="00B770C7"/>
    <w:rsid w:val="00B80F26"/>
    <w:rsid w:val="00B822BD"/>
    <w:rsid w:val="00B842F4"/>
    <w:rsid w:val="00B91A7B"/>
    <w:rsid w:val="00B929DD"/>
    <w:rsid w:val="00B93AF6"/>
    <w:rsid w:val="00B95405"/>
    <w:rsid w:val="00B963F1"/>
    <w:rsid w:val="00BA020A"/>
    <w:rsid w:val="00BA776A"/>
    <w:rsid w:val="00BB025A"/>
    <w:rsid w:val="00BB02A4"/>
    <w:rsid w:val="00BB1270"/>
    <w:rsid w:val="00BB1E44"/>
    <w:rsid w:val="00BB51AA"/>
    <w:rsid w:val="00BB5267"/>
    <w:rsid w:val="00BB52B8"/>
    <w:rsid w:val="00BB59D8"/>
    <w:rsid w:val="00BB7E69"/>
    <w:rsid w:val="00BC0E51"/>
    <w:rsid w:val="00BC3C1F"/>
    <w:rsid w:val="00BC7CE7"/>
    <w:rsid w:val="00BD295E"/>
    <w:rsid w:val="00BD4664"/>
    <w:rsid w:val="00BE1193"/>
    <w:rsid w:val="00BF0C28"/>
    <w:rsid w:val="00BF4849"/>
    <w:rsid w:val="00BF4EA7"/>
    <w:rsid w:val="00BF6525"/>
    <w:rsid w:val="00C00EDB"/>
    <w:rsid w:val="00C02863"/>
    <w:rsid w:val="00C02CBA"/>
    <w:rsid w:val="00C03541"/>
    <w:rsid w:val="00C0383A"/>
    <w:rsid w:val="00C067FF"/>
    <w:rsid w:val="00C11D3A"/>
    <w:rsid w:val="00C12862"/>
    <w:rsid w:val="00C13D28"/>
    <w:rsid w:val="00C14585"/>
    <w:rsid w:val="00C165A0"/>
    <w:rsid w:val="00C216CE"/>
    <w:rsid w:val="00C2184F"/>
    <w:rsid w:val="00C22602"/>
    <w:rsid w:val="00C22A78"/>
    <w:rsid w:val="00C23C7E"/>
    <w:rsid w:val="00C246C5"/>
    <w:rsid w:val="00C25A82"/>
    <w:rsid w:val="00C30A2A"/>
    <w:rsid w:val="00C33993"/>
    <w:rsid w:val="00C341FC"/>
    <w:rsid w:val="00C4069E"/>
    <w:rsid w:val="00C40C43"/>
    <w:rsid w:val="00C41ADC"/>
    <w:rsid w:val="00C44149"/>
    <w:rsid w:val="00C44410"/>
    <w:rsid w:val="00C448C7"/>
    <w:rsid w:val="00C44A15"/>
    <w:rsid w:val="00C4630A"/>
    <w:rsid w:val="00C523F0"/>
    <w:rsid w:val="00C526D2"/>
    <w:rsid w:val="00C53A91"/>
    <w:rsid w:val="00C5794E"/>
    <w:rsid w:val="00C60968"/>
    <w:rsid w:val="00C63D39"/>
    <w:rsid w:val="00C63EDD"/>
    <w:rsid w:val="00C65B36"/>
    <w:rsid w:val="00C66463"/>
    <w:rsid w:val="00C7230F"/>
    <w:rsid w:val="00C7292E"/>
    <w:rsid w:val="00C74E88"/>
    <w:rsid w:val="00C80924"/>
    <w:rsid w:val="00C8286B"/>
    <w:rsid w:val="00C90C7C"/>
    <w:rsid w:val="00C947F8"/>
    <w:rsid w:val="00C9515F"/>
    <w:rsid w:val="00C963C5"/>
    <w:rsid w:val="00C97A18"/>
    <w:rsid w:val="00C97E72"/>
    <w:rsid w:val="00CA030C"/>
    <w:rsid w:val="00CA1F41"/>
    <w:rsid w:val="00CA32EE"/>
    <w:rsid w:val="00CA5771"/>
    <w:rsid w:val="00CA6A1A"/>
    <w:rsid w:val="00CB538A"/>
    <w:rsid w:val="00CC1E75"/>
    <w:rsid w:val="00CC2E0E"/>
    <w:rsid w:val="00CC361C"/>
    <w:rsid w:val="00CC39F1"/>
    <w:rsid w:val="00CC474B"/>
    <w:rsid w:val="00CC658C"/>
    <w:rsid w:val="00CC67BF"/>
    <w:rsid w:val="00CD0843"/>
    <w:rsid w:val="00CD4E31"/>
    <w:rsid w:val="00CD5A78"/>
    <w:rsid w:val="00CD7345"/>
    <w:rsid w:val="00CE0853"/>
    <w:rsid w:val="00CE372E"/>
    <w:rsid w:val="00CE689E"/>
    <w:rsid w:val="00CF0A1B"/>
    <w:rsid w:val="00CF19F6"/>
    <w:rsid w:val="00CF2F4F"/>
    <w:rsid w:val="00CF536D"/>
    <w:rsid w:val="00D024C4"/>
    <w:rsid w:val="00D02E9D"/>
    <w:rsid w:val="00D0414B"/>
    <w:rsid w:val="00D10CB8"/>
    <w:rsid w:val="00D12806"/>
    <w:rsid w:val="00D12D44"/>
    <w:rsid w:val="00D15018"/>
    <w:rsid w:val="00D158AC"/>
    <w:rsid w:val="00D1694C"/>
    <w:rsid w:val="00D20F5E"/>
    <w:rsid w:val="00D23B76"/>
    <w:rsid w:val="00D24B4A"/>
    <w:rsid w:val="00D306E6"/>
    <w:rsid w:val="00D35269"/>
    <w:rsid w:val="00D379A3"/>
    <w:rsid w:val="00D428B3"/>
    <w:rsid w:val="00D45FF3"/>
    <w:rsid w:val="00D512CF"/>
    <w:rsid w:val="00D528B9"/>
    <w:rsid w:val="00D53186"/>
    <w:rsid w:val="00D5487D"/>
    <w:rsid w:val="00D54D93"/>
    <w:rsid w:val="00D60140"/>
    <w:rsid w:val="00D6024A"/>
    <w:rsid w:val="00D608B5"/>
    <w:rsid w:val="00D64739"/>
    <w:rsid w:val="00D67E3A"/>
    <w:rsid w:val="00D705D3"/>
    <w:rsid w:val="00D71F99"/>
    <w:rsid w:val="00D73CA4"/>
    <w:rsid w:val="00D73D71"/>
    <w:rsid w:val="00D74396"/>
    <w:rsid w:val="00D74515"/>
    <w:rsid w:val="00D800B8"/>
    <w:rsid w:val="00D80284"/>
    <w:rsid w:val="00D81F71"/>
    <w:rsid w:val="00D8642D"/>
    <w:rsid w:val="00D90A5E"/>
    <w:rsid w:val="00D91A68"/>
    <w:rsid w:val="00D926C9"/>
    <w:rsid w:val="00D93088"/>
    <w:rsid w:val="00D95A68"/>
    <w:rsid w:val="00DA17C7"/>
    <w:rsid w:val="00DA3C5F"/>
    <w:rsid w:val="00DA6A9A"/>
    <w:rsid w:val="00DB1EFD"/>
    <w:rsid w:val="00DB3EAF"/>
    <w:rsid w:val="00DB46C6"/>
    <w:rsid w:val="00DC0D54"/>
    <w:rsid w:val="00DC3203"/>
    <w:rsid w:val="00DC3C99"/>
    <w:rsid w:val="00DC52F5"/>
    <w:rsid w:val="00DC5FD0"/>
    <w:rsid w:val="00DD0354"/>
    <w:rsid w:val="00DD27D7"/>
    <w:rsid w:val="00DD4197"/>
    <w:rsid w:val="00DD458C"/>
    <w:rsid w:val="00DD72E9"/>
    <w:rsid w:val="00DD7605"/>
    <w:rsid w:val="00DE2020"/>
    <w:rsid w:val="00DE3476"/>
    <w:rsid w:val="00DE7BEA"/>
    <w:rsid w:val="00DF5B84"/>
    <w:rsid w:val="00DF6D5B"/>
    <w:rsid w:val="00DF7603"/>
    <w:rsid w:val="00DF771B"/>
    <w:rsid w:val="00DF7EE2"/>
    <w:rsid w:val="00E01BAA"/>
    <w:rsid w:val="00E0282A"/>
    <w:rsid w:val="00E02F9B"/>
    <w:rsid w:val="00E07E14"/>
    <w:rsid w:val="00E12F0B"/>
    <w:rsid w:val="00E14F94"/>
    <w:rsid w:val="00E17336"/>
    <w:rsid w:val="00E17D15"/>
    <w:rsid w:val="00E22AAD"/>
    <w:rsid w:val="00E22B95"/>
    <w:rsid w:val="00E30331"/>
    <w:rsid w:val="00E30BB8"/>
    <w:rsid w:val="00E31F9C"/>
    <w:rsid w:val="00E40488"/>
    <w:rsid w:val="00E50367"/>
    <w:rsid w:val="00E51ABA"/>
    <w:rsid w:val="00E51BE2"/>
    <w:rsid w:val="00E524CB"/>
    <w:rsid w:val="00E573D0"/>
    <w:rsid w:val="00E65456"/>
    <w:rsid w:val="00E65A91"/>
    <w:rsid w:val="00E66188"/>
    <w:rsid w:val="00E664FB"/>
    <w:rsid w:val="00E672F0"/>
    <w:rsid w:val="00E70373"/>
    <w:rsid w:val="00E7267C"/>
    <w:rsid w:val="00E72E40"/>
    <w:rsid w:val="00E73665"/>
    <w:rsid w:val="00E73999"/>
    <w:rsid w:val="00E739DB"/>
    <w:rsid w:val="00E73BDC"/>
    <w:rsid w:val="00E73E9E"/>
    <w:rsid w:val="00E75A5B"/>
    <w:rsid w:val="00E77521"/>
    <w:rsid w:val="00E81660"/>
    <w:rsid w:val="00E854FE"/>
    <w:rsid w:val="00E906CC"/>
    <w:rsid w:val="00E939A0"/>
    <w:rsid w:val="00E96683"/>
    <w:rsid w:val="00E97E4E"/>
    <w:rsid w:val="00EA1CC2"/>
    <w:rsid w:val="00EA2D76"/>
    <w:rsid w:val="00EA4644"/>
    <w:rsid w:val="00EA758A"/>
    <w:rsid w:val="00EB096F"/>
    <w:rsid w:val="00EB199F"/>
    <w:rsid w:val="00EB21A4"/>
    <w:rsid w:val="00EB27C4"/>
    <w:rsid w:val="00EB5387"/>
    <w:rsid w:val="00EB5C10"/>
    <w:rsid w:val="00EB7322"/>
    <w:rsid w:val="00EC0FE9"/>
    <w:rsid w:val="00EC198B"/>
    <w:rsid w:val="00EC426D"/>
    <w:rsid w:val="00EC571B"/>
    <w:rsid w:val="00EC57D7"/>
    <w:rsid w:val="00EC6385"/>
    <w:rsid w:val="00ED1DE9"/>
    <w:rsid w:val="00ED23D4"/>
    <w:rsid w:val="00ED2C0A"/>
    <w:rsid w:val="00ED5E0B"/>
    <w:rsid w:val="00EE37B6"/>
    <w:rsid w:val="00EF0F45"/>
    <w:rsid w:val="00EF7463"/>
    <w:rsid w:val="00EF7971"/>
    <w:rsid w:val="00F002EF"/>
    <w:rsid w:val="00F01EE9"/>
    <w:rsid w:val="00F04900"/>
    <w:rsid w:val="00F065A4"/>
    <w:rsid w:val="00F126B9"/>
    <w:rsid w:val="00F12715"/>
    <w:rsid w:val="00F144D5"/>
    <w:rsid w:val="00F146F0"/>
    <w:rsid w:val="00F15039"/>
    <w:rsid w:val="00F1731C"/>
    <w:rsid w:val="00F20FF3"/>
    <w:rsid w:val="00F2190B"/>
    <w:rsid w:val="00F228B5"/>
    <w:rsid w:val="00F2389C"/>
    <w:rsid w:val="00F25C67"/>
    <w:rsid w:val="00F30893"/>
    <w:rsid w:val="00F30DFF"/>
    <w:rsid w:val="00F32B80"/>
    <w:rsid w:val="00F334D3"/>
    <w:rsid w:val="00F340EB"/>
    <w:rsid w:val="00F35285"/>
    <w:rsid w:val="00F43B9D"/>
    <w:rsid w:val="00F44D5E"/>
    <w:rsid w:val="00F53A35"/>
    <w:rsid w:val="00F54A3B"/>
    <w:rsid w:val="00F55A3D"/>
    <w:rsid w:val="00F5744B"/>
    <w:rsid w:val="00F61209"/>
    <w:rsid w:val="00F6259E"/>
    <w:rsid w:val="00F65DD4"/>
    <w:rsid w:val="00F66CEE"/>
    <w:rsid w:val="00F672B2"/>
    <w:rsid w:val="00F83973"/>
    <w:rsid w:val="00F8471D"/>
    <w:rsid w:val="00F8488B"/>
    <w:rsid w:val="00F87617"/>
    <w:rsid w:val="00F87FA3"/>
    <w:rsid w:val="00F93D8C"/>
    <w:rsid w:val="00F94C62"/>
    <w:rsid w:val="00FA3102"/>
    <w:rsid w:val="00FA48D4"/>
    <w:rsid w:val="00FA54FA"/>
    <w:rsid w:val="00FA5A03"/>
    <w:rsid w:val="00FA6D39"/>
    <w:rsid w:val="00FB227E"/>
    <w:rsid w:val="00FB3D61"/>
    <w:rsid w:val="00FB44CE"/>
    <w:rsid w:val="00FB5009"/>
    <w:rsid w:val="00FB76AB"/>
    <w:rsid w:val="00FC038B"/>
    <w:rsid w:val="00FC5EC9"/>
    <w:rsid w:val="00FD03FE"/>
    <w:rsid w:val="00FD126E"/>
    <w:rsid w:val="00FD3C36"/>
    <w:rsid w:val="00FD4D81"/>
    <w:rsid w:val="00FD7498"/>
    <w:rsid w:val="00FD7FB3"/>
    <w:rsid w:val="00FE298D"/>
    <w:rsid w:val="00FE4713"/>
    <w:rsid w:val="00FE4E9E"/>
    <w:rsid w:val="00FF1E33"/>
    <w:rsid w:val="00FF1F44"/>
    <w:rsid w:val="00FF225E"/>
    <w:rsid w:val="00FF2BCE"/>
    <w:rsid w:val="00FF672C"/>
    <w:rsid w:val="00FF6CE8"/>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4BE30F9"/>
  <w14:defaultImageDpi w14:val="330"/>
  <w15:docId w15:val="{D1686179-413B-F143-99D6-6815E95398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218BC"/>
    <w:rPr>
      <w:sz w:val="24"/>
      <w:szCs w:val="24"/>
      <w:lang w:val="en-NZ"/>
    </w:rPr>
  </w:style>
  <w:style w:type="paragraph" w:styleId="Heading1">
    <w:name w:val="heading 1"/>
    <w:basedOn w:val="Normal"/>
    <w:next w:val="Paragraph"/>
    <w:link w:val="Heading1Char"/>
    <w:qFormat/>
    <w:rsid w:val="00AE1ED4"/>
    <w:pPr>
      <w:keepNext/>
      <w:spacing w:before="360" w:after="60" w:line="360" w:lineRule="auto"/>
      <w:ind w:right="567"/>
      <w:contextualSpacing/>
      <w:outlineLvl w:val="0"/>
    </w:pPr>
    <w:rPr>
      <w:rFonts w:cs="Arial"/>
      <w:b/>
      <w:bCs/>
      <w:kern w:val="32"/>
      <w:szCs w:val="32"/>
    </w:rPr>
  </w:style>
  <w:style w:type="paragraph" w:styleId="Heading2">
    <w:name w:val="heading 2"/>
    <w:basedOn w:val="Normal"/>
    <w:next w:val="Paragraph"/>
    <w:link w:val="Heading2Char"/>
    <w:qFormat/>
    <w:rsid w:val="008D07FB"/>
    <w:pPr>
      <w:keepNext/>
      <w:spacing w:before="360" w:after="60" w:line="360" w:lineRule="auto"/>
      <w:ind w:right="567"/>
      <w:contextualSpacing/>
      <w:outlineLvl w:val="1"/>
    </w:pPr>
    <w:rPr>
      <w:rFonts w:cs="Arial"/>
      <w:b/>
      <w:bCs/>
      <w:i/>
      <w:iCs/>
      <w:szCs w:val="28"/>
    </w:rPr>
  </w:style>
  <w:style w:type="paragraph" w:styleId="Heading3">
    <w:name w:val="heading 3"/>
    <w:basedOn w:val="Normal"/>
    <w:next w:val="Paragraph"/>
    <w:link w:val="Heading3Char"/>
    <w:qFormat/>
    <w:rsid w:val="00DF7EE2"/>
    <w:pPr>
      <w:keepNext/>
      <w:spacing w:before="360" w:after="60" w:line="360" w:lineRule="auto"/>
      <w:ind w:right="567"/>
      <w:contextualSpacing/>
      <w:outlineLvl w:val="2"/>
    </w:pPr>
    <w:rPr>
      <w:rFonts w:cs="Arial"/>
      <w:bCs/>
      <w:i/>
      <w:szCs w:val="26"/>
    </w:rPr>
  </w:style>
  <w:style w:type="paragraph" w:styleId="Heading4">
    <w:name w:val="heading 4"/>
    <w:basedOn w:val="Paragraph"/>
    <w:next w:val="Newparagraph"/>
    <w:link w:val="Heading4Char"/>
    <w:rsid w:val="00F43B9D"/>
    <w:pPr>
      <w:spacing w:before="360"/>
      <w:outlineLvl w:val="3"/>
    </w:pPr>
    <w:rPr>
      <w:bCs/>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rticletitle">
    <w:name w:val="Article title"/>
    <w:basedOn w:val="Normal"/>
    <w:next w:val="Normal"/>
    <w:qFormat/>
    <w:rsid w:val="0024692A"/>
    <w:pPr>
      <w:spacing w:after="120" w:line="360" w:lineRule="auto"/>
    </w:pPr>
    <w:rPr>
      <w:b/>
      <w:sz w:val="28"/>
    </w:rPr>
  </w:style>
  <w:style w:type="paragraph" w:customStyle="1" w:styleId="Authornames">
    <w:name w:val="Author names"/>
    <w:basedOn w:val="Normal"/>
    <w:next w:val="Normal"/>
    <w:qFormat/>
    <w:rsid w:val="00F04900"/>
    <w:pPr>
      <w:spacing w:before="240" w:line="360" w:lineRule="auto"/>
    </w:pPr>
    <w:rPr>
      <w:sz w:val="28"/>
    </w:rPr>
  </w:style>
  <w:style w:type="paragraph" w:customStyle="1" w:styleId="Affiliation">
    <w:name w:val="Affiliation"/>
    <w:basedOn w:val="Normal"/>
    <w:qFormat/>
    <w:rsid w:val="00F04900"/>
    <w:pPr>
      <w:spacing w:before="240" w:line="360" w:lineRule="auto"/>
    </w:pPr>
    <w:rPr>
      <w:i/>
    </w:rPr>
  </w:style>
  <w:style w:type="paragraph" w:customStyle="1" w:styleId="Receiveddates">
    <w:name w:val="Received dates"/>
    <w:basedOn w:val="Affiliation"/>
    <w:next w:val="Normal"/>
    <w:qFormat/>
    <w:rsid w:val="00CC474B"/>
  </w:style>
  <w:style w:type="paragraph" w:customStyle="1" w:styleId="Abstract">
    <w:name w:val="Abstract"/>
    <w:basedOn w:val="Normal"/>
    <w:next w:val="Keywords"/>
    <w:qFormat/>
    <w:rsid w:val="00310E13"/>
    <w:pPr>
      <w:spacing w:before="360" w:after="300" w:line="360" w:lineRule="auto"/>
      <w:ind w:left="720" w:right="567"/>
    </w:pPr>
    <w:rPr>
      <w:sz w:val="22"/>
    </w:rPr>
  </w:style>
  <w:style w:type="paragraph" w:customStyle="1" w:styleId="Keywords">
    <w:name w:val="Keywords"/>
    <w:basedOn w:val="Normal"/>
    <w:next w:val="Paragraph"/>
    <w:qFormat/>
    <w:rsid w:val="00BB1270"/>
    <w:pPr>
      <w:spacing w:before="240" w:after="240" w:line="360" w:lineRule="auto"/>
      <w:ind w:left="720" w:right="567"/>
    </w:pPr>
    <w:rPr>
      <w:sz w:val="22"/>
    </w:rPr>
  </w:style>
  <w:style w:type="paragraph" w:customStyle="1" w:styleId="Correspondencedetails">
    <w:name w:val="Correspondence details"/>
    <w:basedOn w:val="Normal"/>
    <w:qFormat/>
    <w:rsid w:val="00F04900"/>
    <w:pPr>
      <w:spacing w:before="240" w:line="360" w:lineRule="auto"/>
    </w:pPr>
  </w:style>
  <w:style w:type="paragraph" w:customStyle="1" w:styleId="Displayedquotation">
    <w:name w:val="Displayed quotation"/>
    <w:basedOn w:val="Normal"/>
    <w:qFormat/>
    <w:rsid w:val="00731835"/>
    <w:pPr>
      <w:tabs>
        <w:tab w:val="left" w:pos="1077"/>
        <w:tab w:val="left" w:pos="1440"/>
        <w:tab w:val="left" w:pos="1797"/>
        <w:tab w:val="left" w:pos="2155"/>
        <w:tab w:val="left" w:pos="2512"/>
      </w:tabs>
      <w:spacing w:before="240" w:after="360" w:line="360" w:lineRule="auto"/>
      <w:ind w:left="709" w:right="425"/>
      <w:contextualSpacing/>
    </w:pPr>
    <w:rPr>
      <w:sz w:val="22"/>
    </w:rPr>
  </w:style>
  <w:style w:type="paragraph" w:customStyle="1" w:styleId="Numberedlist">
    <w:name w:val="Numbered list"/>
    <w:basedOn w:val="Paragraph"/>
    <w:next w:val="Paragraph"/>
    <w:qFormat/>
    <w:rsid w:val="00D80284"/>
    <w:pPr>
      <w:widowControl/>
      <w:numPr>
        <w:numId w:val="24"/>
      </w:numPr>
      <w:spacing w:after="240"/>
      <w:contextualSpacing/>
    </w:pPr>
  </w:style>
  <w:style w:type="paragraph" w:customStyle="1" w:styleId="Displayedequation">
    <w:name w:val="Displayed equation"/>
    <w:basedOn w:val="Normal"/>
    <w:next w:val="Paragraph"/>
    <w:qFormat/>
    <w:rsid w:val="00EF0F45"/>
    <w:pPr>
      <w:tabs>
        <w:tab w:val="center" w:pos="4253"/>
        <w:tab w:val="right" w:pos="8222"/>
      </w:tabs>
      <w:spacing w:before="240" w:after="240"/>
      <w:jc w:val="center"/>
    </w:pPr>
  </w:style>
  <w:style w:type="paragraph" w:customStyle="1" w:styleId="Acknowledgements">
    <w:name w:val="Acknowledgements"/>
    <w:basedOn w:val="Normal"/>
    <w:next w:val="Normal"/>
    <w:qFormat/>
    <w:rsid w:val="00D379A3"/>
    <w:pPr>
      <w:spacing w:before="120" w:line="360" w:lineRule="auto"/>
    </w:pPr>
    <w:rPr>
      <w:sz w:val="22"/>
    </w:rPr>
  </w:style>
  <w:style w:type="paragraph" w:customStyle="1" w:styleId="Tabletitle">
    <w:name w:val="Table title"/>
    <w:basedOn w:val="Normal"/>
    <w:next w:val="Normal"/>
    <w:qFormat/>
    <w:rsid w:val="0031686C"/>
    <w:pPr>
      <w:spacing w:before="240" w:line="360" w:lineRule="auto"/>
    </w:pPr>
  </w:style>
  <w:style w:type="paragraph" w:customStyle="1" w:styleId="Figurecaption">
    <w:name w:val="Figure caption"/>
    <w:basedOn w:val="Normal"/>
    <w:next w:val="Normal"/>
    <w:qFormat/>
    <w:rsid w:val="0031686C"/>
    <w:pPr>
      <w:spacing w:before="240" w:line="360" w:lineRule="auto"/>
    </w:pPr>
  </w:style>
  <w:style w:type="paragraph" w:customStyle="1" w:styleId="Footnotes">
    <w:name w:val="Footnotes"/>
    <w:basedOn w:val="Normal"/>
    <w:qFormat/>
    <w:rsid w:val="006C6936"/>
    <w:pPr>
      <w:spacing w:before="120" w:line="360" w:lineRule="auto"/>
      <w:ind w:left="482" w:hanging="482"/>
      <w:contextualSpacing/>
    </w:pPr>
    <w:rPr>
      <w:sz w:val="22"/>
    </w:rPr>
  </w:style>
  <w:style w:type="paragraph" w:customStyle="1" w:styleId="Notesoncontributors">
    <w:name w:val="Notes on contributors"/>
    <w:basedOn w:val="Normal"/>
    <w:qFormat/>
    <w:rsid w:val="00F04900"/>
    <w:pPr>
      <w:spacing w:before="240" w:line="360" w:lineRule="auto"/>
    </w:pPr>
    <w:rPr>
      <w:sz w:val="22"/>
    </w:rPr>
  </w:style>
  <w:style w:type="paragraph" w:customStyle="1" w:styleId="Normalparagraphstyle">
    <w:name w:val="Normal paragraph style"/>
    <w:basedOn w:val="Normal"/>
    <w:next w:val="Normal"/>
    <w:rsid w:val="00562DEF"/>
  </w:style>
  <w:style w:type="paragraph" w:customStyle="1" w:styleId="Paragraph">
    <w:name w:val="Paragraph"/>
    <w:basedOn w:val="Normal"/>
    <w:next w:val="Newparagraph"/>
    <w:qFormat/>
    <w:rsid w:val="001B7681"/>
    <w:pPr>
      <w:widowControl w:val="0"/>
      <w:spacing w:before="240"/>
    </w:pPr>
  </w:style>
  <w:style w:type="paragraph" w:customStyle="1" w:styleId="Newparagraph">
    <w:name w:val="New paragraph"/>
    <w:basedOn w:val="Normal"/>
    <w:qFormat/>
    <w:rsid w:val="00AE2F8D"/>
    <w:pPr>
      <w:ind w:firstLine="720"/>
    </w:pPr>
  </w:style>
  <w:style w:type="paragraph" w:styleId="NormalIndent">
    <w:name w:val="Normal Indent"/>
    <w:basedOn w:val="Normal"/>
    <w:rsid w:val="00526454"/>
    <w:pPr>
      <w:ind w:left="720"/>
    </w:pPr>
  </w:style>
  <w:style w:type="paragraph" w:customStyle="1" w:styleId="References">
    <w:name w:val="References"/>
    <w:basedOn w:val="Normal"/>
    <w:qFormat/>
    <w:rsid w:val="002C53EE"/>
    <w:pPr>
      <w:spacing w:before="120" w:line="360" w:lineRule="auto"/>
      <w:ind w:left="720" w:hanging="720"/>
      <w:contextualSpacing/>
    </w:pPr>
  </w:style>
  <w:style w:type="paragraph" w:customStyle="1" w:styleId="Subjectcodes">
    <w:name w:val="Subject codes"/>
    <w:basedOn w:val="Keywords"/>
    <w:next w:val="Paragraph"/>
    <w:qFormat/>
    <w:rsid w:val="0000681B"/>
  </w:style>
  <w:style w:type="character" w:customStyle="1" w:styleId="Heading2Char">
    <w:name w:val="Heading 2 Char"/>
    <w:basedOn w:val="DefaultParagraphFont"/>
    <w:link w:val="Heading2"/>
    <w:rsid w:val="008D07FB"/>
    <w:rPr>
      <w:rFonts w:cs="Arial"/>
      <w:b/>
      <w:bCs/>
      <w:i/>
      <w:iCs/>
      <w:sz w:val="24"/>
      <w:szCs w:val="28"/>
    </w:rPr>
  </w:style>
  <w:style w:type="character" w:customStyle="1" w:styleId="Heading1Char">
    <w:name w:val="Heading 1 Char"/>
    <w:basedOn w:val="DefaultParagraphFont"/>
    <w:link w:val="Heading1"/>
    <w:rsid w:val="00AE1ED4"/>
    <w:rPr>
      <w:rFonts w:cs="Arial"/>
      <w:b/>
      <w:bCs/>
      <w:kern w:val="32"/>
      <w:sz w:val="24"/>
      <w:szCs w:val="32"/>
    </w:rPr>
  </w:style>
  <w:style w:type="character" w:customStyle="1" w:styleId="Heading3Char">
    <w:name w:val="Heading 3 Char"/>
    <w:basedOn w:val="DefaultParagraphFont"/>
    <w:link w:val="Heading3"/>
    <w:rsid w:val="00DF7EE2"/>
    <w:rPr>
      <w:rFonts w:eastAsia="Times New Roman" w:cs="Arial"/>
      <w:bCs/>
      <w:i/>
      <w:sz w:val="24"/>
      <w:szCs w:val="26"/>
      <w:lang w:eastAsia="en-GB"/>
    </w:rPr>
  </w:style>
  <w:style w:type="paragraph" w:customStyle="1" w:styleId="Bulletedlist">
    <w:name w:val="Bulleted list"/>
    <w:basedOn w:val="Paragraph"/>
    <w:next w:val="Paragraph"/>
    <w:qFormat/>
    <w:rsid w:val="004E0338"/>
    <w:pPr>
      <w:widowControl/>
      <w:numPr>
        <w:numId w:val="28"/>
      </w:numPr>
      <w:spacing w:after="240"/>
      <w:contextualSpacing/>
    </w:pPr>
  </w:style>
  <w:style w:type="paragraph" w:styleId="FootnoteText">
    <w:name w:val="footnote text"/>
    <w:basedOn w:val="Normal"/>
    <w:link w:val="FootnoteTextChar"/>
    <w:autoRedefine/>
    <w:uiPriority w:val="99"/>
    <w:rsid w:val="006C19B2"/>
    <w:pPr>
      <w:ind w:left="284" w:hanging="284"/>
    </w:pPr>
    <w:rPr>
      <w:sz w:val="22"/>
      <w:szCs w:val="20"/>
    </w:rPr>
  </w:style>
  <w:style w:type="character" w:customStyle="1" w:styleId="FootnoteTextChar">
    <w:name w:val="Footnote Text Char"/>
    <w:basedOn w:val="DefaultParagraphFont"/>
    <w:link w:val="FootnoteText"/>
    <w:uiPriority w:val="99"/>
    <w:rsid w:val="006C19B2"/>
    <w:rPr>
      <w:sz w:val="22"/>
    </w:rPr>
  </w:style>
  <w:style w:type="character" w:styleId="FootnoteReference">
    <w:name w:val="footnote reference"/>
    <w:basedOn w:val="DefaultParagraphFont"/>
    <w:uiPriority w:val="99"/>
    <w:rsid w:val="00AF2C92"/>
    <w:rPr>
      <w:vertAlign w:val="superscript"/>
    </w:rPr>
  </w:style>
  <w:style w:type="paragraph" w:styleId="EndnoteText">
    <w:name w:val="endnote text"/>
    <w:basedOn w:val="Normal"/>
    <w:link w:val="EndnoteTextChar"/>
    <w:autoRedefine/>
    <w:rsid w:val="006C19B2"/>
    <w:pPr>
      <w:ind w:left="284" w:hanging="284"/>
    </w:pPr>
    <w:rPr>
      <w:sz w:val="22"/>
      <w:szCs w:val="20"/>
    </w:rPr>
  </w:style>
  <w:style w:type="character" w:customStyle="1" w:styleId="EndnoteTextChar">
    <w:name w:val="Endnote Text Char"/>
    <w:basedOn w:val="DefaultParagraphFont"/>
    <w:link w:val="EndnoteText"/>
    <w:rsid w:val="006C19B2"/>
    <w:rPr>
      <w:sz w:val="22"/>
    </w:rPr>
  </w:style>
  <w:style w:type="character" w:styleId="EndnoteReference">
    <w:name w:val="endnote reference"/>
    <w:basedOn w:val="DefaultParagraphFont"/>
    <w:rsid w:val="00EC571B"/>
    <w:rPr>
      <w:vertAlign w:val="superscript"/>
    </w:rPr>
  </w:style>
  <w:style w:type="character" w:customStyle="1" w:styleId="Heading4Char">
    <w:name w:val="Heading 4 Char"/>
    <w:basedOn w:val="DefaultParagraphFont"/>
    <w:link w:val="Heading4"/>
    <w:rsid w:val="00F43B9D"/>
    <w:rPr>
      <w:bCs/>
      <w:sz w:val="24"/>
      <w:szCs w:val="28"/>
    </w:rPr>
  </w:style>
  <w:style w:type="paragraph" w:styleId="Header">
    <w:name w:val="header"/>
    <w:basedOn w:val="Normal"/>
    <w:link w:val="HeaderChar"/>
    <w:rsid w:val="003F193A"/>
    <w:pPr>
      <w:tabs>
        <w:tab w:val="center" w:pos="4320"/>
        <w:tab w:val="right" w:pos="8640"/>
      </w:tabs>
      <w:spacing w:after="120"/>
      <w:contextualSpacing/>
    </w:pPr>
  </w:style>
  <w:style w:type="character" w:customStyle="1" w:styleId="HeaderChar">
    <w:name w:val="Header Char"/>
    <w:basedOn w:val="DefaultParagraphFont"/>
    <w:link w:val="Header"/>
    <w:rsid w:val="003F193A"/>
    <w:rPr>
      <w:rFonts w:eastAsia="Times New Roman"/>
      <w:sz w:val="24"/>
      <w:szCs w:val="24"/>
      <w:lang w:eastAsia="en-GB"/>
    </w:rPr>
  </w:style>
  <w:style w:type="paragraph" w:styleId="Footer">
    <w:name w:val="footer"/>
    <w:basedOn w:val="Normal"/>
    <w:link w:val="FooterChar"/>
    <w:rsid w:val="00AE6A21"/>
    <w:pPr>
      <w:tabs>
        <w:tab w:val="center" w:pos="4320"/>
        <w:tab w:val="right" w:pos="8640"/>
      </w:tabs>
      <w:spacing w:before="240"/>
      <w:contextualSpacing/>
    </w:pPr>
  </w:style>
  <w:style w:type="character" w:customStyle="1" w:styleId="FooterChar">
    <w:name w:val="Footer Char"/>
    <w:basedOn w:val="DefaultParagraphFont"/>
    <w:link w:val="Footer"/>
    <w:rsid w:val="00AE6A21"/>
    <w:rPr>
      <w:sz w:val="24"/>
      <w:szCs w:val="24"/>
    </w:rPr>
  </w:style>
  <w:style w:type="paragraph" w:customStyle="1" w:styleId="Heading4Paragraph">
    <w:name w:val="Heading 4 + Paragraph"/>
    <w:basedOn w:val="Paragraph"/>
    <w:next w:val="Newparagraph"/>
    <w:qFormat/>
    <w:rsid w:val="00AE1ED4"/>
    <w:pPr>
      <w:widowControl/>
      <w:spacing w:before="360"/>
    </w:pPr>
  </w:style>
  <w:style w:type="paragraph" w:styleId="NormalWeb">
    <w:name w:val="Normal (Web)"/>
    <w:basedOn w:val="Normal"/>
    <w:uiPriority w:val="99"/>
    <w:unhideWhenUsed/>
    <w:rsid w:val="004860C9"/>
    <w:pPr>
      <w:spacing w:before="100" w:beforeAutospacing="1" w:after="100" w:afterAutospacing="1"/>
    </w:pPr>
  </w:style>
  <w:style w:type="character" w:styleId="Hyperlink">
    <w:name w:val="Hyperlink"/>
    <w:basedOn w:val="DefaultParagraphFont"/>
    <w:uiPriority w:val="99"/>
    <w:unhideWhenUsed/>
    <w:rsid w:val="003B42D3"/>
    <w:rPr>
      <w:color w:val="0000FF"/>
      <w:u w:val="single"/>
    </w:rPr>
  </w:style>
  <w:style w:type="character" w:styleId="UnresolvedMention">
    <w:name w:val="Unresolved Mention"/>
    <w:basedOn w:val="DefaultParagraphFont"/>
    <w:uiPriority w:val="99"/>
    <w:semiHidden/>
    <w:unhideWhenUsed/>
    <w:rsid w:val="003B42D3"/>
    <w:rPr>
      <w:color w:val="605E5C"/>
      <w:shd w:val="clear" w:color="auto" w:fill="E1DFDD"/>
    </w:rPr>
  </w:style>
  <w:style w:type="paragraph" w:customStyle="1" w:styleId="author">
    <w:name w:val="author"/>
    <w:basedOn w:val="Normal"/>
    <w:rsid w:val="009948BC"/>
    <w:pPr>
      <w:spacing w:before="100" w:beforeAutospacing="1" w:after="100" w:afterAutospacing="1"/>
    </w:pPr>
  </w:style>
  <w:style w:type="paragraph" w:customStyle="1" w:styleId="source">
    <w:name w:val="source"/>
    <w:basedOn w:val="Normal"/>
    <w:rsid w:val="009948BC"/>
    <w:pPr>
      <w:spacing w:before="100" w:beforeAutospacing="1" w:after="100" w:afterAutospacing="1"/>
    </w:pPr>
  </w:style>
  <w:style w:type="paragraph" w:styleId="BalloonText">
    <w:name w:val="Balloon Text"/>
    <w:basedOn w:val="Normal"/>
    <w:link w:val="BalloonTextChar"/>
    <w:semiHidden/>
    <w:unhideWhenUsed/>
    <w:rsid w:val="00116165"/>
    <w:rPr>
      <w:sz w:val="18"/>
      <w:szCs w:val="18"/>
    </w:rPr>
  </w:style>
  <w:style w:type="character" w:customStyle="1" w:styleId="BalloonTextChar">
    <w:name w:val="Balloon Text Char"/>
    <w:basedOn w:val="DefaultParagraphFont"/>
    <w:link w:val="BalloonText"/>
    <w:semiHidden/>
    <w:rsid w:val="00116165"/>
    <w:rPr>
      <w:sz w:val="18"/>
      <w:szCs w:val="18"/>
      <w:lang w:val="en-AU"/>
    </w:rPr>
  </w:style>
  <w:style w:type="character" w:styleId="PageNumber">
    <w:name w:val="page number"/>
    <w:basedOn w:val="DefaultParagraphFont"/>
    <w:semiHidden/>
    <w:unhideWhenUsed/>
    <w:rsid w:val="00A5729C"/>
  </w:style>
  <w:style w:type="character" w:styleId="CommentReference">
    <w:name w:val="annotation reference"/>
    <w:basedOn w:val="DefaultParagraphFont"/>
    <w:semiHidden/>
    <w:unhideWhenUsed/>
    <w:rsid w:val="00F66CEE"/>
    <w:rPr>
      <w:sz w:val="16"/>
      <w:szCs w:val="16"/>
    </w:rPr>
  </w:style>
  <w:style w:type="paragraph" w:styleId="CommentText">
    <w:name w:val="annotation text"/>
    <w:basedOn w:val="Normal"/>
    <w:link w:val="CommentTextChar"/>
    <w:unhideWhenUsed/>
    <w:rsid w:val="00F66CEE"/>
    <w:rPr>
      <w:sz w:val="20"/>
      <w:szCs w:val="20"/>
    </w:rPr>
  </w:style>
  <w:style w:type="character" w:customStyle="1" w:styleId="CommentTextChar">
    <w:name w:val="Comment Text Char"/>
    <w:basedOn w:val="DefaultParagraphFont"/>
    <w:link w:val="CommentText"/>
    <w:rsid w:val="00F66CEE"/>
    <w:rPr>
      <w:lang w:val="en-AU"/>
    </w:rPr>
  </w:style>
  <w:style w:type="paragraph" w:styleId="CommentSubject">
    <w:name w:val="annotation subject"/>
    <w:basedOn w:val="CommentText"/>
    <w:next w:val="CommentText"/>
    <w:link w:val="CommentSubjectChar"/>
    <w:semiHidden/>
    <w:unhideWhenUsed/>
    <w:rsid w:val="00F66CEE"/>
    <w:rPr>
      <w:b/>
      <w:bCs/>
    </w:rPr>
  </w:style>
  <w:style w:type="character" w:customStyle="1" w:styleId="CommentSubjectChar">
    <w:name w:val="Comment Subject Char"/>
    <w:basedOn w:val="CommentTextChar"/>
    <w:link w:val="CommentSubject"/>
    <w:semiHidden/>
    <w:rsid w:val="00F66CEE"/>
    <w:rPr>
      <w:b/>
      <w:bCs/>
      <w:lang w:val="en-AU"/>
    </w:rPr>
  </w:style>
  <w:style w:type="paragraph" w:styleId="Revision">
    <w:name w:val="Revision"/>
    <w:hidden/>
    <w:semiHidden/>
    <w:rsid w:val="00F8488B"/>
    <w:rPr>
      <w:sz w:val="24"/>
      <w:szCs w:val="24"/>
      <w:lang w:val="en-AU"/>
    </w:rPr>
  </w:style>
  <w:style w:type="paragraph" w:customStyle="1" w:styleId="dx-doi">
    <w:name w:val="dx-doi"/>
    <w:basedOn w:val="Normal"/>
    <w:rsid w:val="00230A5A"/>
    <w:pPr>
      <w:spacing w:before="100" w:beforeAutospacing="1" w:after="100" w:afterAutospacing="1"/>
    </w:pPr>
    <w:rPr>
      <w:lang w:val="en-AU"/>
    </w:rPr>
  </w:style>
  <w:style w:type="character" w:styleId="FollowedHyperlink">
    <w:name w:val="FollowedHyperlink"/>
    <w:basedOn w:val="DefaultParagraphFont"/>
    <w:semiHidden/>
    <w:unhideWhenUsed/>
    <w:rsid w:val="0004448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3259976">
      <w:bodyDiv w:val="1"/>
      <w:marLeft w:val="0"/>
      <w:marRight w:val="0"/>
      <w:marTop w:val="0"/>
      <w:marBottom w:val="0"/>
      <w:divBdr>
        <w:top w:val="none" w:sz="0" w:space="0" w:color="auto"/>
        <w:left w:val="none" w:sz="0" w:space="0" w:color="auto"/>
        <w:bottom w:val="none" w:sz="0" w:space="0" w:color="auto"/>
        <w:right w:val="none" w:sz="0" w:space="0" w:color="auto"/>
      </w:divBdr>
    </w:div>
    <w:div w:id="213082111">
      <w:bodyDiv w:val="1"/>
      <w:marLeft w:val="0"/>
      <w:marRight w:val="0"/>
      <w:marTop w:val="0"/>
      <w:marBottom w:val="0"/>
      <w:divBdr>
        <w:top w:val="none" w:sz="0" w:space="0" w:color="auto"/>
        <w:left w:val="none" w:sz="0" w:space="0" w:color="auto"/>
        <w:bottom w:val="none" w:sz="0" w:space="0" w:color="auto"/>
        <w:right w:val="none" w:sz="0" w:space="0" w:color="auto"/>
      </w:divBdr>
    </w:div>
    <w:div w:id="245266659">
      <w:bodyDiv w:val="1"/>
      <w:marLeft w:val="0"/>
      <w:marRight w:val="0"/>
      <w:marTop w:val="0"/>
      <w:marBottom w:val="0"/>
      <w:divBdr>
        <w:top w:val="none" w:sz="0" w:space="0" w:color="auto"/>
        <w:left w:val="none" w:sz="0" w:space="0" w:color="auto"/>
        <w:bottom w:val="none" w:sz="0" w:space="0" w:color="auto"/>
        <w:right w:val="none" w:sz="0" w:space="0" w:color="auto"/>
      </w:divBdr>
    </w:div>
    <w:div w:id="255016732">
      <w:bodyDiv w:val="1"/>
      <w:marLeft w:val="0"/>
      <w:marRight w:val="0"/>
      <w:marTop w:val="0"/>
      <w:marBottom w:val="0"/>
      <w:divBdr>
        <w:top w:val="none" w:sz="0" w:space="0" w:color="auto"/>
        <w:left w:val="none" w:sz="0" w:space="0" w:color="auto"/>
        <w:bottom w:val="none" w:sz="0" w:space="0" w:color="auto"/>
        <w:right w:val="none" w:sz="0" w:space="0" w:color="auto"/>
      </w:divBdr>
    </w:div>
    <w:div w:id="280960650">
      <w:bodyDiv w:val="1"/>
      <w:marLeft w:val="0"/>
      <w:marRight w:val="0"/>
      <w:marTop w:val="0"/>
      <w:marBottom w:val="0"/>
      <w:divBdr>
        <w:top w:val="none" w:sz="0" w:space="0" w:color="auto"/>
        <w:left w:val="none" w:sz="0" w:space="0" w:color="auto"/>
        <w:bottom w:val="none" w:sz="0" w:space="0" w:color="auto"/>
        <w:right w:val="none" w:sz="0" w:space="0" w:color="auto"/>
      </w:divBdr>
    </w:div>
    <w:div w:id="310643283">
      <w:bodyDiv w:val="1"/>
      <w:marLeft w:val="0"/>
      <w:marRight w:val="0"/>
      <w:marTop w:val="0"/>
      <w:marBottom w:val="0"/>
      <w:divBdr>
        <w:top w:val="none" w:sz="0" w:space="0" w:color="auto"/>
        <w:left w:val="none" w:sz="0" w:space="0" w:color="auto"/>
        <w:bottom w:val="none" w:sz="0" w:space="0" w:color="auto"/>
        <w:right w:val="none" w:sz="0" w:space="0" w:color="auto"/>
      </w:divBdr>
      <w:divsChild>
        <w:div w:id="198327260">
          <w:marLeft w:val="0"/>
          <w:marRight w:val="0"/>
          <w:marTop w:val="0"/>
          <w:marBottom w:val="0"/>
          <w:divBdr>
            <w:top w:val="none" w:sz="0" w:space="0" w:color="auto"/>
            <w:left w:val="none" w:sz="0" w:space="0" w:color="auto"/>
            <w:bottom w:val="none" w:sz="0" w:space="0" w:color="auto"/>
            <w:right w:val="none" w:sz="0" w:space="0" w:color="auto"/>
          </w:divBdr>
          <w:divsChild>
            <w:div w:id="1405252036">
              <w:marLeft w:val="0"/>
              <w:marRight w:val="0"/>
              <w:marTop w:val="0"/>
              <w:marBottom w:val="0"/>
              <w:divBdr>
                <w:top w:val="none" w:sz="0" w:space="0" w:color="auto"/>
                <w:left w:val="none" w:sz="0" w:space="0" w:color="auto"/>
                <w:bottom w:val="none" w:sz="0" w:space="0" w:color="auto"/>
                <w:right w:val="none" w:sz="0" w:space="0" w:color="auto"/>
              </w:divBdr>
              <w:divsChild>
                <w:div w:id="783891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7247929">
      <w:bodyDiv w:val="1"/>
      <w:marLeft w:val="0"/>
      <w:marRight w:val="0"/>
      <w:marTop w:val="0"/>
      <w:marBottom w:val="0"/>
      <w:divBdr>
        <w:top w:val="none" w:sz="0" w:space="0" w:color="auto"/>
        <w:left w:val="none" w:sz="0" w:space="0" w:color="auto"/>
        <w:bottom w:val="none" w:sz="0" w:space="0" w:color="auto"/>
        <w:right w:val="none" w:sz="0" w:space="0" w:color="auto"/>
      </w:divBdr>
    </w:div>
    <w:div w:id="389816396">
      <w:bodyDiv w:val="1"/>
      <w:marLeft w:val="0"/>
      <w:marRight w:val="0"/>
      <w:marTop w:val="0"/>
      <w:marBottom w:val="0"/>
      <w:divBdr>
        <w:top w:val="none" w:sz="0" w:space="0" w:color="auto"/>
        <w:left w:val="none" w:sz="0" w:space="0" w:color="auto"/>
        <w:bottom w:val="none" w:sz="0" w:space="0" w:color="auto"/>
        <w:right w:val="none" w:sz="0" w:space="0" w:color="auto"/>
      </w:divBdr>
    </w:div>
    <w:div w:id="441655550">
      <w:bodyDiv w:val="1"/>
      <w:marLeft w:val="0"/>
      <w:marRight w:val="0"/>
      <w:marTop w:val="0"/>
      <w:marBottom w:val="0"/>
      <w:divBdr>
        <w:top w:val="none" w:sz="0" w:space="0" w:color="auto"/>
        <w:left w:val="none" w:sz="0" w:space="0" w:color="auto"/>
        <w:bottom w:val="none" w:sz="0" w:space="0" w:color="auto"/>
        <w:right w:val="none" w:sz="0" w:space="0" w:color="auto"/>
      </w:divBdr>
    </w:div>
    <w:div w:id="498276289">
      <w:bodyDiv w:val="1"/>
      <w:marLeft w:val="0"/>
      <w:marRight w:val="0"/>
      <w:marTop w:val="0"/>
      <w:marBottom w:val="0"/>
      <w:divBdr>
        <w:top w:val="none" w:sz="0" w:space="0" w:color="auto"/>
        <w:left w:val="none" w:sz="0" w:space="0" w:color="auto"/>
        <w:bottom w:val="none" w:sz="0" w:space="0" w:color="auto"/>
        <w:right w:val="none" w:sz="0" w:space="0" w:color="auto"/>
      </w:divBdr>
    </w:div>
    <w:div w:id="506142094">
      <w:bodyDiv w:val="1"/>
      <w:marLeft w:val="0"/>
      <w:marRight w:val="0"/>
      <w:marTop w:val="0"/>
      <w:marBottom w:val="0"/>
      <w:divBdr>
        <w:top w:val="none" w:sz="0" w:space="0" w:color="auto"/>
        <w:left w:val="none" w:sz="0" w:space="0" w:color="auto"/>
        <w:bottom w:val="none" w:sz="0" w:space="0" w:color="auto"/>
        <w:right w:val="none" w:sz="0" w:space="0" w:color="auto"/>
      </w:divBdr>
      <w:divsChild>
        <w:div w:id="295452367">
          <w:marLeft w:val="0"/>
          <w:marRight w:val="0"/>
          <w:marTop w:val="0"/>
          <w:marBottom w:val="0"/>
          <w:divBdr>
            <w:top w:val="none" w:sz="0" w:space="0" w:color="auto"/>
            <w:left w:val="none" w:sz="0" w:space="0" w:color="auto"/>
            <w:bottom w:val="none" w:sz="0" w:space="0" w:color="auto"/>
            <w:right w:val="none" w:sz="0" w:space="0" w:color="auto"/>
          </w:divBdr>
        </w:div>
        <w:div w:id="422843579">
          <w:marLeft w:val="0"/>
          <w:marRight w:val="0"/>
          <w:marTop w:val="0"/>
          <w:marBottom w:val="0"/>
          <w:divBdr>
            <w:top w:val="none" w:sz="0" w:space="0" w:color="auto"/>
            <w:left w:val="none" w:sz="0" w:space="0" w:color="auto"/>
            <w:bottom w:val="none" w:sz="0" w:space="0" w:color="auto"/>
            <w:right w:val="none" w:sz="0" w:space="0" w:color="auto"/>
          </w:divBdr>
        </w:div>
        <w:div w:id="1791972673">
          <w:marLeft w:val="0"/>
          <w:marRight w:val="0"/>
          <w:marTop w:val="0"/>
          <w:marBottom w:val="0"/>
          <w:divBdr>
            <w:top w:val="none" w:sz="0" w:space="0" w:color="auto"/>
            <w:left w:val="none" w:sz="0" w:space="0" w:color="auto"/>
            <w:bottom w:val="none" w:sz="0" w:space="0" w:color="auto"/>
            <w:right w:val="none" w:sz="0" w:space="0" w:color="auto"/>
          </w:divBdr>
        </w:div>
        <w:div w:id="1278950600">
          <w:marLeft w:val="0"/>
          <w:marRight w:val="0"/>
          <w:marTop w:val="0"/>
          <w:marBottom w:val="0"/>
          <w:divBdr>
            <w:top w:val="none" w:sz="0" w:space="0" w:color="auto"/>
            <w:left w:val="none" w:sz="0" w:space="0" w:color="auto"/>
            <w:bottom w:val="none" w:sz="0" w:space="0" w:color="auto"/>
            <w:right w:val="none" w:sz="0" w:space="0" w:color="auto"/>
          </w:divBdr>
        </w:div>
        <w:div w:id="1685522549">
          <w:marLeft w:val="0"/>
          <w:marRight w:val="0"/>
          <w:marTop w:val="0"/>
          <w:marBottom w:val="0"/>
          <w:divBdr>
            <w:top w:val="none" w:sz="0" w:space="0" w:color="auto"/>
            <w:left w:val="none" w:sz="0" w:space="0" w:color="auto"/>
            <w:bottom w:val="none" w:sz="0" w:space="0" w:color="auto"/>
            <w:right w:val="none" w:sz="0" w:space="0" w:color="auto"/>
          </w:divBdr>
        </w:div>
        <w:div w:id="1880050404">
          <w:marLeft w:val="0"/>
          <w:marRight w:val="0"/>
          <w:marTop w:val="0"/>
          <w:marBottom w:val="0"/>
          <w:divBdr>
            <w:top w:val="none" w:sz="0" w:space="0" w:color="auto"/>
            <w:left w:val="none" w:sz="0" w:space="0" w:color="auto"/>
            <w:bottom w:val="none" w:sz="0" w:space="0" w:color="auto"/>
            <w:right w:val="none" w:sz="0" w:space="0" w:color="auto"/>
          </w:divBdr>
        </w:div>
      </w:divsChild>
    </w:div>
    <w:div w:id="513493175">
      <w:bodyDiv w:val="1"/>
      <w:marLeft w:val="0"/>
      <w:marRight w:val="0"/>
      <w:marTop w:val="0"/>
      <w:marBottom w:val="0"/>
      <w:divBdr>
        <w:top w:val="none" w:sz="0" w:space="0" w:color="auto"/>
        <w:left w:val="none" w:sz="0" w:space="0" w:color="auto"/>
        <w:bottom w:val="none" w:sz="0" w:space="0" w:color="auto"/>
        <w:right w:val="none" w:sz="0" w:space="0" w:color="auto"/>
      </w:divBdr>
    </w:div>
    <w:div w:id="582254057">
      <w:bodyDiv w:val="1"/>
      <w:marLeft w:val="0"/>
      <w:marRight w:val="0"/>
      <w:marTop w:val="0"/>
      <w:marBottom w:val="0"/>
      <w:divBdr>
        <w:top w:val="none" w:sz="0" w:space="0" w:color="auto"/>
        <w:left w:val="none" w:sz="0" w:space="0" w:color="auto"/>
        <w:bottom w:val="none" w:sz="0" w:space="0" w:color="auto"/>
        <w:right w:val="none" w:sz="0" w:space="0" w:color="auto"/>
      </w:divBdr>
      <w:divsChild>
        <w:div w:id="9452756">
          <w:marLeft w:val="0"/>
          <w:marRight w:val="0"/>
          <w:marTop w:val="0"/>
          <w:marBottom w:val="0"/>
          <w:divBdr>
            <w:top w:val="none" w:sz="0" w:space="0" w:color="auto"/>
            <w:left w:val="none" w:sz="0" w:space="0" w:color="auto"/>
            <w:bottom w:val="none" w:sz="0" w:space="0" w:color="auto"/>
            <w:right w:val="none" w:sz="0" w:space="0" w:color="auto"/>
          </w:divBdr>
          <w:divsChild>
            <w:div w:id="406533704">
              <w:marLeft w:val="0"/>
              <w:marRight w:val="0"/>
              <w:marTop w:val="0"/>
              <w:marBottom w:val="0"/>
              <w:divBdr>
                <w:top w:val="none" w:sz="0" w:space="0" w:color="auto"/>
                <w:left w:val="none" w:sz="0" w:space="0" w:color="auto"/>
                <w:bottom w:val="none" w:sz="0" w:space="0" w:color="auto"/>
                <w:right w:val="none" w:sz="0" w:space="0" w:color="auto"/>
              </w:divBdr>
              <w:divsChild>
                <w:div w:id="70394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8513513">
      <w:bodyDiv w:val="1"/>
      <w:marLeft w:val="0"/>
      <w:marRight w:val="0"/>
      <w:marTop w:val="0"/>
      <w:marBottom w:val="0"/>
      <w:divBdr>
        <w:top w:val="none" w:sz="0" w:space="0" w:color="auto"/>
        <w:left w:val="none" w:sz="0" w:space="0" w:color="auto"/>
        <w:bottom w:val="none" w:sz="0" w:space="0" w:color="auto"/>
        <w:right w:val="none" w:sz="0" w:space="0" w:color="auto"/>
      </w:divBdr>
    </w:div>
    <w:div w:id="652754399">
      <w:bodyDiv w:val="1"/>
      <w:marLeft w:val="0"/>
      <w:marRight w:val="0"/>
      <w:marTop w:val="0"/>
      <w:marBottom w:val="0"/>
      <w:divBdr>
        <w:top w:val="none" w:sz="0" w:space="0" w:color="auto"/>
        <w:left w:val="none" w:sz="0" w:space="0" w:color="auto"/>
        <w:bottom w:val="none" w:sz="0" w:space="0" w:color="auto"/>
        <w:right w:val="none" w:sz="0" w:space="0" w:color="auto"/>
      </w:divBdr>
    </w:div>
    <w:div w:id="655113623">
      <w:bodyDiv w:val="1"/>
      <w:marLeft w:val="0"/>
      <w:marRight w:val="0"/>
      <w:marTop w:val="0"/>
      <w:marBottom w:val="0"/>
      <w:divBdr>
        <w:top w:val="none" w:sz="0" w:space="0" w:color="auto"/>
        <w:left w:val="none" w:sz="0" w:space="0" w:color="auto"/>
        <w:bottom w:val="none" w:sz="0" w:space="0" w:color="auto"/>
        <w:right w:val="none" w:sz="0" w:space="0" w:color="auto"/>
      </w:divBdr>
    </w:div>
    <w:div w:id="662704999">
      <w:bodyDiv w:val="1"/>
      <w:marLeft w:val="0"/>
      <w:marRight w:val="0"/>
      <w:marTop w:val="0"/>
      <w:marBottom w:val="0"/>
      <w:divBdr>
        <w:top w:val="none" w:sz="0" w:space="0" w:color="auto"/>
        <w:left w:val="none" w:sz="0" w:space="0" w:color="auto"/>
        <w:bottom w:val="none" w:sz="0" w:space="0" w:color="auto"/>
        <w:right w:val="none" w:sz="0" w:space="0" w:color="auto"/>
      </w:divBdr>
    </w:div>
    <w:div w:id="697583915">
      <w:bodyDiv w:val="1"/>
      <w:marLeft w:val="0"/>
      <w:marRight w:val="0"/>
      <w:marTop w:val="0"/>
      <w:marBottom w:val="0"/>
      <w:divBdr>
        <w:top w:val="none" w:sz="0" w:space="0" w:color="auto"/>
        <w:left w:val="none" w:sz="0" w:space="0" w:color="auto"/>
        <w:bottom w:val="none" w:sz="0" w:space="0" w:color="auto"/>
        <w:right w:val="none" w:sz="0" w:space="0" w:color="auto"/>
      </w:divBdr>
    </w:div>
    <w:div w:id="703293964">
      <w:bodyDiv w:val="1"/>
      <w:marLeft w:val="0"/>
      <w:marRight w:val="0"/>
      <w:marTop w:val="0"/>
      <w:marBottom w:val="0"/>
      <w:divBdr>
        <w:top w:val="none" w:sz="0" w:space="0" w:color="auto"/>
        <w:left w:val="none" w:sz="0" w:space="0" w:color="auto"/>
        <w:bottom w:val="none" w:sz="0" w:space="0" w:color="auto"/>
        <w:right w:val="none" w:sz="0" w:space="0" w:color="auto"/>
      </w:divBdr>
    </w:div>
    <w:div w:id="715741055">
      <w:bodyDiv w:val="1"/>
      <w:marLeft w:val="0"/>
      <w:marRight w:val="0"/>
      <w:marTop w:val="0"/>
      <w:marBottom w:val="0"/>
      <w:divBdr>
        <w:top w:val="none" w:sz="0" w:space="0" w:color="auto"/>
        <w:left w:val="none" w:sz="0" w:space="0" w:color="auto"/>
        <w:bottom w:val="none" w:sz="0" w:space="0" w:color="auto"/>
        <w:right w:val="none" w:sz="0" w:space="0" w:color="auto"/>
      </w:divBdr>
    </w:div>
    <w:div w:id="744841935">
      <w:bodyDiv w:val="1"/>
      <w:marLeft w:val="0"/>
      <w:marRight w:val="0"/>
      <w:marTop w:val="0"/>
      <w:marBottom w:val="0"/>
      <w:divBdr>
        <w:top w:val="none" w:sz="0" w:space="0" w:color="auto"/>
        <w:left w:val="none" w:sz="0" w:space="0" w:color="auto"/>
        <w:bottom w:val="none" w:sz="0" w:space="0" w:color="auto"/>
        <w:right w:val="none" w:sz="0" w:space="0" w:color="auto"/>
      </w:divBdr>
    </w:div>
    <w:div w:id="750857718">
      <w:bodyDiv w:val="1"/>
      <w:marLeft w:val="0"/>
      <w:marRight w:val="0"/>
      <w:marTop w:val="0"/>
      <w:marBottom w:val="0"/>
      <w:divBdr>
        <w:top w:val="none" w:sz="0" w:space="0" w:color="auto"/>
        <w:left w:val="none" w:sz="0" w:space="0" w:color="auto"/>
        <w:bottom w:val="none" w:sz="0" w:space="0" w:color="auto"/>
        <w:right w:val="none" w:sz="0" w:space="0" w:color="auto"/>
      </w:divBdr>
    </w:div>
    <w:div w:id="908922545">
      <w:bodyDiv w:val="1"/>
      <w:marLeft w:val="0"/>
      <w:marRight w:val="0"/>
      <w:marTop w:val="0"/>
      <w:marBottom w:val="0"/>
      <w:divBdr>
        <w:top w:val="none" w:sz="0" w:space="0" w:color="auto"/>
        <w:left w:val="none" w:sz="0" w:space="0" w:color="auto"/>
        <w:bottom w:val="none" w:sz="0" w:space="0" w:color="auto"/>
        <w:right w:val="none" w:sz="0" w:space="0" w:color="auto"/>
      </w:divBdr>
    </w:div>
    <w:div w:id="909926053">
      <w:bodyDiv w:val="1"/>
      <w:marLeft w:val="0"/>
      <w:marRight w:val="0"/>
      <w:marTop w:val="0"/>
      <w:marBottom w:val="0"/>
      <w:divBdr>
        <w:top w:val="none" w:sz="0" w:space="0" w:color="auto"/>
        <w:left w:val="none" w:sz="0" w:space="0" w:color="auto"/>
        <w:bottom w:val="none" w:sz="0" w:space="0" w:color="auto"/>
        <w:right w:val="none" w:sz="0" w:space="0" w:color="auto"/>
      </w:divBdr>
    </w:div>
    <w:div w:id="940648598">
      <w:bodyDiv w:val="1"/>
      <w:marLeft w:val="0"/>
      <w:marRight w:val="0"/>
      <w:marTop w:val="0"/>
      <w:marBottom w:val="0"/>
      <w:divBdr>
        <w:top w:val="none" w:sz="0" w:space="0" w:color="auto"/>
        <w:left w:val="none" w:sz="0" w:space="0" w:color="auto"/>
        <w:bottom w:val="none" w:sz="0" w:space="0" w:color="auto"/>
        <w:right w:val="none" w:sz="0" w:space="0" w:color="auto"/>
      </w:divBdr>
    </w:div>
    <w:div w:id="960526458">
      <w:bodyDiv w:val="1"/>
      <w:marLeft w:val="0"/>
      <w:marRight w:val="0"/>
      <w:marTop w:val="0"/>
      <w:marBottom w:val="0"/>
      <w:divBdr>
        <w:top w:val="none" w:sz="0" w:space="0" w:color="auto"/>
        <w:left w:val="none" w:sz="0" w:space="0" w:color="auto"/>
        <w:bottom w:val="none" w:sz="0" w:space="0" w:color="auto"/>
        <w:right w:val="none" w:sz="0" w:space="0" w:color="auto"/>
      </w:divBdr>
    </w:div>
    <w:div w:id="998076141">
      <w:bodyDiv w:val="1"/>
      <w:marLeft w:val="0"/>
      <w:marRight w:val="0"/>
      <w:marTop w:val="0"/>
      <w:marBottom w:val="0"/>
      <w:divBdr>
        <w:top w:val="none" w:sz="0" w:space="0" w:color="auto"/>
        <w:left w:val="none" w:sz="0" w:space="0" w:color="auto"/>
        <w:bottom w:val="none" w:sz="0" w:space="0" w:color="auto"/>
        <w:right w:val="none" w:sz="0" w:space="0" w:color="auto"/>
      </w:divBdr>
    </w:div>
    <w:div w:id="998848533">
      <w:bodyDiv w:val="1"/>
      <w:marLeft w:val="0"/>
      <w:marRight w:val="0"/>
      <w:marTop w:val="0"/>
      <w:marBottom w:val="0"/>
      <w:divBdr>
        <w:top w:val="none" w:sz="0" w:space="0" w:color="auto"/>
        <w:left w:val="none" w:sz="0" w:space="0" w:color="auto"/>
        <w:bottom w:val="none" w:sz="0" w:space="0" w:color="auto"/>
        <w:right w:val="none" w:sz="0" w:space="0" w:color="auto"/>
      </w:divBdr>
    </w:div>
    <w:div w:id="1013150546">
      <w:bodyDiv w:val="1"/>
      <w:marLeft w:val="0"/>
      <w:marRight w:val="0"/>
      <w:marTop w:val="0"/>
      <w:marBottom w:val="0"/>
      <w:divBdr>
        <w:top w:val="none" w:sz="0" w:space="0" w:color="auto"/>
        <w:left w:val="none" w:sz="0" w:space="0" w:color="auto"/>
        <w:bottom w:val="none" w:sz="0" w:space="0" w:color="auto"/>
        <w:right w:val="none" w:sz="0" w:space="0" w:color="auto"/>
      </w:divBdr>
    </w:div>
    <w:div w:id="1364356146">
      <w:bodyDiv w:val="1"/>
      <w:marLeft w:val="0"/>
      <w:marRight w:val="0"/>
      <w:marTop w:val="0"/>
      <w:marBottom w:val="0"/>
      <w:divBdr>
        <w:top w:val="none" w:sz="0" w:space="0" w:color="auto"/>
        <w:left w:val="none" w:sz="0" w:space="0" w:color="auto"/>
        <w:bottom w:val="none" w:sz="0" w:space="0" w:color="auto"/>
        <w:right w:val="none" w:sz="0" w:space="0" w:color="auto"/>
      </w:divBdr>
    </w:div>
    <w:div w:id="1394888486">
      <w:bodyDiv w:val="1"/>
      <w:marLeft w:val="0"/>
      <w:marRight w:val="0"/>
      <w:marTop w:val="0"/>
      <w:marBottom w:val="0"/>
      <w:divBdr>
        <w:top w:val="none" w:sz="0" w:space="0" w:color="auto"/>
        <w:left w:val="none" w:sz="0" w:space="0" w:color="auto"/>
        <w:bottom w:val="none" w:sz="0" w:space="0" w:color="auto"/>
        <w:right w:val="none" w:sz="0" w:space="0" w:color="auto"/>
      </w:divBdr>
    </w:div>
    <w:div w:id="1466241022">
      <w:bodyDiv w:val="1"/>
      <w:marLeft w:val="0"/>
      <w:marRight w:val="0"/>
      <w:marTop w:val="0"/>
      <w:marBottom w:val="0"/>
      <w:divBdr>
        <w:top w:val="none" w:sz="0" w:space="0" w:color="auto"/>
        <w:left w:val="none" w:sz="0" w:space="0" w:color="auto"/>
        <w:bottom w:val="none" w:sz="0" w:space="0" w:color="auto"/>
        <w:right w:val="none" w:sz="0" w:space="0" w:color="auto"/>
      </w:divBdr>
    </w:div>
    <w:div w:id="1469324203">
      <w:bodyDiv w:val="1"/>
      <w:marLeft w:val="0"/>
      <w:marRight w:val="0"/>
      <w:marTop w:val="0"/>
      <w:marBottom w:val="0"/>
      <w:divBdr>
        <w:top w:val="none" w:sz="0" w:space="0" w:color="auto"/>
        <w:left w:val="none" w:sz="0" w:space="0" w:color="auto"/>
        <w:bottom w:val="none" w:sz="0" w:space="0" w:color="auto"/>
        <w:right w:val="none" w:sz="0" w:space="0" w:color="auto"/>
      </w:divBdr>
    </w:div>
    <w:div w:id="1550655049">
      <w:bodyDiv w:val="1"/>
      <w:marLeft w:val="0"/>
      <w:marRight w:val="0"/>
      <w:marTop w:val="0"/>
      <w:marBottom w:val="0"/>
      <w:divBdr>
        <w:top w:val="none" w:sz="0" w:space="0" w:color="auto"/>
        <w:left w:val="none" w:sz="0" w:space="0" w:color="auto"/>
        <w:bottom w:val="none" w:sz="0" w:space="0" w:color="auto"/>
        <w:right w:val="none" w:sz="0" w:space="0" w:color="auto"/>
      </w:divBdr>
    </w:div>
    <w:div w:id="1597057909">
      <w:bodyDiv w:val="1"/>
      <w:marLeft w:val="0"/>
      <w:marRight w:val="0"/>
      <w:marTop w:val="0"/>
      <w:marBottom w:val="0"/>
      <w:divBdr>
        <w:top w:val="none" w:sz="0" w:space="0" w:color="auto"/>
        <w:left w:val="none" w:sz="0" w:space="0" w:color="auto"/>
        <w:bottom w:val="none" w:sz="0" w:space="0" w:color="auto"/>
        <w:right w:val="none" w:sz="0" w:space="0" w:color="auto"/>
      </w:divBdr>
    </w:div>
    <w:div w:id="1699890879">
      <w:bodyDiv w:val="1"/>
      <w:marLeft w:val="0"/>
      <w:marRight w:val="0"/>
      <w:marTop w:val="0"/>
      <w:marBottom w:val="0"/>
      <w:divBdr>
        <w:top w:val="none" w:sz="0" w:space="0" w:color="auto"/>
        <w:left w:val="none" w:sz="0" w:space="0" w:color="auto"/>
        <w:bottom w:val="none" w:sz="0" w:space="0" w:color="auto"/>
        <w:right w:val="none" w:sz="0" w:space="0" w:color="auto"/>
      </w:divBdr>
    </w:div>
    <w:div w:id="1753161427">
      <w:bodyDiv w:val="1"/>
      <w:marLeft w:val="0"/>
      <w:marRight w:val="0"/>
      <w:marTop w:val="0"/>
      <w:marBottom w:val="0"/>
      <w:divBdr>
        <w:top w:val="none" w:sz="0" w:space="0" w:color="auto"/>
        <w:left w:val="none" w:sz="0" w:space="0" w:color="auto"/>
        <w:bottom w:val="none" w:sz="0" w:space="0" w:color="auto"/>
        <w:right w:val="none" w:sz="0" w:space="0" w:color="auto"/>
      </w:divBdr>
      <w:divsChild>
        <w:div w:id="1075785584">
          <w:marLeft w:val="0"/>
          <w:marRight w:val="0"/>
          <w:marTop w:val="0"/>
          <w:marBottom w:val="0"/>
          <w:divBdr>
            <w:top w:val="none" w:sz="0" w:space="0" w:color="auto"/>
            <w:left w:val="none" w:sz="0" w:space="0" w:color="auto"/>
            <w:bottom w:val="none" w:sz="0" w:space="0" w:color="auto"/>
            <w:right w:val="none" w:sz="0" w:space="0" w:color="auto"/>
          </w:divBdr>
          <w:divsChild>
            <w:div w:id="1362127614">
              <w:marLeft w:val="0"/>
              <w:marRight w:val="0"/>
              <w:marTop w:val="0"/>
              <w:marBottom w:val="0"/>
              <w:divBdr>
                <w:top w:val="none" w:sz="0" w:space="0" w:color="auto"/>
                <w:left w:val="none" w:sz="0" w:space="0" w:color="auto"/>
                <w:bottom w:val="none" w:sz="0" w:space="0" w:color="auto"/>
                <w:right w:val="none" w:sz="0" w:space="0" w:color="auto"/>
              </w:divBdr>
              <w:divsChild>
                <w:div w:id="1274051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2399943">
      <w:bodyDiv w:val="1"/>
      <w:marLeft w:val="0"/>
      <w:marRight w:val="0"/>
      <w:marTop w:val="0"/>
      <w:marBottom w:val="0"/>
      <w:divBdr>
        <w:top w:val="none" w:sz="0" w:space="0" w:color="auto"/>
        <w:left w:val="none" w:sz="0" w:space="0" w:color="auto"/>
        <w:bottom w:val="none" w:sz="0" w:space="0" w:color="auto"/>
        <w:right w:val="none" w:sz="0" w:space="0" w:color="auto"/>
      </w:divBdr>
    </w:div>
    <w:div w:id="1845783066">
      <w:bodyDiv w:val="1"/>
      <w:marLeft w:val="0"/>
      <w:marRight w:val="0"/>
      <w:marTop w:val="0"/>
      <w:marBottom w:val="0"/>
      <w:divBdr>
        <w:top w:val="none" w:sz="0" w:space="0" w:color="auto"/>
        <w:left w:val="none" w:sz="0" w:space="0" w:color="auto"/>
        <w:bottom w:val="none" w:sz="0" w:space="0" w:color="auto"/>
        <w:right w:val="none" w:sz="0" w:space="0" w:color="auto"/>
      </w:divBdr>
      <w:divsChild>
        <w:div w:id="44179918">
          <w:marLeft w:val="0"/>
          <w:marRight w:val="0"/>
          <w:marTop w:val="0"/>
          <w:marBottom w:val="0"/>
          <w:divBdr>
            <w:top w:val="none" w:sz="0" w:space="0" w:color="auto"/>
            <w:left w:val="none" w:sz="0" w:space="0" w:color="auto"/>
            <w:bottom w:val="none" w:sz="0" w:space="0" w:color="auto"/>
            <w:right w:val="none" w:sz="0" w:space="0" w:color="auto"/>
          </w:divBdr>
          <w:divsChild>
            <w:div w:id="1964460988">
              <w:marLeft w:val="0"/>
              <w:marRight w:val="0"/>
              <w:marTop w:val="0"/>
              <w:marBottom w:val="0"/>
              <w:divBdr>
                <w:top w:val="none" w:sz="0" w:space="0" w:color="auto"/>
                <w:left w:val="none" w:sz="0" w:space="0" w:color="auto"/>
                <w:bottom w:val="none" w:sz="0" w:space="0" w:color="auto"/>
                <w:right w:val="none" w:sz="0" w:space="0" w:color="auto"/>
              </w:divBdr>
              <w:divsChild>
                <w:div w:id="1751152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1531190">
      <w:bodyDiv w:val="1"/>
      <w:marLeft w:val="0"/>
      <w:marRight w:val="0"/>
      <w:marTop w:val="0"/>
      <w:marBottom w:val="0"/>
      <w:divBdr>
        <w:top w:val="none" w:sz="0" w:space="0" w:color="auto"/>
        <w:left w:val="none" w:sz="0" w:space="0" w:color="auto"/>
        <w:bottom w:val="none" w:sz="0" w:space="0" w:color="auto"/>
        <w:right w:val="none" w:sz="0" w:space="0" w:color="auto"/>
      </w:divBdr>
    </w:div>
    <w:div w:id="1922836445">
      <w:bodyDiv w:val="1"/>
      <w:marLeft w:val="0"/>
      <w:marRight w:val="0"/>
      <w:marTop w:val="0"/>
      <w:marBottom w:val="0"/>
      <w:divBdr>
        <w:top w:val="none" w:sz="0" w:space="0" w:color="auto"/>
        <w:left w:val="none" w:sz="0" w:space="0" w:color="auto"/>
        <w:bottom w:val="none" w:sz="0" w:space="0" w:color="auto"/>
        <w:right w:val="none" w:sz="0" w:space="0" w:color="auto"/>
      </w:divBdr>
      <w:divsChild>
        <w:div w:id="1124495764">
          <w:marLeft w:val="0"/>
          <w:marRight w:val="0"/>
          <w:marTop w:val="0"/>
          <w:marBottom w:val="0"/>
          <w:divBdr>
            <w:top w:val="none" w:sz="0" w:space="0" w:color="auto"/>
            <w:left w:val="none" w:sz="0" w:space="0" w:color="auto"/>
            <w:bottom w:val="none" w:sz="0" w:space="0" w:color="auto"/>
            <w:right w:val="none" w:sz="0" w:space="0" w:color="auto"/>
          </w:divBdr>
          <w:divsChild>
            <w:div w:id="32507099">
              <w:marLeft w:val="0"/>
              <w:marRight w:val="0"/>
              <w:marTop w:val="0"/>
              <w:marBottom w:val="0"/>
              <w:divBdr>
                <w:top w:val="none" w:sz="0" w:space="0" w:color="auto"/>
                <w:left w:val="none" w:sz="0" w:space="0" w:color="auto"/>
                <w:bottom w:val="none" w:sz="0" w:space="0" w:color="auto"/>
                <w:right w:val="none" w:sz="0" w:space="0" w:color="auto"/>
              </w:divBdr>
              <w:divsChild>
                <w:div w:id="171699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5501779">
      <w:bodyDiv w:val="1"/>
      <w:marLeft w:val="0"/>
      <w:marRight w:val="0"/>
      <w:marTop w:val="0"/>
      <w:marBottom w:val="0"/>
      <w:divBdr>
        <w:top w:val="none" w:sz="0" w:space="0" w:color="auto"/>
        <w:left w:val="none" w:sz="0" w:space="0" w:color="auto"/>
        <w:bottom w:val="none" w:sz="0" w:space="0" w:color="auto"/>
        <w:right w:val="none" w:sz="0" w:space="0" w:color="auto"/>
      </w:divBdr>
    </w:div>
    <w:div w:id="1975332654">
      <w:bodyDiv w:val="1"/>
      <w:marLeft w:val="0"/>
      <w:marRight w:val="0"/>
      <w:marTop w:val="0"/>
      <w:marBottom w:val="0"/>
      <w:divBdr>
        <w:top w:val="none" w:sz="0" w:space="0" w:color="auto"/>
        <w:left w:val="none" w:sz="0" w:space="0" w:color="auto"/>
        <w:bottom w:val="none" w:sz="0" w:space="0" w:color="auto"/>
        <w:right w:val="none" w:sz="0" w:space="0" w:color="auto"/>
      </w:divBdr>
    </w:div>
    <w:div w:id="2058117019">
      <w:bodyDiv w:val="1"/>
      <w:marLeft w:val="0"/>
      <w:marRight w:val="0"/>
      <w:marTop w:val="0"/>
      <w:marBottom w:val="0"/>
      <w:divBdr>
        <w:top w:val="none" w:sz="0" w:space="0" w:color="auto"/>
        <w:left w:val="none" w:sz="0" w:space="0" w:color="auto"/>
        <w:bottom w:val="none" w:sz="0" w:space="0" w:color="auto"/>
        <w:right w:val="none" w:sz="0" w:space="0" w:color="auto"/>
      </w:divBdr>
      <w:divsChild>
        <w:div w:id="1493370718">
          <w:marLeft w:val="0"/>
          <w:marRight w:val="0"/>
          <w:marTop w:val="0"/>
          <w:marBottom w:val="0"/>
          <w:divBdr>
            <w:top w:val="none" w:sz="0" w:space="0" w:color="auto"/>
            <w:left w:val="none" w:sz="0" w:space="0" w:color="auto"/>
            <w:bottom w:val="none" w:sz="0" w:space="0" w:color="auto"/>
            <w:right w:val="none" w:sz="0" w:space="0" w:color="auto"/>
          </w:divBdr>
        </w:div>
        <w:div w:id="560481131">
          <w:marLeft w:val="0"/>
          <w:marRight w:val="0"/>
          <w:marTop w:val="0"/>
          <w:marBottom w:val="0"/>
          <w:divBdr>
            <w:top w:val="none" w:sz="0" w:space="0" w:color="auto"/>
            <w:left w:val="none" w:sz="0" w:space="0" w:color="auto"/>
            <w:bottom w:val="none" w:sz="0" w:space="0" w:color="auto"/>
            <w:right w:val="none" w:sz="0" w:space="0" w:color="auto"/>
          </w:divBdr>
        </w:div>
      </w:divsChild>
    </w:div>
    <w:div w:id="2080863195">
      <w:bodyDiv w:val="1"/>
      <w:marLeft w:val="0"/>
      <w:marRight w:val="0"/>
      <w:marTop w:val="0"/>
      <w:marBottom w:val="0"/>
      <w:divBdr>
        <w:top w:val="none" w:sz="0" w:space="0" w:color="auto"/>
        <w:left w:val="none" w:sz="0" w:space="0" w:color="auto"/>
        <w:bottom w:val="none" w:sz="0" w:space="0" w:color="auto"/>
        <w:right w:val="none" w:sz="0" w:space="0" w:color="auto"/>
      </w:divBdr>
    </w:div>
    <w:div w:id="21254242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corrections.govt.nz/resources/research_and_statistics/quarterly_prison_statistics/prison_stats_june_2019"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https://www.corrections.govt.nz/resources/research_and_statistics/quarterly_prison_statistics/prison_stats_march_2018.html"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dn.auckland.ac.nz/assets/auckland/on-campus/student-support/personal-support/lgbti-students/transgender-people-in-prisons-research-paper-ejp.pdf" TargetMode="External"/><Relationship Id="rId5" Type="http://schemas.openxmlformats.org/officeDocument/2006/relationships/webSettings" Target="webSettings.xml"/><Relationship Id="rId15" Type="http://schemas.openxmlformats.org/officeDocument/2006/relationships/hyperlink" Target="https://doi.org/10.1080/13569783.2021.1891038" TargetMode="External"/><Relationship Id="rId23" Type="http://schemas.openxmlformats.org/officeDocument/2006/relationships/theme" Target="theme/theme1.xml"/><Relationship Id="rId10" Type="http://schemas.openxmlformats.org/officeDocument/2006/relationships/hyperlink" Target="https://doi.org/10.1162/dram.2006.50.3.56"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doi.org/10.1080/17482631.2021.1879370" TargetMode="External"/><Relationship Id="rId22"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www.health.govt.nz/system/files/documents/pages/maori_health_model_tewhare.pdf"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Users/Apple/Downloads/TF_Template_Word_Windows_2016.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3CB8DD-8B2D-7843-8B8C-7F9981DAFB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TF_Template_Word_Windows_2016.dotx</Template>
  <TotalTime>13</TotalTime>
  <Pages>29</Pages>
  <Words>7922</Words>
  <Characters>45160</Characters>
  <Application>Microsoft Office Word</Application>
  <DocSecurity>0</DocSecurity>
  <Lines>376</Lines>
  <Paragraphs>105</Paragraphs>
  <ScaleCrop>false</ScaleCrop>
  <HeadingPairs>
    <vt:vector size="2" baseType="variant">
      <vt:variant>
        <vt:lpstr>Title</vt:lpstr>
      </vt:variant>
      <vt:variant>
        <vt:i4>1</vt:i4>
      </vt:variant>
    </vt:vector>
  </HeadingPairs>
  <TitlesOfParts>
    <vt:vector size="1" baseType="lpstr">
      <vt:lpstr>TF_Template_Word_Windows_2016</vt:lpstr>
    </vt:vector>
  </TitlesOfParts>
  <Company>Informa Plc</Company>
  <LinksUpToDate>false</LinksUpToDate>
  <CharactersWithSpaces>52977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TF_Template_Word_Windows_2016</dc:title>
  <dc:creator>Sarah Woodland</dc:creator>
  <cp:lastModifiedBy>Hazou, Rand</cp:lastModifiedBy>
  <cp:revision>4</cp:revision>
  <cp:lastPrinted>2021-05-03T02:47:00Z</cp:lastPrinted>
  <dcterms:created xsi:type="dcterms:W3CDTF">2021-05-03T02:37:00Z</dcterms:created>
  <dcterms:modified xsi:type="dcterms:W3CDTF">2021-05-03T04:28:00Z</dcterms:modified>
</cp:coreProperties>
</file>