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17F265" w14:textId="72E5BF75" w:rsidR="00485352" w:rsidRDefault="00485352" w:rsidP="00D667FB">
      <w:pPr>
        <w:spacing w:line="480" w:lineRule="auto"/>
        <w:rPr>
          <w:rFonts w:ascii="Times New Roman" w:hAnsi="Times New Roman" w:cs="Times New Roman"/>
        </w:rPr>
      </w:pPr>
      <w:r>
        <w:rPr>
          <w:rFonts w:ascii="Times New Roman" w:hAnsi="Times New Roman" w:cs="Times New Roman"/>
        </w:rPr>
        <w:t>Intimate Economies of Development: Mobility, Sexuality and Health in Asia</w:t>
      </w:r>
    </w:p>
    <w:p w14:paraId="4DA5F646" w14:textId="72EED826" w:rsidR="00485352" w:rsidRDefault="00485352" w:rsidP="00D667FB">
      <w:pPr>
        <w:spacing w:line="480" w:lineRule="auto"/>
        <w:rPr>
          <w:rFonts w:ascii="Times New Roman" w:hAnsi="Times New Roman" w:cs="Times New Roman"/>
        </w:rPr>
      </w:pPr>
      <w:r>
        <w:rPr>
          <w:rFonts w:ascii="Times New Roman" w:hAnsi="Times New Roman" w:cs="Times New Roman"/>
        </w:rPr>
        <w:t>CHRIS LYTTLETON</w:t>
      </w:r>
    </w:p>
    <w:p w14:paraId="4FE71254" w14:textId="2D894572" w:rsidR="00485352" w:rsidRDefault="00485352" w:rsidP="00D667FB">
      <w:pPr>
        <w:spacing w:line="480" w:lineRule="auto"/>
        <w:rPr>
          <w:rFonts w:ascii="Times New Roman" w:hAnsi="Times New Roman" w:cs="Times New Roman"/>
        </w:rPr>
      </w:pPr>
      <w:r>
        <w:rPr>
          <w:rFonts w:ascii="Times New Roman" w:hAnsi="Times New Roman" w:cs="Times New Roman"/>
        </w:rPr>
        <w:t>London and New York, Routledge, 2014</w:t>
      </w:r>
    </w:p>
    <w:p w14:paraId="39BAD4A0" w14:textId="77777777" w:rsidR="00485352" w:rsidRDefault="00485352" w:rsidP="00D667FB">
      <w:pPr>
        <w:spacing w:line="480" w:lineRule="auto"/>
        <w:rPr>
          <w:rFonts w:ascii="Times New Roman" w:hAnsi="Times New Roman" w:cs="Times New Roman"/>
        </w:rPr>
      </w:pPr>
    </w:p>
    <w:p w14:paraId="4C5F7023" w14:textId="61A286A3" w:rsidR="00834C80" w:rsidRDefault="007E289C" w:rsidP="00D667FB">
      <w:pPr>
        <w:spacing w:line="480" w:lineRule="auto"/>
        <w:rPr>
          <w:rFonts w:ascii="Times New Roman" w:hAnsi="Times New Roman" w:cs="Times New Roman"/>
        </w:rPr>
      </w:pPr>
      <w:r w:rsidRPr="00834C80">
        <w:rPr>
          <w:rFonts w:ascii="Times New Roman" w:hAnsi="Times New Roman" w:cs="Times New Roman"/>
        </w:rPr>
        <w:t>S</w:t>
      </w:r>
      <w:r w:rsidR="00F61CA9" w:rsidRPr="00834C80">
        <w:rPr>
          <w:rFonts w:ascii="Times New Roman" w:hAnsi="Times New Roman" w:cs="Times New Roman"/>
        </w:rPr>
        <w:t>obering</w:t>
      </w:r>
      <w:r w:rsidR="00776107" w:rsidRPr="00834C80">
        <w:rPr>
          <w:rFonts w:ascii="Times New Roman" w:hAnsi="Times New Roman" w:cs="Times New Roman"/>
        </w:rPr>
        <w:t>,</w:t>
      </w:r>
      <w:r w:rsidRPr="00834C80">
        <w:rPr>
          <w:rFonts w:ascii="Times New Roman" w:hAnsi="Times New Roman" w:cs="Times New Roman"/>
        </w:rPr>
        <w:t xml:space="preserve"> vividly written, </w:t>
      </w:r>
      <w:r w:rsidR="00776107" w:rsidRPr="00834C80">
        <w:rPr>
          <w:rFonts w:ascii="Times New Roman" w:hAnsi="Times New Roman" w:cs="Times New Roman"/>
        </w:rPr>
        <w:t xml:space="preserve">and theoretically dense, </w:t>
      </w:r>
      <w:r w:rsidRPr="00834C80">
        <w:rPr>
          <w:rFonts w:ascii="Times New Roman" w:hAnsi="Times New Roman" w:cs="Times New Roman"/>
          <w:i/>
        </w:rPr>
        <w:t>Intimate Economies of Development</w:t>
      </w:r>
      <w:r w:rsidRPr="00834C80">
        <w:rPr>
          <w:rFonts w:ascii="Times New Roman" w:hAnsi="Times New Roman" w:cs="Times New Roman"/>
        </w:rPr>
        <w:t xml:space="preserve"> strings together case studies from a plurality of zones, frontiers, and borderlands withi</w:t>
      </w:r>
      <w:r w:rsidR="00776107" w:rsidRPr="00834C80">
        <w:rPr>
          <w:rFonts w:ascii="Times New Roman" w:hAnsi="Times New Roman" w:cs="Times New Roman"/>
        </w:rPr>
        <w:t>n the Greater Mekong Sub-Region. This multinational space,</w:t>
      </w:r>
      <w:r w:rsidRPr="00834C80">
        <w:rPr>
          <w:rFonts w:ascii="Times New Roman" w:hAnsi="Times New Roman" w:cs="Times New Roman"/>
        </w:rPr>
        <w:t xml:space="preserve"> spanning Myanmar, Yunnan Province (China), Thailand, Malaysia, Laos, Vietnam, and Cambodia</w:t>
      </w:r>
      <w:r w:rsidR="00776107" w:rsidRPr="00834C80">
        <w:rPr>
          <w:rFonts w:ascii="Times New Roman" w:hAnsi="Times New Roman" w:cs="Times New Roman"/>
        </w:rPr>
        <w:t xml:space="preserve">, is a virtual petri dish for the excesses and “externalities” of capitalist </w:t>
      </w:r>
      <w:r w:rsidR="00FC4AAF">
        <w:rPr>
          <w:rFonts w:ascii="Times New Roman" w:hAnsi="Times New Roman" w:cs="Times New Roman"/>
        </w:rPr>
        <w:t>expansion</w:t>
      </w:r>
      <w:r w:rsidR="00776107" w:rsidRPr="00834C80">
        <w:rPr>
          <w:rFonts w:ascii="Times New Roman" w:hAnsi="Times New Roman" w:cs="Times New Roman"/>
        </w:rPr>
        <w:t xml:space="preserve">—sex work in all its permutations, human trafficking, drug use, violence, </w:t>
      </w:r>
      <w:r w:rsidR="00972913" w:rsidRPr="00834C80">
        <w:rPr>
          <w:rFonts w:ascii="Times New Roman" w:hAnsi="Times New Roman" w:cs="Times New Roman"/>
        </w:rPr>
        <w:t xml:space="preserve">dispossession, </w:t>
      </w:r>
      <w:r w:rsidR="00776107" w:rsidRPr="00834C80">
        <w:rPr>
          <w:rFonts w:ascii="Times New Roman" w:hAnsi="Times New Roman" w:cs="Times New Roman"/>
        </w:rPr>
        <w:t>gambling, and every conceivable form of exploitation and marginalization</w:t>
      </w:r>
      <w:r w:rsidR="00D575BD">
        <w:rPr>
          <w:rFonts w:ascii="Times New Roman" w:hAnsi="Times New Roman" w:cs="Times New Roman"/>
        </w:rPr>
        <w:t>. A</w:t>
      </w:r>
      <w:r w:rsidR="00776107" w:rsidRPr="00834C80">
        <w:rPr>
          <w:rFonts w:ascii="Times New Roman" w:hAnsi="Times New Roman" w:cs="Times New Roman"/>
        </w:rPr>
        <w:t xml:space="preserve">ll of </w:t>
      </w:r>
      <w:r w:rsidR="00D575BD">
        <w:rPr>
          <w:rFonts w:ascii="Times New Roman" w:hAnsi="Times New Roman" w:cs="Times New Roman"/>
        </w:rPr>
        <w:t>these</w:t>
      </w:r>
      <w:r w:rsidR="00776107" w:rsidRPr="00834C80">
        <w:rPr>
          <w:rFonts w:ascii="Times New Roman" w:hAnsi="Times New Roman" w:cs="Times New Roman"/>
        </w:rPr>
        <w:t xml:space="preserve">, Lyttleton convincingly argues, </w:t>
      </w:r>
      <w:r w:rsidR="00972913" w:rsidRPr="00834C80">
        <w:rPr>
          <w:rFonts w:ascii="Times New Roman" w:hAnsi="Times New Roman" w:cs="Times New Roman"/>
        </w:rPr>
        <w:t>are fundamental to the workings of frontier capitalism and the creation of neoliberal subjectivities</w:t>
      </w:r>
      <w:r w:rsidR="00D575BD">
        <w:rPr>
          <w:rFonts w:ascii="Times New Roman" w:hAnsi="Times New Roman" w:cs="Times New Roman"/>
        </w:rPr>
        <w:t>.</w:t>
      </w:r>
      <w:r w:rsidR="00972913" w:rsidRPr="00834C80">
        <w:rPr>
          <w:rFonts w:ascii="Times New Roman" w:hAnsi="Times New Roman" w:cs="Times New Roman"/>
        </w:rPr>
        <w:t xml:space="preserve"> Melding neo-Marxist political economy with affect theory, Lyttleton shows that “affective practices are central to the unfolding of modernization and social mobilization processes” (16) with desire and the hypervaluation of “risk-taking”—sexual, chemical, economic, migratory—</w:t>
      </w:r>
      <w:r w:rsidR="001D44F1" w:rsidRPr="00834C80">
        <w:rPr>
          <w:rFonts w:ascii="Times New Roman" w:hAnsi="Times New Roman" w:cs="Times New Roman"/>
        </w:rPr>
        <w:t>inciting</w:t>
      </w:r>
      <w:r w:rsidR="00972913" w:rsidRPr="00834C80">
        <w:rPr>
          <w:rFonts w:ascii="Times New Roman" w:hAnsi="Times New Roman" w:cs="Times New Roman"/>
        </w:rPr>
        <w:t xml:space="preserve"> Mekong peasan</w:t>
      </w:r>
      <w:r w:rsidR="001D44F1" w:rsidRPr="00834C80">
        <w:rPr>
          <w:rFonts w:ascii="Times New Roman" w:hAnsi="Times New Roman" w:cs="Times New Roman"/>
        </w:rPr>
        <w:t xml:space="preserve">ts to remake themselves as “peons in the blossoming service industry” (102). </w:t>
      </w:r>
      <w:r w:rsidR="00834C80">
        <w:rPr>
          <w:rFonts w:ascii="Times New Roman" w:hAnsi="Times New Roman" w:cs="Times New Roman"/>
        </w:rPr>
        <w:t>The sometimes harrowing experiences they have as they plunge themselves into new environments and new ways of living become “showcase tales of ‘city fun’” (67) that work to create new kinds of neoliberal, enterprising subjects.</w:t>
      </w:r>
      <w:r w:rsidR="00FE22F2">
        <w:rPr>
          <w:rFonts w:ascii="Times New Roman" w:hAnsi="Times New Roman" w:cs="Times New Roman"/>
        </w:rPr>
        <w:t xml:space="preserve"> Drawing on more than two decades of ethnographic research, Lyttleton illuminates otherwise shady corners of capitalist frontiers, taking the reader into roadside bars and brothels, amphetamine-fueled casinos, village sex parties, and factory dormitories, showing how the pursuit of “something better” generates a potent mix of desire and vulnerability. </w:t>
      </w:r>
    </w:p>
    <w:p w14:paraId="20089D0C" w14:textId="77777777" w:rsidR="00834C80" w:rsidRDefault="00834C80" w:rsidP="00D667FB">
      <w:pPr>
        <w:spacing w:line="480" w:lineRule="auto"/>
        <w:rPr>
          <w:rFonts w:ascii="Times New Roman" w:hAnsi="Times New Roman" w:cs="Times New Roman"/>
        </w:rPr>
      </w:pPr>
    </w:p>
    <w:p w14:paraId="27C2C915" w14:textId="402F633A" w:rsidR="00FC4AAF" w:rsidRDefault="00834C80" w:rsidP="00D667FB">
      <w:pPr>
        <w:spacing w:line="480" w:lineRule="auto"/>
        <w:rPr>
          <w:rFonts w:ascii="Times New Roman" w:hAnsi="Times New Roman" w:cs="Times New Roman"/>
        </w:rPr>
      </w:pPr>
      <w:r>
        <w:rPr>
          <w:rFonts w:ascii="Times New Roman" w:hAnsi="Times New Roman" w:cs="Times New Roman"/>
        </w:rPr>
        <w:t xml:space="preserve">While the volume’s subtitle signals that health is a major touchstone, </w:t>
      </w:r>
      <w:r w:rsidR="0075312D">
        <w:rPr>
          <w:rFonts w:ascii="Times New Roman" w:hAnsi="Times New Roman" w:cs="Times New Roman"/>
        </w:rPr>
        <w:t xml:space="preserve">the explicit focus on </w:t>
      </w:r>
      <w:r w:rsidR="00F80C0F">
        <w:rPr>
          <w:rFonts w:ascii="Times New Roman" w:hAnsi="Times New Roman" w:cs="Times New Roman"/>
        </w:rPr>
        <w:t xml:space="preserve">global </w:t>
      </w:r>
      <w:r w:rsidR="0075312D">
        <w:rPr>
          <w:rFonts w:ascii="Times New Roman" w:hAnsi="Times New Roman" w:cs="Times New Roman"/>
        </w:rPr>
        <w:t xml:space="preserve">health </w:t>
      </w:r>
      <w:r w:rsidR="00F80C0F">
        <w:rPr>
          <w:rFonts w:ascii="Times New Roman" w:hAnsi="Times New Roman" w:cs="Times New Roman"/>
        </w:rPr>
        <w:t xml:space="preserve">policies and practices </w:t>
      </w:r>
      <w:r w:rsidR="0075312D">
        <w:rPr>
          <w:rFonts w:ascii="Times New Roman" w:hAnsi="Times New Roman" w:cs="Times New Roman"/>
        </w:rPr>
        <w:t>comes relatively late in the game. The author instead spends several chapters building</w:t>
      </w:r>
      <w:r w:rsidR="00F80C0F">
        <w:rPr>
          <w:rFonts w:ascii="Times New Roman" w:hAnsi="Times New Roman" w:cs="Times New Roman"/>
        </w:rPr>
        <w:t xml:space="preserve"> up a case for including affect—“circulating sentiments” (180)—</w:t>
      </w:r>
      <w:r w:rsidR="0075312D">
        <w:rPr>
          <w:rFonts w:ascii="Times New Roman" w:hAnsi="Times New Roman" w:cs="Times New Roman"/>
        </w:rPr>
        <w:t xml:space="preserve">within the syndemic approach to </w:t>
      </w:r>
      <w:r w:rsidR="00F80C0F">
        <w:rPr>
          <w:rFonts w:ascii="Times New Roman" w:hAnsi="Times New Roman" w:cs="Times New Roman"/>
        </w:rPr>
        <w:t xml:space="preserve">disease vulnerability. Desires are part of the biosocial environment, and thus help to make up the new landscapes produced by development. Lyttleton’s critique of development and the “mitigation”/impact assessment industry that has sprung up around it is </w:t>
      </w:r>
      <w:r w:rsidR="00FC4AAF">
        <w:rPr>
          <w:rFonts w:ascii="Times New Roman" w:hAnsi="Times New Roman" w:cs="Times New Roman"/>
        </w:rPr>
        <w:t>profound. When development projects encourage Mekong peasants to take chances on migration and experiment with new social practices, it is disingenuous to then expect them to be receptive to health messages that emphasize risk prevention. When we understand the intense mixture of pleasure, fear, danger, and ecstasy that people encounter in their new, more mobile lives, we can see how the “</w:t>
      </w:r>
      <w:r w:rsidR="00FC4AAF" w:rsidRPr="00834C80">
        <w:rPr>
          <w:rFonts w:ascii="Times New Roman" w:hAnsi="Times New Roman" w:cs="Times New Roman"/>
        </w:rPr>
        <w:t>appeal of livelihood improvement and modernity premised on material growth vastly overshadow</w:t>
      </w:r>
      <w:r w:rsidR="00FC4AAF">
        <w:rPr>
          <w:rFonts w:ascii="Times New Roman" w:hAnsi="Times New Roman" w:cs="Times New Roman"/>
        </w:rPr>
        <w:t>[s]</w:t>
      </w:r>
      <w:r w:rsidR="00FC4AAF" w:rsidRPr="00834C80">
        <w:rPr>
          <w:rFonts w:ascii="Times New Roman" w:hAnsi="Times New Roman" w:cs="Times New Roman"/>
        </w:rPr>
        <w:t xml:space="preserve"> any cautionary lectures</w:t>
      </w:r>
      <w:r w:rsidR="00FC4AAF">
        <w:rPr>
          <w:rFonts w:ascii="Times New Roman" w:hAnsi="Times New Roman" w:cs="Times New Roman"/>
        </w:rPr>
        <w:t xml:space="preserve">” (191). </w:t>
      </w:r>
    </w:p>
    <w:p w14:paraId="0855177A" w14:textId="77777777" w:rsidR="0075312D" w:rsidRDefault="0075312D" w:rsidP="00D667FB">
      <w:pPr>
        <w:spacing w:line="480" w:lineRule="auto"/>
        <w:rPr>
          <w:rFonts w:ascii="Times New Roman" w:hAnsi="Times New Roman" w:cs="Times New Roman"/>
        </w:rPr>
      </w:pPr>
    </w:p>
    <w:p w14:paraId="4D36C0CE" w14:textId="18EDA03B" w:rsidR="00173CDE" w:rsidRDefault="008C79C5" w:rsidP="00D667FB">
      <w:pPr>
        <w:spacing w:line="480" w:lineRule="auto"/>
        <w:rPr>
          <w:rFonts w:ascii="Times New Roman" w:hAnsi="Times New Roman" w:cs="Times New Roman"/>
        </w:rPr>
      </w:pPr>
      <w:r>
        <w:rPr>
          <w:rFonts w:ascii="Times New Roman" w:hAnsi="Times New Roman" w:cs="Times New Roman"/>
        </w:rPr>
        <w:t xml:space="preserve">As a theoretical achievement illustrating the role of emotion, pleasure, and desire in processes of peasant dispossession, </w:t>
      </w:r>
      <w:r>
        <w:rPr>
          <w:rFonts w:ascii="Times New Roman" w:hAnsi="Times New Roman" w:cs="Times New Roman"/>
          <w:i/>
        </w:rPr>
        <w:t xml:space="preserve">Intimate Economies of Development </w:t>
      </w:r>
      <w:r>
        <w:rPr>
          <w:rFonts w:ascii="Times New Roman" w:hAnsi="Times New Roman" w:cs="Times New Roman"/>
        </w:rPr>
        <w:t xml:space="preserve">is remarkable. </w:t>
      </w:r>
      <w:r w:rsidR="002F75AE">
        <w:rPr>
          <w:rFonts w:ascii="Times New Roman" w:hAnsi="Times New Roman" w:cs="Times New Roman"/>
        </w:rPr>
        <w:t xml:space="preserve">It also paints a very bleak picture of how male privilege and male pleasure fuels projects of accumulation by disposession. </w:t>
      </w:r>
      <w:r>
        <w:rPr>
          <w:rFonts w:ascii="Times New Roman" w:hAnsi="Times New Roman" w:cs="Times New Roman"/>
        </w:rPr>
        <w:t xml:space="preserve">Lyttleton shows in great detail how men’s </w:t>
      </w:r>
      <w:r w:rsidR="002F75AE">
        <w:rPr>
          <w:rFonts w:ascii="Times New Roman" w:hAnsi="Times New Roman" w:cs="Times New Roman"/>
        </w:rPr>
        <w:t>enhanced</w:t>
      </w:r>
      <w:r>
        <w:rPr>
          <w:rFonts w:ascii="Times New Roman" w:hAnsi="Times New Roman" w:cs="Times New Roman"/>
        </w:rPr>
        <w:t xml:space="preserve"> </w:t>
      </w:r>
      <w:r w:rsidR="00FE4510">
        <w:rPr>
          <w:rFonts w:ascii="Times New Roman" w:hAnsi="Times New Roman" w:cs="Times New Roman"/>
        </w:rPr>
        <w:t xml:space="preserve">desire for </w:t>
      </w:r>
      <w:r w:rsidR="002F75AE">
        <w:rPr>
          <w:rFonts w:ascii="Times New Roman" w:hAnsi="Times New Roman" w:cs="Times New Roman"/>
        </w:rPr>
        <w:t xml:space="preserve">various forms of sexual </w:t>
      </w:r>
      <w:r w:rsidR="00FE4510">
        <w:rPr>
          <w:rFonts w:ascii="Times New Roman" w:hAnsi="Times New Roman" w:cs="Times New Roman"/>
        </w:rPr>
        <w:t xml:space="preserve">gratification </w:t>
      </w:r>
      <w:r w:rsidR="002F75AE">
        <w:rPr>
          <w:rFonts w:ascii="Times New Roman" w:hAnsi="Times New Roman" w:cs="Times New Roman"/>
        </w:rPr>
        <w:t xml:space="preserve">is mobilized to the extent that </w:t>
      </w:r>
      <w:r w:rsidR="00FE4510">
        <w:rPr>
          <w:rFonts w:ascii="Times New Roman" w:hAnsi="Times New Roman" w:cs="Times New Roman"/>
        </w:rPr>
        <w:t xml:space="preserve">village youth offer their sisters to visiting businessmen to expand their rubber holdings, young women entice their underage nieces into prostitution, and urban </w:t>
      </w:r>
      <w:r w:rsidR="00FE4510">
        <w:rPr>
          <w:rFonts w:ascii="Times New Roman" w:hAnsi="Times New Roman" w:cs="Times New Roman"/>
          <w:i/>
        </w:rPr>
        <w:t xml:space="preserve">kathoey </w:t>
      </w:r>
      <w:r w:rsidR="00FE4510">
        <w:rPr>
          <w:rFonts w:ascii="Times New Roman" w:hAnsi="Times New Roman" w:cs="Times New Roman"/>
        </w:rPr>
        <w:t>(transgender</w:t>
      </w:r>
      <w:r w:rsidR="00516DD7">
        <w:rPr>
          <w:rFonts w:ascii="Times New Roman" w:hAnsi="Times New Roman" w:cs="Times New Roman"/>
        </w:rPr>
        <w:t xml:space="preserve"> women</w:t>
      </w:r>
      <w:r w:rsidR="00FE4510">
        <w:rPr>
          <w:rFonts w:ascii="Times New Roman" w:hAnsi="Times New Roman" w:cs="Times New Roman"/>
        </w:rPr>
        <w:t xml:space="preserve">) bankrupt themselves to </w:t>
      </w:r>
      <w:r w:rsidR="002F75AE">
        <w:rPr>
          <w:rFonts w:ascii="Times New Roman" w:hAnsi="Times New Roman" w:cs="Times New Roman"/>
        </w:rPr>
        <w:t>enjoy</w:t>
      </w:r>
      <w:r w:rsidR="00FE4510">
        <w:rPr>
          <w:rFonts w:ascii="Times New Roman" w:hAnsi="Times New Roman" w:cs="Times New Roman"/>
        </w:rPr>
        <w:t xml:space="preserve"> orgasm-less sex with an endless string of “straight” men. Women and </w:t>
      </w:r>
      <w:r w:rsidR="00FE4510">
        <w:rPr>
          <w:rFonts w:ascii="Times New Roman" w:hAnsi="Times New Roman" w:cs="Times New Roman"/>
          <w:i/>
        </w:rPr>
        <w:t xml:space="preserve">kathoey </w:t>
      </w:r>
      <w:r w:rsidR="00FE4510">
        <w:rPr>
          <w:rFonts w:ascii="Times New Roman" w:hAnsi="Times New Roman" w:cs="Times New Roman"/>
        </w:rPr>
        <w:t xml:space="preserve">are looking for different kinds of </w:t>
      </w:r>
      <w:r w:rsidR="002F75AE">
        <w:rPr>
          <w:rFonts w:ascii="Times New Roman" w:hAnsi="Times New Roman" w:cs="Times New Roman"/>
        </w:rPr>
        <w:t>erotic enjoyment</w:t>
      </w:r>
      <w:r w:rsidR="00FE4510">
        <w:rPr>
          <w:rFonts w:ascii="Times New Roman" w:hAnsi="Times New Roman" w:cs="Times New Roman"/>
        </w:rPr>
        <w:t>—the former perhaps “</w:t>
      </w:r>
      <w:r w:rsidR="00FE4510" w:rsidRPr="00834C80">
        <w:rPr>
          <w:rFonts w:ascii="Times New Roman" w:hAnsi="Times New Roman" w:cs="Times New Roman"/>
        </w:rPr>
        <w:t>idealized fantasies</w:t>
      </w:r>
      <w:r w:rsidR="00FE4510">
        <w:rPr>
          <w:rFonts w:ascii="Times New Roman" w:hAnsi="Times New Roman" w:cs="Times New Roman"/>
        </w:rPr>
        <w:t>” of male support</w:t>
      </w:r>
      <w:r w:rsidR="006671C0">
        <w:rPr>
          <w:rFonts w:ascii="Times New Roman" w:hAnsi="Times New Roman" w:cs="Times New Roman"/>
        </w:rPr>
        <w:t xml:space="preserve"> and economic security</w:t>
      </w:r>
      <w:r w:rsidR="00FE4510">
        <w:rPr>
          <w:rFonts w:ascii="Times New Roman" w:hAnsi="Times New Roman" w:cs="Times New Roman"/>
        </w:rPr>
        <w:t>, and the</w:t>
      </w:r>
      <w:r>
        <w:rPr>
          <w:rFonts w:ascii="Times New Roman" w:hAnsi="Times New Roman" w:cs="Times New Roman"/>
        </w:rPr>
        <w:t xml:space="preserve"> </w:t>
      </w:r>
      <w:r w:rsidR="00FE4510">
        <w:rPr>
          <w:rFonts w:ascii="Times New Roman" w:hAnsi="Times New Roman" w:cs="Times New Roman"/>
        </w:rPr>
        <w:t>latter the pleasure of dominating men and extracting their semen</w:t>
      </w:r>
      <w:r w:rsidR="002F75AE">
        <w:rPr>
          <w:rFonts w:ascii="Times New Roman" w:hAnsi="Times New Roman" w:cs="Times New Roman"/>
        </w:rPr>
        <w:t xml:space="preserve">. But these </w:t>
      </w:r>
      <w:r w:rsidR="00E22508">
        <w:rPr>
          <w:rFonts w:ascii="Times New Roman" w:hAnsi="Times New Roman" w:cs="Times New Roman"/>
        </w:rPr>
        <w:t>desires are cast as minor players in “</w:t>
      </w:r>
      <w:bookmarkStart w:id="0" w:name="_GoBack"/>
      <w:bookmarkEnd w:id="0"/>
      <w:r w:rsidR="00E22508">
        <w:rPr>
          <w:rFonts w:ascii="Times New Roman" w:hAnsi="Times New Roman" w:cs="Times New Roman"/>
        </w:rPr>
        <w:t>intimate economies”, with male satisfaction always at the centre. Despite “</w:t>
      </w:r>
      <w:r w:rsidR="00E22508" w:rsidRPr="00834C80">
        <w:rPr>
          <w:rFonts w:ascii="Times New Roman" w:hAnsi="Times New Roman" w:cs="Times New Roman"/>
        </w:rPr>
        <w:t>capitalism’s prolific ability to find new structuring relations” (145)</w:t>
      </w:r>
      <w:r w:rsidR="00E22508">
        <w:rPr>
          <w:rFonts w:ascii="Times New Roman" w:hAnsi="Times New Roman" w:cs="Times New Roman"/>
        </w:rPr>
        <w:t>, the male orgasm appears to be capitalism’s most energetic and inexhaustible fuel</w:t>
      </w:r>
      <w:r w:rsidR="00A500EB">
        <w:rPr>
          <w:rFonts w:ascii="Times New Roman" w:hAnsi="Times New Roman" w:cs="Times New Roman"/>
        </w:rPr>
        <w:t xml:space="preserve"> supply</w:t>
      </w:r>
      <w:r w:rsidR="00E22508">
        <w:rPr>
          <w:rFonts w:ascii="Times New Roman" w:hAnsi="Times New Roman" w:cs="Times New Roman"/>
        </w:rPr>
        <w:t xml:space="preserve">. This is </w:t>
      </w:r>
      <w:r w:rsidR="00A500EB">
        <w:rPr>
          <w:rFonts w:ascii="Times New Roman" w:hAnsi="Times New Roman" w:cs="Times New Roman"/>
        </w:rPr>
        <w:t xml:space="preserve">a </w:t>
      </w:r>
      <w:r w:rsidR="00E22508">
        <w:rPr>
          <w:rFonts w:ascii="Times New Roman" w:hAnsi="Times New Roman" w:cs="Times New Roman"/>
        </w:rPr>
        <w:t>very depressing</w:t>
      </w:r>
      <w:r w:rsidR="00173CDE">
        <w:rPr>
          <w:rFonts w:ascii="Times New Roman" w:hAnsi="Times New Roman" w:cs="Times New Roman"/>
        </w:rPr>
        <w:t xml:space="preserve"> thought. </w:t>
      </w:r>
    </w:p>
    <w:p w14:paraId="0D8DDD75" w14:textId="77777777" w:rsidR="00A500EB" w:rsidRDefault="00A500EB" w:rsidP="00D667FB">
      <w:pPr>
        <w:spacing w:line="480" w:lineRule="auto"/>
        <w:rPr>
          <w:rFonts w:ascii="Times New Roman" w:hAnsi="Times New Roman" w:cs="Times New Roman"/>
        </w:rPr>
      </w:pPr>
    </w:p>
    <w:p w14:paraId="582AD553" w14:textId="1AF720F0" w:rsidR="008C79C5" w:rsidRPr="008C79C5" w:rsidRDefault="00173CDE" w:rsidP="00D667FB">
      <w:pPr>
        <w:spacing w:line="480" w:lineRule="auto"/>
        <w:rPr>
          <w:rFonts w:ascii="Times New Roman" w:hAnsi="Times New Roman" w:cs="Times New Roman"/>
        </w:rPr>
      </w:pPr>
      <w:r>
        <w:rPr>
          <w:rFonts w:ascii="Times New Roman" w:hAnsi="Times New Roman" w:cs="Times New Roman"/>
        </w:rPr>
        <w:t xml:space="preserve">In the final paragraphs Lyttleton briefly sketches out a possible answer to the question of how development and health workers might intervene in such an environment: “[t]hrough affective networks” (197). This response </w:t>
      </w:r>
      <w:r w:rsidR="00A500EB">
        <w:rPr>
          <w:rFonts w:ascii="Times New Roman" w:hAnsi="Times New Roman" w:cs="Times New Roman"/>
        </w:rPr>
        <w:t>feels tacked-on, especially after the author has shown so effectively how challenging and powerful those networks are. But with any luck this volume will stimulate furth</w:t>
      </w:r>
      <w:r w:rsidR="00D667FB">
        <w:rPr>
          <w:rFonts w:ascii="Times New Roman" w:hAnsi="Times New Roman" w:cs="Times New Roman"/>
        </w:rPr>
        <w:t>er efforts to re-think development.</w:t>
      </w:r>
    </w:p>
    <w:p w14:paraId="7E46A658" w14:textId="533C79E4" w:rsidR="008C79C5" w:rsidRDefault="00516DD7" w:rsidP="00D667FB">
      <w:pPr>
        <w:spacing w:line="480" w:lineRule="auto"/>
        <w:rPr>
          <w:rFonts w:ascii="Times New Roman" w:hAnsi="Times New Roman" w:cs="Times New Roman"/>
        </w:rPr>
      </w:pPr>
      <w:r>
        <w:rPr>
          <w:rFonts w:ascii="Times New Roman" w:hAnsi="Times New Roman" w:cs="Times New Roman"/>
        </w:rPr>
        <w:tab/>
        <w:t xml:space="preserve"> </w:t>
      </w:r>
    </w:p>
    <w:p w14:paraId="15AC07B6" w14:textId="0A0041A6" w:rsidR="004E55CB" w:rsidRPr="004E55CB" w:rsidRDefault="004E55CB" w:rsidP="00945F6B">
      <w:pPr>
        <w:spacing w:line="480" w:lineRule="auto"/>
        <w:rPr>
          <w:rFonts w:ascii="Times New Roman" w:hAnsi="Times New Roman" w:cs="Times New Roman"/>
        </w:rPr>
      </w:pPr>
      <w:r>
        <w:rPr>
          <w:rFonts w:ascii="Times New Roman" w:hAnsi="Times New Roman" w:cs="Times New Roman"/>
        </w:rPr>
        <w:t xml:space="preserve">As a contribution to the anthropology of development and migration, </w:t>
      </w:r>
      <w:r>
        <w:rPr>
          <w:rFonts w:ascii="Times New Roman" w:hAnsi="Times New Roman" w:cs="Times New Roman"/>
          <w:i/>
        </w:rPr>
        <w:t>Intimate Economies of Development</w:t>
      </w:r>
      <w:r>
        <w:rPr>
          <w:rFonts w:ascii="Times New Roman" w:hAnsi="Times New Roman" w:cs="Times New Roman"/>
        </w:rPr>
        <w:t xml:space="preserve"> stands out both in terms of its geographic scale (examining multiple contact zones across several national boundaries) and its attention to the affective details of migrants’ pleasures, aspirations, and struggles. As a </w:t>
      </w:r>
      <w:r w:rsidR="00945F6B">
        <w:rPr>
          <w:rFonts w:ascii="Times New Roman" w:hAnsi="Times New Roman" w:cs="Times New Roman"/>
        </w:rPr>
        <w:t>work</w:t>
      </w:r>
      <w:r>
        <w:rPr>
          <w:rFonts w:ascii="Times New Roman" w:hAnsi="Times New Roman" w:cs="Times New Roman"/>
        </w:rPr>
        <w:t xml:space="preserve"> of </w:t>
      </w:r>
      <w:r w:rsidR="00945F6B">
        <w:rPr>
          <w:rFonts w:ascii="Times New Roman" w:hAnsi="Times New Roman" w:cs="Times New Roman"/>
        </w:rPr>
        <w:t xml:space="preserve">critical </w:t>
      </w:r>
      <w:r>
        <w:rPr>
          <w:rFonts w:ascii="Times New Roman" w:hAnsi="Times New Roman" w:cs="Times New Roman"/>
        </w:rPr>
        <w:t xml:space="preserve">medical anthropology </w:t>
      </w:r>
      <w:r w:rsidR="00945F6B">
        <w:rPr>
          <w:rFonts w:ascii="Times New Roman" w:hAnsi="Times New Roman" w:cs="Times New Roman"/>
        </w:rPr>
        <w:t>it sits well alongside scholarship linking political economy, subjectivity, and health—for example</w:t>
      </w:r>
      <w:r w:rsidR="00266801">
        <w:rPr>
          <w:rFonts w:ascii="Times New Roman" w:hAnsi="Times New Roman" w:cs="Times New Roman"/>
        </w:rPr>
        <w:t>,</w:t>
      </w:r>
      <w:r w:rsidR="00945F6B">
        <w:rPr>
          <w:rFonts w:ascii="Times New Roman" w:hAnsi="Times New Roman" w:cs="Times New Roman"/>
        </w:rPr>
        <w:t xml:space="preserve"> the recent work of Phillippe Bourgois and João Biehl. Lyttleton’s decision to focus on desire and pleasure rather than (simply) suffering</w:t>
      </w:r>
      <w:r w:rsidR="00266801">
        <w:rPr>
          <w:rFonts w:ascii="Times New Roman" w:hAnsi="Times New Roman" w:cs="Times New Roman"/>
        </w:rPr>
        <w:t xml:space="preserve"> helps</w:t>
      </w:r>
      <w:r w:rsidR="00945F6B">
        <w:rPr>
          <w:rFonts w:ascii="Times New Roman" w:hAnsi="Times New Roman" w:cs="Times New Roman"/>
        </w:rPr>
        <w:t xml:space="preserve"> this book </w:t>
      </w:r>
      <w:r w:rsidR="00266801">
        <w:rPr>
          <w:rFonts w:ascii="Times New Roman" w:hAnsi="Times New Roman" w:cs="Times New Roman"/>
        </w:rPr>
        <w:t xml:space="preserve">to </w:t>
      </w:r>
      <w:r w:rsidR="00945F6B">
        <w:rPr>
          <w:rFonts w:ascii="Times New Roman" w:hAnsi="Times New Roman" w:cs="Times New Roman"/>
        </w:rPr>
        <w:t>stand out</w:t>
      </w:r>
      <w:r w:rsidR="00266801">
        <w:rPr>
          <w:rFonts w:ascii="Times New Roman" w:hAnsi="Times New Roman" w:cs="Times New Roman"/>
        </w:rPr>
        <w:t>.</w:t>
      </w:r>
      <w:r w:rsidR="00945F6B">
        <w:rPr>
          <w:rFonts w:ascii="Times New Roman" w:hAnsi="Times New Roman" w:cs="Times New Roman"/>
        </w:rPr>
        <w:t xml:space="preserve"> </w:t>
      </w:r>
    </w:p>
    <w:p w14:paraId="0639DED7" w14:textId="77777777" w:rsidR="00485352" w:rsidRDefault="00485352" w:rsidP="00D667FB">
      <w:pPr>
        <w:spacing w:line="480" w:lineRule="auto"/>
        <w:rPr>
          <w:rFonts w:ascii="Times New Roman" w:hAnsi="Times New Roman" w:cs="Times New Roman"/>
        </w:rPr>
      </w:pPr>
    </w:p>
    <w:p w14:paraId="752688F6" w14:textId="3289C6CD" w:rsidR="00485352" w:rsidRDefault="00485352" w:rsidP="00D667FB">
      <w:pPr>
        <w:spacing w:line="480" w:lineRule="auto"/>
        <w:rPr>
          <w:rFonts w:ascii="Times New Roman" w:hAnsi="Times New Roman" w:cs="Times New Roman"/>
        </w:rPr>
      </w:pPr>
      <w:r>
        <w:rPr>
          <w:rFonts w:ascii="Times New Roman" w:hAnsi="Times New Roman" w:cs="Times New Roman"/>
        </w:rPr>
        <w:t xml:space="preserve">Barbara Andersen </w:t>
      </w:r>
    </w:p>
    <w:p w14:paraId="40345410" w14:textId="0D97D568" w:rsidR="00485352" w:rsidRDefault="00485352" w:rsidP="00D667FB">
      <w:pPr>
        <w:spacing w:line="480" w:lineRule="auto"/>
        <w:rPr>
          <w:rFonts w:ascii="Times New Roman" w:hAnsi="Times New Roman" w:cs="Times New Roman"/>
        </w:rPr>
      </w:pPr>
      <w:r>
        <w:rPr>
          <w:rFonts w:ascii="Times New Roman" w:hAnsi="Times New Roman" w:cs="Times New Roman"/>
        </w:rPr>
        <w:t>Massey University</w:t>
      </w:r>
    </w:p>
    <w:p w14:paraId="6A9C69E8" w14:textId="14E2AE62" w:rsidR="00485352" w:rsidRDefault="00485352" w:rsidP="00D667FB">
      <w:pPr>
        <w:spacing w:line="480" w:lineRule="auto"/>
        <w:rPr>
          <w:rFonts w:ascii="Times New Roman" w:hAnsi="Times New Roman" w:cs="Times New Roman"/>
        </w:rPr>
      </w:pPr>
      <w:r>
        <w:rPr>
          <w:rFonts w:ascii="Times New Roman" w:hAnsi="Times New Roman" w:cs="Times New Roman"/>
        </w:rPr>
        <w:t>B.Andersen1@massey.ac.nz</w:t>
      </w:r>
    </w:p>
    <w:p w14:paraId="626141AC" w14:textId="77777777" w:rsidR="00485352" w:rsidRDefault="00485352" w:rsidP="00D667FB">
      <w:pPr>
        <w:spacing w:line="480" w:lineRule="auto"/>
        <w:rPr>
          <w:rFonts w:ascii="Times New Roman" w:hAnsi="Times New Roman" w:cs="Times New Roman"/>
        </w:rPr>
      </w:pPr>
    </w:p>
    <w:p w14:paraId="56D8B833" w14:textId="15B746C5" w:rsidR="00F61CA9" w:rsidRPr="00834C80" w:rsidRDefault="00F61CA9" w:rsidP="00D667FB">
      <w:pPr>
        <w:spacing w:line="480" w:lineRule="auto"/>
        <w:rPr>
          <w:rFonts w:ascii="Times New Roman" w:hAnsi="Times New Roman" w:cs="Times New Roman"/>
        </w:rPr>
      </w:pPr>
    </w:p>
    <w:sectPr w:rsidR="00F61CA9" w:rsidRPr="00834C80" w:rsidSect="00737743">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81"/>
  <w:drawingGridVerticalSpacing w:val="181"/>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4BEA"/>
    <w:rsid w:val="001012E2"/>
    <w:rsid w:val="00173CDE"/>
    <w:rsid w:val="001A3525"/>
    <w:rsid w:val="001D44F1"/>
    <w:rsid w:val="00266801"/>
    <w:rsid w:val="002A7C42"/>
    <w:rsid w:val="002F75AE"/>
    <w:rsid w:val="00485352"/>
    <w:rsid w:val="004E55CB"/>
    <w:rsid w:val="00516DD7"/>
    <w:rsid w:val="00660AD4"/>
    <w:rsid w:val="006671C0"/>
    <w:rsid w:val="00737743"/>
    <w:rsid w:val="007415D5"/>
    <w:rsid w:val="0075312D"/>
    <w:rsid w:val="00776107"/>
    <w:rsid w:val="007E289C"/>
    <w:rsid w:val="00834C80"/>
    <w:rsid w:val="008B651F"/>
    <w:rsid w:val="008C79C5"/>
    <w:rsid w:val="00926F9A"/>
    <w:rsid w:val="00945F6B"/>
    <w:rsid w:val="009557DE"/>
    <w:rsid w:val="00972913"/>
    <w:rsid w:val="00975611"/>
    <w:rsid w:val="00994BEA"/>
    <w:rsid w:val="00A500EB"/>
    <w:rsid w:val="00A7143E"/>
    <w:rsid w:val="00AE62DA"/>
    <w:rsid w:val="00C36C56"/>
    <w:rsid w:val="00C947A5"/>
    <w:rsid w:val="00D32FEA"/>
    <w:rsid w:val="00D575BD"/>
    <w:rsid w:val="00D667FB"/>
    <w:rsid w:val="00DA70B8"/>
    <w:rsid w:val="00E22508"/>
    <w:rsid w:val="00F61CA9"/>
    <w:rsid w:val="00F80C0F"/>
    <w:rsid w:val="00FC4AAF"/>
    <w:rsid w:val="00FE22F2"/>
    <w:rsid w:val="00FE4510"/>
  </w:rsids>
  <m:mathPr>
    <m:mathFont m:val="Cambria Math"/>
    <m:brkBin m:val="before"/>
    <m:brkBinSub m:val="--"/>
    <m:smallFrac m:val="0"/>
    <m:dispDef/>
    <m:lMargin m:val="0"/>
    <m:rMargin m:val="0"/>
    <m:defJc m:val="centerGroup"/>
    <m:wrapIndent m:val="1440"/>
    <m:intLim m:val="subSup"/>
    <m:naryLim m:val="undOvr"/>
  </m:mathPr>
  <w:themeFontLang w:val="en-NZ"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5F0B3F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NZ"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671C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671C0"/>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NZ"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671C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671C0"/>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785</Words>
  <Characters>4477</Characters>
  <Application>Microsoft Macintosh Word</Application>
  <DocSecurity>0</DocSecurity>
  <Lines>37</Lines>
  <Paragraphs>10</Paragraphs>
  <ScaleCrop>false</ScaleCrop>
  <Company>Massey University</Company>
  <LinksUpToDate>false</LinksUpToDate>
  <CharactersWithSpaces>5252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Andersen</dc:creator>
  <cp:keywords/>
  <dc:description/>
  <cp:lastModifiedBy>Barbara Andersen</cp:lastModifiedBy>
  <cp:revision>2</cp:revision>
  <dcterms:created xsi:type="dcterms:W3CDTF">2016-09-04T22:55:00Z</dcterms:created>
  <dcterms:modified xsi:type="dcterms:W3CDTF">2016-09-04T22:55:00Z</dcterms:modified>
</cp:coreProperties>
</file>